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45FFE" w14:textId="77777777" w:rsidR="00F43194" w:rsidRPr="00C1711D" w:rsidRDefault="00A258A3" w:rsidP="000D69EE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1711D">
        <w:rPr>
          <w:rFonts w:ascii="Times New Roman" w:hAnsi="Times New Roman"/>
          <w:b/>
          <w:sz w:val="24"/>
          <w:szCs w:val="24"/>
        </w:rPr>
        <w:t>МЕТОДОЛОГИЯ</w:t>
      </w:r>
      <w:r w:rsidR="00955243" w:rsidRPr="00C1711D">
        <w:rPr>
          <w:rFonts w:ascii="Times New Roman" w:hAnsi="Times New Roman"/>
          <w:b/>
          <w:sz w:val="24"/>
          <w:szCs w:val="24"/>
        </w:rPr>
        <w:t xml:space="preserve"> И КРИТЕРИИ</w:t>
      </w:r>
      <w:r w:rsidRPr="00C1711D">
        <w:rPr>
          <w:rFonts w:ascii="Times New Roman" w:hAnsi="Times New Roman"/>
          <w:b/>
          <w:sz w:val="24"/>
          <w:szCs w:val="24"/>
        </w:rPr>
        <w:t xml:space="preserve"> </w:t>
      </w:r>
      <w:r w:rsidR="00801569" w:rsidRPr="00C1711D">
        <w:rPr>
          <w:rFonts w:ascii="Times New Roman" w:hAnsi="Times New Roman"/>
          <w:b/>
          <w:sz w:val="24"/>
          <w:szCs w:val="24"/>
        </w:rPr>
        <w:t>ЗА ПОДБОР НА ОПЕРАЦИИ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7796"/>
      </w:tblGrid>
      <w:tr w:rsidR="004846C7" w:rsidRPr="00375A1E" w14:paraId="6505EC97" w14:textId="77777777" w:rsidTr="00081FB6">
        <w:tc>
          <w:tcPr>
            <w:tcW w:w="10094" w:type="dxa"/>
            <w:gridSpan w:val="2"/>
            <w:shd w:val="clear" w:color="auto" w:fill="BFBFBF"/>
          </w:tcPr>
          <w:p w14:paraId="10A35523" w14:textId="77777777" w:rsidR="004846C7" w:rsidRPr="00375A1E" w:rsidRDefault="00D7775B" w:rsidP="00DC2329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375A1E">
              <w:rPr>
                <w:rFonts w:ascii="Times New Roman" w:hAnsi="Times New Roman"/>
                <w:b/>
              </w:rPr>
              <w:t>1. Основни параметри</w:t>
            </w:r>
          </w:p>
        </w:tc>
      </w:tr>
      <w:tr w:rsidR="00E30102" w:rsidRPr="00375A1E" w14:paraId="17B9D84C" w14:textId="77777777" w:rsidTr="00015C76">
        <w:tc>
          <w:tcPr>
            <w:tcW w:w="2298" w:type="dxa"/>
            <w:shd w:val="clear" w:color="auto" w:fill="BFBFBF"/>
          </w:tcPr>
          <w:p w14:paraId="2F5244A2" w14:textId="77777777" w:rsidR="00E30102" w:rsidRPr="00375A1E" w:rsidRDefault="00E30102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Управляващ орган</w:t>
            </w:r>
          </w:p>
        </w:tc>
        <w:tc>
          <w:tcPr>
            <w:tcW w:w="7796" w:type="dxa"/>
            <w:shd w:val="clear" w:color="auto" w:fill="auto"/>
          </w:tcPr>
          <w:p w14:paraId="021FC449" w14:textId="77777777" w:rsidR="00E30102" w:rsidRPr="00375A1E" w:rsidRDefault="00790D92" w:rsidP="00E40F32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Главна дирекция „Европейски фондове за конкурентоспособност”,</w:t>
            </w:r>
            <w:r w:rsidR="00E40F32" w:rsidRPr="00375A1E">
              <w:rPr>
                <w:rFonts w:ascii="Times New Roman" w:hAnsi="Times New Roman"/>
              </w:rPr>
              <w:t xml:space="preserve"> </w:t>
            </w:r>
            <w:r w:rsidRPr="00375A1E">
              <w:rPr>
                <w:rFonts w:ascii="Times New Roman" w:hAnsi="Times New Roman"/>
              </w:rPr>
              <w:t>Министерство на иновациите и растежа</w:t>
            </w:r>
          </w:p>
        </w:tc>
      </w:tr>
      <w:tr w:rsidR="004846C7" w:rsidRPr="00375A1E" w14:paraId="095E64B1" w14:textId="77777777" w:rsidTr="00015C76">
        <w:tc>
          <w:tcPr>
            <w:tcW w:w="2298" w:type="dxa"/>
            <w:shd w:val="clear" w:color="auto" w:fill="BFBFBF"/>
          </w:tcPr>
          <w:p w14:paraId="4FABA2CB" w14:textId="77777777" w:rsidR="004846C7" w:rsidRPr="00375A1E" w:rsidRDefault="00C25F18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П</w:t>
            </w:r>
            <w:r w:rsidR="00955243" w:rsidRPr="00375A1E">
              <w:rPr>
                <w:rFonts w:ascii="Times New Roman" w:hAnsi="Times New Roman"/>
              </w:rPr>
              <w:t>рограма</w:t>
            </w:r>
          </w:p>
        </w:tc>
        <w:tc>
          <w:tcPr>
            <w:tcW w:w="7796" w:type="dxa"/>
            <w:shd w:val="clear" w:color="auto" w:fill="auto"/>
          </w:tcPr>
          <w:p w14:paraId="069125A8" w14:textId="1D08A43B" w:rsidR="004846C7" w:rsidRPr="00375A1E" w:rsidRDefault="00790D92" w:rsidP="00534DF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Програма „Конкурентоспособ</w:t>
            </w:r>
            <w:r w:rsidR="001E1F7D" w:rsidRPr="00375A1E">
              <w:rPr>
                <w:rFonts w:ascii="Times New Roman" w:hAnsi="Times New Roman"/>
              </w:rPr>
              <w:t>ност и иновации в предприятията”</w:t>
            </w:r>
            <w:r w:rsidRPr="00375A1E">
              <w:rPr>
                <w:rFonts w:ascii="Times New Roman" w:hAnsi="Times New Roman"/>
              </w:rPr>
              <w:t xml:space="preserve"> 2021-2027</w:t>
            </w:r>
            <w:r w:rsidR="00865672" w:rsidRPr="00375A1E">
              <w:rPr>
                <w:rFonts w:ascii="Times New Roman" w:hAnsi="Times New Roman"/>
              </w:rPr>
              <w:t xml:space="preserve"> (ПКИП)</w:t>
            </w:r>
          </w:p>
        </w:tc>
      </w:tr>
      <w:tr w:rsidR="00D31D3D" w:rsidRPr="00375A1E" w14:paraId="4728970C" w14:textId="77777777" w:rsidTr="00015C76">
        <w:tc>
          <w:tcPr>
            <w:tcW w:w="2298" w:type="dxa"/>
            <w:shd w:val="clear" w:color="auto" w:fill="BFBFBF"/>
          </w:tcPr>
          <w:p w14:paraId="054998CB" w14:textId="77777777" w:rsidR="00D31D3D" w:rsidRPr="00375A1E" w:rsidRDefault="00D31D3D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Приоритет</w:t>
            </w:r>
          </w:p>
        </w:tc>
        <w:tc>
          <w:tcPr>
            <w:tcW w:w="7796" w:type="dxa"/>
            <w:shd w:val="clear" w:color="auto" w:fill="auto"/>
          </w:tcPr>
          <w:p w14:paraId="737769F3" w14:textId="3A94B0C6" w:rsidR="00D31D3D" w:rsidRPr="00375A1E" w:rsidRDefault="00534DFF" w:rsidP="003D21DA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Приоритет: 2. Кръгова икономика</w:t>
            </w:r>
          </w:p>
        </w:tc>
      </w:tr>
      <w:tr w:rsidR="004846C7" w:rsidRPr="00375A1E" w14:paraId="3D8CC5A2" w14:textId="77777777" w:rsidTr="00015C76">
        <w:tc>
          <w:tcPr>
            <w:tcW w:w="2298" w:type="dxa"/>
            <w:shd w:val="clear" w:color="auto" w:fill="BFBFBF"/>
          </w:tcPr>
          <w:p w14:paraId="7B37864A" w14:textId="77777777" w:rsidR="004846C7" w:rsidRPr="00375A1E" w:rsidRDefault="00C25F18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Специфична цел</w:t>
            </w:r>
            <w:r w:rsidR="0099664A" w:rsidRPr="00375A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14:paraId="1C27CA68" w14:textId="4EEF768F" w:rsidR="004846C7" w:rsidRPr="00375A1E" w:rsidRDefault="00534DFF" w:rsidP="00A914CE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Специфична цел: RSO2.</w:t>
            </w:r>
            <w:r w:rsidR="00A914CE" w:rsidRPr="000D420D">
              <w:rPr>
                <w:rFonts w:ascii="Times New Roman" w:hAnsi="Times New Roman"/>
              </w:rPr>
              <w:t>6</w:t>
            </w:r>
            <w:r w:rsidRPr="00375A1E">
              <w:rPr>
                <w:rFonts w:ascii="Times New Roman" w:hAnsi="Times New Roman"/>
              </w:rPr>
              <w:t xml:space="preserve">. </w:t>
            </w:r>
            <w:r w:rsidR="00A914CE" w:rsidRPr="00A914CE">
              <w:rPr>
                <w:rFonts w:ascii="Times New Roman" w:hAnsi="Times New Roman"/>
              </w:rPr>
              <w:t>Насърчаване на прехода към кръгова и основаваща се на ефективно използване на ресурсите икономика (ЕФРР)</w:t>
            </w:r>
          </w:p>
        </w:tc>
      </w:tr>
      <w:tr w:rsidR="004846C7" w:rsidRPr="00375A1E" w14:paraId="380C6B44" w14:textId="77777777" w:rsidTr="00015C76">
        <w:tc>
          <w:tcPr>
            <w:tcW w:w="2298" w:type="dxa"/>
            <w:shd w:val="clear" w:color="auto" w:fill="BFBFBF"/>
          </w:tcPr>
          <w:p w14:paraId="5C86A720" w14:textId="337CA96C" w:rsidR="004846C7" w:rsidRPr="00375A1E" w:rsidRDefault="0059012A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Наименование на процедурата</w:t>
            </w:r>
            <w:r w:rsidR="003B5E7E" w:rsidRPr="00375A1E">
              <w:rPr>
                <w:rFonts w:ascii="Times New Roman" w:hAnsi="Times New Roman"/>
              </w:rPr>
              <w:t>/</w:t>
            </w:r>
            <w:r w:rsidR="00375A1E">
              <w:rPr>
                <w:rFonts w:ascii="Times New Roman" w:hAnsi="Times New Roman"/>
                <w:lang w:val="en-US"/>
              </w:rPr>
              <w:t xml:space="preserve"> </w:t>
            </w:r>
            <w:r w:rsidR="003B5E7E" w:rsidRPr="00375A1E">
              <w:rPr>
                <w:rFonts w:ascii="Times New Roman" w:hAnsi="Times New Roman"/>
              </w:rPr>
              <w:t>процедурите</w:t>
            </w:r>
          </w:p>
        </w:tc>
        <w:tc>
          <w:tcPr>
            <w:tcW w:w="7796" w:type="dxa"/>
            <w:shd w:val="clear" w:color="auto" w:fill="auto"/>
          </w:tcPr>
          <w:p w14:paraId="4CF3F076" w14:textId="7EFF8D67" w:rsidR="003818BB" w:rsidRPr="000D420D" w:rsidRDefault="00A914CE" w:rsidP="00A914CE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A914CE">
              <w:rPr>
                <w:rFonts w:ascii="Times New Roman" w:hAnsi="Times New Roman"/>
                <w:b/>
              </w:rPr>
              <w:t>Въвеждане на зелени технологии в МСП</w:t>
            </w:r>
          </w:p>
          <w:p w14:paraId="34C65735" w14:textId="34C7284F" w:rsidR="004846C7" w:rsidRPr="000D420D" w:rsidRDefault="004846C7" w:rsidP="003818BB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846C7" w:rsidRPr="00375A1E" w14:paraId="4787980F" w14:textId="77777777" w:rsidTr="00015C76">
        <w:tc>
          <w:tcPr>
            <w:tcW w:w="2298" w:type="dxa"/>
            <w:shd w:val="clear" w:color="auto" w:fill="BFBFBF"/>
          </w:tcPr>
          <w:p w14:paraId="4F7BCF77" w14:textId="77777777" w:rsidR="004846C7" w:rsidRPr="00375A1E" w:rsidRDefault="00A878B0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Цел</w:t>
            </w:r>
          </w:p>
        </w:tc>
        <w:tc>
          <w:tcPr>
            <w:tcW w:w="7796" w:type="dxa"/>
            <w:shd w:val="clear" w:color="auto" w:fill="auto"/>
          </w:tcPr>
          <w:p w14:paraId="76B42613" w14:textId="7669BAA4" w:rsidR="00CC7832" w:rsidRDefault="00E07130" w:rsidP="00E07130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Процедурата цели да насърчи инвестициите</w:t>
            </w:r>
            <w:r w:rsidR="00CC7832" w:rsidRPr="00CC7832">
              <w:rPr>
                <w:rFonts w:ascii="Times New Roman" w:hAnsi="Times New Roman"/>
              </w:rPr>
              <w:t xml:space="preserve"> за въвеждане на зелени технологии </w:t>
            </w:r>
            <w:r>
              <w:rPr>
                <w:rFonts w:ascii="Times New Roman" w:hAnsi="Times New Roman"/>
              </w:rPr>
              <w:t xml:space="preserve">в предприятията </w:t>
            </w:r>
            <w:r w:rsidR="00CC7832" w:rsidRPr="00CC7832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 xml:space="preserve">по този начин да допринесе за </w:t>
            </w:r>
            <w:r w:rsidR="00CC7832" w:rsidRPr="00CC7832">
              <w:rPr>
                <w:rFonts w:ascii="Times New Roman" w:hAnsi="Times New Roman"/>
              </w:rPr>
              <w:t>ускоряване на прехода към кръгова</w:t>
            </w:r>
            <w:r w:rsidR="00CC7832" w:rsidRPr="000D420D">
              <w:rPr>
                <w:rFonts w:ascii="Times New Roman" w:hAnsi="Times New Roman"/>
              </w:rPr>
              <w:t xml:space="preserve"> </w:t>
            </w:r>
            <w:r w:rsidR="00CC7832" w:rsidRPr="00CC7832">
              <w:rPr>
                <w:rFonts w:ascii="Times New Roman" w:hAnsi="Times New Roman"/>
              </w:rPr>
              <w:t>икономика</w:t>
            </w:r>
            <w:r w:rsidR="00CC7832" w:rsidRPr="000D420D">
              <w:rPr>
                <w:rFonts w:ascii="Times New Roman" w:hAnsi="Times New Roman"/>
              </w:rPr>
              <w:t>.</w:t>
            </w:r>
            <w:r w:rsidR="00CC7832" w:rsidRPr="00CC78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Подкрепата е насочена към</w:t>
            </w:r>
            <w:r w:rsidR="00CC7832" w:rsidRPr="00CC7832">
              <w:rPr>
                <w:rFonts w:ascii="Times New Roman" w:hAnsi="Times New Roman"/>
              </w:rPr>
              <w:t xml:space="preserve"> </w:t>
            </w:r>
            <w:r w:rsidR="00150B6F">
              <w:rPr>
                <w:rFonts w:ascii="Times New Roman" w:hAnsi="Times New Roman"/>
              </w:rPr>
              <w:t xml:space="preserve">внедряването </w:t>
            </w:r>
            <w:r>
              <w:rPr>
                <w:rFonts w:ascii="Times New Roman" w:hAnsi="Times New Roman"/>
              </w:rPr>
              <w:t xml:space="preserve">на </w:t>
            </w:r>
            <w:r w:rsidR="00CC7832" w:rsidRPr="00CC7832">
              <w:rPr>
                <w:rFonts w:ascii="Times New Roman" w:hAnsi="Times New Roman"/>
              </w:rPr>
              <w:t xml:space="preserve">кръгови модели за </w:t>
            </w:r>
            <w:r w:rsidR="00555AC4">
              <w:rPr>
                <w:rFonts w:ascii="Times New Roman" w:hAnsi="Times New Roman"/>
              </w:rPr>
              <w:t>по-</w:t>
            </w:r>
            <w:r w:rsidR="00CC7832" w:rsidRPr="00CC7832">
              <w:rPr>
                <w:rFonts w:ascii="Times New Roman" w:hAnsi="Times New Roman"/>
              </w:rPr>
              <w:t>ефективно използване на ресурсите</w:t>
            </w:r>
            <w:r w:rsidR="00970E87">
              <w:rPr>
                <w:rFonts w:ascii="Times New Roman" w:hAnsi="Times New Roman"/>
              </w:rPr>
              <w:t xml:space="preserve"> </w:t>
            </w:r>
            <w:r w:rsidR="00CC7832" w:rsidRPr="00CC7832">
              <w:rPr>
                <w:rFonts w:ascii="Times New Roman" w:hAnsi="Times New Roman"/>
              </w:rPr>
              <w:t xml:space="preserve">и </w:t>
            </w:r>
            <w:r w:rsidR="00150B6F">
              <w:rPr>
                <w:rFonts w:ascii="Times New Roman" w:hAnsi="Times New Roman"/>
              </w:rPr>
              <w:t>прилагане</w:t>
            </w:r>
            <w:r w:rsidR="00CC7832" w:rsidRPr="00CC7832">
              <w:rPr>
                <w:rFonts w:ascii="Times New Roman" w:hAnsi="Times New Roman"/>
              </w:rPr>
              <w:t xml:space="preserve"> на неутрални по отношение на климата методи </w:t>
            </w:r>
            <w:r w:rsidR="00970E87">
              <w:rPr>
                <w:rFonts w:ascii="Times New Roman" w:hAnsi="Times New Roman"/>
              </w:rPr>
              <w:t xml:space="preserve">за </w:t>
            </w:r>
            <w:r w:rsidR="00CC7832" w:rsidRPr="00CC7832">
              <w:rPr>
                <w:rFonts w:ascii="Times New Roman" w:hAnsi="Times New Roman"/>
              </w:rPr>
              <w:t xml:space="preserve">производство, </w:t>
            </w:r>
            <w:r>
              <w:rPr>
                <w:rFonts w:ascii="Times New Roman" w:hAnsi="Times New Roman"/>
              </w:rPr>
              <w:t xml:space="preserve">предоставяне и </w:t>
            </w:r>
            <w:r w:rsidR="00CC7832" w:rsidRPr="00CC7832">
              <w:rPr>
                <w:rFonts w:ascii="Times New Roman" w:hAnsi="Times New Roman"/>
              </w:rPr>
              <w:t>потребление на продуктите и</w:t>
            </w:r>
            <w:r w:rsidR="00DD37A0">
              <w:rPr>
                <w:rFonts w:ascii="Times New Roman" w:hAnsi="Times New Roman"/>
              </w:rPr>
              <w:t>ли</w:t>
            </w:r>
            <w:r w:rsidR="00CC7832" w:rsidRPr="00CC7832">
              <w:rPr>
                <w:rFonts w:ascii="Times New Roman" w:hAnsi="Times New Roman"/>
              </w:rPr>
              <w:t xml:space="preserve"> услуги</w:t>
            </w:r>
            <w:r w:rsidR="00555AC4">
              <w:rPr>
                <w:rFonts w:ascii="Times New Roman" w:hAnsi="Times New Roman"/>
              </w:rPr>
              <w:t>те</w:t>
            </w:r>
            <w:r w:rsidR="00A621EF">
              <w:rPr>
                <w:rFonts w:ascii="Times New Roman" w:hAnsi="Times New Roman"/>
              </w:rPr>
              <w:t xml:space="preserve"> от дейността на предприятията</w:t>
            </w:r>
            <w:r w:rsidR="00CC7832" w:rsidRPr="00CC7832">
              <w:rPr>
                <w:rFonts w:ascii="Times New Roman" w:hAnsi="Times New Roman"/>
              </w:rPr>
              <w:t xml:space="preserve">. </w:t>
            </w:r>
          </w:p>
          <w:p w14:paraId="5BD2F82C" w14:textId="47CFED80" w:rsidR="00D77C85" w:rsidRPr="00CC7832" w:rsidRDefault="0047116A" w:rsidP="00486F16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цел </w:t>
            </w:r>
            <w:r w:rsidR="00150B6F">
              <w:rPr>
                <w:rFonts w:ascii="Times New Roman" w:hAnsi="Times New Roman"/>
              </w:rPr>
              <w:t>развитието на екологосъобразни и ресурсноефективни дейности</w:t>
            </w:r>
            <w:r w:rsidR="00A7717C">
              <w:rPr>
                <w:rFonts w:ascii="Times New Roman" w:hAnsi="Times New Roman"/>
              </w:rPr>
              <w:t>,</w:t>
            </w:r>
            <w:r w:rsidR="00150B6F">
              <w:rPr>
                <w:rFonts w:ascii="Times New Roman" w:hAnsi="Times New Roman"/>
              </w:rPr>
              <w:t xml:space="preserve"> </w:t>
            </w:r>
            <w:r w:rsidR="00486F16">
              <w:rPr>
                <w:rFonts w:ascii="Times New Roman" w:hAnsi="Times New Roman"/>
              </w:rPr>
              <w:t>съобразени с местния потенциал и</w:t>
            </w:r>
            <w:r w:rsidR="000544F4">
              <w:rPr>
                <w:rFonts w:ascii="Times New Roman" w:hAnsi="Times New Roman"/>
              </w:rPr>
              <w:t xml:space="preserve"> </w:t>
            </w:r>
            <w:r w:rsidR="00AC4045">
              <w:rPr>
                <w:rFonts w:ascii="Times New Roman" w:hAnsi="Times New Roman"/>
              </w:rPr>
              <w:t>спецификите на отделните територии</w:t>
            </w:r>
            <w:r w:rsidR="00A7717C">
              <w:rPr>
                <w:rFonts w:ascii="Times New Roman" w:hAnsi="Times New Roman"/>
              </w:rPr>
              <w:t xml:space="preserve">, </w:t>
            </w:r>
            <w:r w:rsidR="00AC4045">
              <w:rPr>
                <w:rFonts w:ascii="Times New Roman" w:hAnsi="Times New Roman"/>
              </w:rPr>
              <w:t>п</w:t>
            </w:r>
            <w:r w:rsidR="00CC7832" w:rsidRPr="00CC7832">
              <w:rPr>
                <w:rFonts w:ascii="Times New Roman" w:hAnsi="Times New Roman"/>
              </w:rPr>
              <w:t xml:space="preserve">роцедурата </w:t>
            </w:r>
            <w:r w:rsidR="0063259F">
              <w:rPr>
                <w:rFonts w:ascii="Times New Roman" w:hAnsi="Times New Roman"/>
              </w:rPr>
              <w:t>е предвидено да</w:t>
            </w:r>
            <w:r w:rsidR="00AC4045">
              <w:rPr>
                <w:rFonts w:ascii="Times New Roman" w:hAnsi="Times New Roman"/>
              </w:rPr>
              <w:t xml:space="preserve"> </w:t>
            </w:r>
            <w:r w:rsidR="00CC7832" w:rsidRPr="00CC7832">
              <w:rPr>
                <w:rFonts w:ascii="Times New Roman" w:hAnsi="Times New Roman"/>
              </w:rPr>
              <w:t>се реализира и чрез</w:t>
            </w:r>
            <w:r w:rsidR="00A621EF">
              <w:rPr>
                <w:rFonts w:ascii="Times New Roman" w:hAnsi="Times New Roman"/>
              </w:rPr>
              <w:t xml:space="preserve"> прилагането на</w:t>
            </w:r>
            <w:r w:rsidR="00CC7832" w:rsidRPr="00CC7832">
              <w:rPr>
                <w:rFonts w:ascii="Times New Roman" w:hAnsi="Times New Roman"/>
              </w:rPr>
              <w:t xml:space="preserve"> подхода Интегрирани териториални инвестиции</w:t>
            </w:r>
            <w:r w:rsidR="00555AC4" w:rsidRPr="00CC7832">
              <w:rPr>
                <w:rFonts w:ascii="Times New Roman" w:hAnsi="Times New Roman"/>
              </w:rPr>
              <w:t xml:space="preserve"> (ИТИ</w:t>
            </w:r>
            <w:r w:rsidR="00CC7832" w:rsidRPr="00CC7832">
              <w:rPr>
                <w:rFonts w:ascii="Times New Roman" w:hAnsi="Times New Roman"/>
              </w:rPr>
              <w:t>).</w:t>
            </w:r>
          </w:p>
        </w:tc>
      </w:tr>
      <w:tr w:rsidR="00992507" w:rsidRPr="00375A1E" w14:paraId="75B8F01A" w14:textId="77777777" w:rsidTr="00015C76">
        <w:tc>
          <w:tcPr>
            <w:tcW w:w="2298" w:type="dxa"/>
            <w:shd w:val="clear" w:color="auto" w:fill="BFBFBF"/>
          </w:tcPr>
          <w:p w14:paraId="37E15CC1" w14:textId="77777777" w:rsidR="00992507" w:rsidRPr="00375A1E" w:rsidRDefault="00992507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Обосновка</w:t>
            </w:r>
          </w:p>
        </w:tc>
        <w:tc>
          <w:tcPr>
            <w:tcW w:w="7796" w:type="dxa"/>
            <w:shd w:val="clear" w:color="auto" w:fill="auto"/>
          </w:tcPr>
          <w:p w14:paraId="3B83B865" w14:textId="0C2741AF" w:rsidR="00CC7832" w:rsidRPr="00CC7832" w:rsidRDefault="00CC7832" w:rsidP="00CC7832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CC7832">
              <w:rPr>
                <w:rFonts w:ascii="Times New Roman" w:hAnsi="Times New Roman"/>
              </w:rPr>
              <w:t>Преходът от лине</w:t>
            </w:r>
            <w:r w:rsidR="00ED53D3">
              <w:rPr>
                <w:rFonts w:ascii="Times New Roman" w:hAnsi="Times New Roman"/>
              </w:rPr>
              <w:t>е</w:t>
            </w:r>
            <w:r w:rsidR="000869D2">
              <w:rPr>
                <w:rFonts w:ascii="Times New Roman" w:hAnsi="Times New Roman"/>
              </w:rPr>
              <w:t>н</w:t>
            </w:r>
            <w:r w:rsidRPr="00CC7832">
              <w:rPr>
                <w:rFonts w:ascii="Times New Roman" w:hAnsi="Times New Roman"/>
              </w:rPr>
              <w:t xml:space="preserve"> </w:t>
            </w:r>
            <w:r w:rsidR="00D7485E">
              <w:rPr>
                <w:rFonts w:ascii="Times New Roman" w:hAnsi="Times New Roman"/>
              </w:rPr>
              <w:t xml:space="preserve">към кръгов </w:t>
            </w:r>
            <w:r w:rsidRPr="00CC7832">
              <w:rPr>
                <w:rFonts w:ascii="Times New Roman" w:hAnsi="Times New Roman"/>
              </w:rPr>
              <w:t>икономически модел</w:t>
            </w:r>
            <w:r w:rsidR="009C124E" w:rsidRPr="009C124E">
              <w:rPr>
                <w:rFonts w:ascii="Times New Roman" w:hAnsi="Times New Roman"/>
              </w:rPr>
              <w:t xml:space="preserve"> </w:t>
            </w:r>
            <w:r w:rsidR="00A7717C">
              <w:rPr>
                <w:rFonts w:ascii="Times New Roman" w:hAnsi="Times New Roman"/>
              </w:rPr>
              <w:t>е сред ключовите</w:t>
            </w:r>
            <w:r w:rsidRPr="00CC7832">
              <w:rPr>
                <w:rFonts w:ascii="Times New Roman" w:hAnsi="Times New Roman"/>
              </w:rPr>
              <w:t xml:space="preserve"> стратегически приоритет</w:t>
            </w:r>
            <w:r w:rsidR="0076282F">
              <w:rPr>
                <w:rFonts w:ascii="Times New Roman" w:hAnsi="Times New Roman"/>
              </w:rPr>
              <w:t>и</w:t>
            </w:r>
            <w:r w:rsidRPr="00CC7832">
              <w:rPr>
                <w:rFonts w:ascii="Times New Roman" w:hAnsi="Times New Roman"/>
              </w:rPr>
              <w:t xml:space="preserve"> на </w:t>
            </w:r>
            <w:r w:rsidRPr="00FA548A">
              <w:rPr>
                <w:rFonts w:ascii="Times New Roman" w:hAnsi="Times New Roman"/>
                <w:i/>
              </w:rPr>
              <w:t xml:space="preserve">Европейската комисия в рамките на Европейския зелен пакт </w:t>
            </w:r>
            <w:r w:rsidR="006567E6" w:rsidRPr="00FA548A">
              <w:rPr>
                <w:rFonts w:ascii="Times New Roman" w:hAnsi="Times New Roman"/>
                <w:i/>
              </w:rPr>
              <w:t>(European Green Deal</w:t>
            </w:r>
            <w:r w:rsidR="006567E6" w:rsidRPr="00FA548A">
              <w:rPr>
                <w:rFonts w:ascii="Times New Roman" w:hAnsi="Times New Roman"/>
                <w:i/>
                <w:vertAlign w:val="superscript"/>
              </w:rPr>
              <w:footnoteReference w:id="1"/>
            </w:r>
            <w:r w:rsidR="006567E6" w:rsidRPr="00FA548A">
              <w:rPr>
                <w:rFonts w:ascii="Times New Roman" w:hAnsi="Times New Roman"/>
                <w:i/>
              </w:rPr>
              <w:t>)</w:t>
            </w:r>
            <w:r w:rsidR="000869D2">
              <w:rPr>
                <w:rFonts w:ascii="Times New Roman" w:hAnsi="Times New Roman"/>
                <w:i/>
              </w:rPr>
              <w:t xml:space="preserve">. </w:t>
            </w:r>
            <w:r w:rsidRPr="00CC7832">
              <w:rPr>
                <w:rFonts w:ascii="Times New Roman" w:hAnsi="Times New Roman"/>
              </w:rPr>
              <w:t>Тази трансформация цели не само</w:t>
            </w:r>
            <w:r w:rsidR="00ED53D3">
              <w:rPr>
                <w:rFonts w:ascii="Times New Roman" w:hAnsi="Times New Roman"/>
              </w:rPr>
              <w:t xml:space="preserve"> </w:t>
            </w:r>
            <w:r w:rsidRPr="00CC7832">
              <w:rPr>
                <w:rFonts w:ascii="Times New Roman" w:hAnsi="Times New Roman"/>
              </w:rPr>
              <w:t>намаляване на екологичния отпечатък, но и</w:t>
            </w:r>
            <w:r w:rsidR="000869D2">
              <w:rPr>
                <w:rFonts w:ascii="Times New Roman" w:hAnsi="Times New Roman"/>
              </w:rPr>
              <w:t xml:space="preserve"> </w:t>
            </w:r>
            <w:r w:rsidRPr="00CC7832">
              <w:rPr>
                <w:rFonts w:ascii="Times New Roman" w:hAnsi="Times New Roman"/>
              </w:rPr>
              <w:t xml:space="preserve">гарантиране на стратегическата автономия и конкурентоспособност на Съюза чрез устойчиво управление на ресурсите. </w:t>
            </w:r>
            <w:r w:rsidR="000869D2" w:rsidRPr="000869D2">
              <w:rPr>
                <w:rFonts w:ascii="Times New Roman" w:hAnsi="Times New Roman"/>
              </w:rPr>
              <w:t>Постигането на напредък в п</w:t>
            </w:r>
            <w:r w:rsidR="00486F16">
              <w:rPr>
                <w:rFonts w:ascii="Times New Roman" w:hAnsi="Times New Roman"/>
              </w:rPr>
              <w:t>рехода към кръгова икономика се разглежда като ключов фактор за</w:t>
            </w:r>
            <w:r w:rsidR="00DC1FC8">
              <w:rPr>
                <w:rFonts w:ascii="Times New Roman" w:hAnsi="Times New Roman"/>
              </w:rPr>
              <w:t xml:space="preserve"> намаляване на</w:t>
            </w:r>
            <w:r w:rsidR="000869D2" w:rsidRPr="000869D2">
              <w:rPr>
                <w:rFonts w:ascii="Times New Roman" w:hAnsi="Times New Roman"/>
              </w:rPr>
              <w:t xml:space="preserve"> въздействието върху околната</w:t>
            </w:r>
            <w:r w:rsidR="00DC1FC8">
              <w:rPr>
                <w:rFonts w:ascii="Times New Roman" w:hAnsi="Times New Roman"/>
              </w:rPr>
              <w:t xml:space="preserve"> среда и климата чрез </w:t>
            </w:r>
            <w:r w:rsidR="00724CD1">
              <w:rPr>
                <w:rFonts w:ascii="Times New Roman" w:hAnsi="Times New Roman"/>
              </w:rPr>
              <w:t>редуциране</w:t>
            </w:r>
            <w:r w:rsidR="000869D2" w:rsidRPr="000869D2">
              <w:rPr>
                <w:rFonts w:ascii="Times New Roman" w:hAnsi="Times New Roman"/>
              </w:rPr>
              <w:t xml:space="preserve"> на влаганите </w:t>
            </w:r>
            <w:r w:rsidR="00DC1FC8">
              <w:rPr>
                <w:rFonts w:ascii="Times New Roman" w:hAnsi="Times New Roman"/>
              </w:rPr>
              <w:t>суровини</w:t>
            </w:r>
            <w:r w:rsidR="000869D2" w:rsidRPr="000869D2">
              <w:rPr>
                <w:rFonts w:ascii="Times New Roman" w:hAnsi="Times New Roman"/>
              </w:rPr>
              <w:t xml:space="preserve">, </w:t>
            </w:r>
            <w:r w:rsidR="00DC1FC8">
              <w:rPr>
                <w:rFonts w:ascii="Times New Roman" w:hAnsi="Times New Roman"/>
              </w:rPr>
              <w:t>удължаване на жизнения цикъл</w:t>
            </w:r>
            <w:r w:rsidR="000869D2" w:rsidRPr="000869D2">
              <w:rPr>
                <w:rFonts w:ascii="Times New Roman" w:hAnsi="Times New Roman"/>
              </w:rPr>
              <w:t xml:space="preserve"> на </w:t>
            </w:r>
            <w:r w:rsidR="00724CD1">
              <w:rPr>
                <w:rFonts w:ascii="Times New Roman" w:hAnsi="Times New Roman"/>
              </w:rPr>
              <w:t>материалите и продуктите</w:t>
            </w:r>
            <w:r w:rsidR="00DC1FC8">
              <w:rPr>
                <w:rFonts w:ascii="Times New Roman" w:hAnsi="Times New Roman"/>
              </w:rPr>
              <w:t>,</w:t>
            </w:r>
            <w:r w:rsidR="00D7485E">
              <w:rPr>
                <w:rFonts w:ascii="Times New Roman" w:hAnsi="Times New Roman"/>
              </w:rPr>
              <w:t xml:space="preserve"> </w:t>
            </w:r>
            <w:r w:rsidR="00724CD1">
              <w:rPr>
                <w:rFonts w:ascii="Times New Roman" w:hAnsi="Times New Roman"/>
              </w:rPr>
              <w:t>предотвратяване образуването</w:t>
            </w:r>
            <w:r w:rsidR="000869D2" w:rsidRPr="000869D2">
              <w:rPr>
                <w:rFonts w:ascii="Times New Roman" w:hAnsi="Times New Roman"/>
              </w:rPr>
              <w:t xml:space="preserve"> на отпадъци</w:t>
            </w:r>
            <w:r w:rsidR="00DC1FC8">
              <w:rPr>
                <w:rFonts w:ascii="Times New Roman" w:hAnsi="Times New Roman"/>
              </w:rPr>
              <w:t xml:space="preserve"> </w:t>
            </w:r>
            <w:r w:rsidR="00724CD1">
              <w:rPr>
                <w:rFonts w:ascii="Times New Roman" w:hAnsi="Times New Roman"/>
              </w:rPr>
              <w:t>и други екологосъобразни практики за „прекъсване</w:t>
            </w:r>
            <w:r w:rsidR="00724CD1" w:rsidRPr="00486F16">
              <w:rPr>
                <w:rFonts w:ascii="Times New Roman" w:hAnsi="Times New Roman"/>
              </w:rPr>
              <w:t>”</w:t>
            </w:r>
            <w:r w:rsidR="00724CD1">
              <w:rPr>
                <w:rFonts w:ascii="Times New Roman" w:hAnsi="Times New Roman"/>
              </w:rPr>
              <w:t xml:space="preserve"> на</w:t>
            </w:r>
            <w:r w:rsidR="00DC1FC8">
              <w:rPr>
                <w:rFonts w:ascii="Times New Roman" w:hAnsi="Times New Roman"/>
              </w:rPr>
              <w:t xml:space="preserve"> връзка</w:t>
            </w:r>
            <w:r w:rsidR="00724CD1">
              <w:rPr>
                <w:rFonts w:ascii="Times New Roman" w:hAnsi="Times New Roman"/>
              </w:rPr>
              <w:t>та</w:t>
            </w:r>
            <w:r w:rsidR="000869D2" w:rsidRPr="000869D2">
              <w:rPr>
                <w:rFonts w:ascii="Times New Roman" w:hAnsi="Times New Roman"/>
              </w:rPr>
              <w:t xml:space="preserve"> между икономическия растеж и </w:t>
            </w:r>
            <w:r w:rsidR="00724CD1">
              <w:rPr>
                <w:rFonts w:ascii="Times New Roman" w:hAnsi="Times New Roman"/>
              </w:rPr>
              <w:t>интензивното потребление</w:t>
            </w:r>
            <w:r w:rsidR="000869D2" w:rsidRPr="000869D2">
              <w:rPr>
                <w:rFonts w:ascii="Times New Roman" w:hAnsi="Times New Roman"/>
              </w:rPr>
              <w:t xml:space="preserve"> на ресурси.</w:t>
            </w:r>
            <w:r w:rsidR="00DC1FC8">
              <w:rPr>
                <w:rFonts w:ascii="Times New Roman" w:hAnsi="Times New Roman"/>
              </w:rPr>
              <w:t xml:space="preserve"> </w:t>
            </w:r>
            <w:r w:rsidRPr="00CC7832">
              <w:rPr>
                <w:rFonts w:ascii="Times New Roman" w:hAnsi="Times New Roman"/>
              </w:rPr>
              <w:t xml:space="preserve">В основата на настоящите реформи в областта стои </w:t>
            </w:r>
            <w:r w:rsidR="002A5C03">
              <w:rPr>
                <w:rFonts w:ascii="Times New Roman" w:hAnsi="Times New Roman"/>
                <w:i/>
              </w:rPr>
              <w:t>Планът за действие относно</w:t>
            </w:r>
            <w:r w:rsidRPr="00FA548A">
              <w:rPr>
                <w:rFonts w:ascii="Times New Roman" w:hAnsi="Times New Roman"/>
                <w:i/>
              </w:rPr>
              <w:t xml:space="preserve"> кръгова</w:t>
            </w:r>
            <w:r w:rsidR="002A5C03">
              <w:rPr>
                <w:rFonts w:ascii="Times New Roman" w:hAnsi="Times New Roman"/>
                <w:i/>
              </w:rPr>
              <w:t>та</w:t>
            </w:r>
            <w:r w:rsidRPr="00FA548A">
              <w:rPr>
                <w:rFonts w:ascii="Times New Roman" w:hAnsi="Times New Roman"/>
                <w:i/>
              </w:rPr>
              <w:t xml:space="preserve"> икономика </w:t>
            </w:r>
            <w:r w:rsidRPr="00FA548A">
              <w:rPr>
                <w:rFonts w:ascii="Times New Roman" w:hAnsi="Times New Roman"/>
                <w:i/>
              </w:rPr>
              <w:lastRenderedPageBreak/>
              <w:t>(</w:t>
            </w:r>
            <w:proofErr w:type="spellStart"/>
            <w:r w:rsidRPr="00FA548A">
              <w:rPr>
                <w:rFonts w:ascii="Times New Roman" w:hAnsi="Times New Roman"/>
                <w:i/>
              </w:rPr>
              <w:t>Circular</w:t>
            </w:r>
            <w:proofErr w:type="spellEnd"/>
            <w:r w:rsidRPr="00FA548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A548A">
              <w:rPr>
                <w:rFonts w:ascii="Times New Roman" w:hAnsi="Times New Roman"/>
                <w:i/>
              </w:rPr>
              <w:t>Economy</w:t>
            </w:r>
            <w:proofErr w:type="spellEnd"/>
            <w:r w:rsidRPr="00FA548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A548A">
              <w:rPr>
                <w:rFonts w:ascii="Times New Roman" w:hAnsi="Times New Roman"/>
                <w:i/>
              </w:rPr>
              <w:t>Action</w:t>
            </w:r>
            <w:proofErr w:type="spellEnd"/>
            <w:r w:rsidRPr="00FA548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A548A">
              <w:rPr>
                <w:rFonts w:ascii="Times New Roman" w:hAnsi="Times New Roman"/>
                <w:i/>
              </w:rPr>
              <w:t>Plan</w:t>
            </w:r>
            <w:proofErr w:type="spellEnd"/>
            <w:r w:rsidRPr="00FA548A">
              <w:rPr>
                <w:rFonts w:ascii="Times New Roman" w:hAnsi="Times New Roman"/>
                <w:i/>
                <w:vertAlign w:val="superscript"/>
              </w:rPr>
              <w:footnoteReference w:id="2"/>
            </w:r>
            <w:r w:rsidRPr="00FA548A">
              <w:rPr>
                <w:rFonts w:ascii="Times New Roman" w:hAnsi="Times New Roman"/>
                <w:i/>
              </w:rPr>
              <w:t>)</w:t>
            </w:r>
            <w:r w:rsidRPr="00CC7832">
              <w:rPr>
                <w:rFonts w:ascii="Times New Roman" w:hAnsi="Times New Roman"/>
              </w:rPr>
              <w:t>, който включва инициативи, обхващащи целия жизнен цикъл на продуктите, включително начина, по който те се проектират, както и предотвратяване</w:t>
            </w:r>
            <w:r w:rsidR="00ED53D3">
              <w:rPr>
                <w:rFonts w:ascii="Times New Roman" w:hAnsi="Times New Roman"/>
              </w:rPr>
              <w:t xml:space="preserve"> </w:t>
            </w:r>
            <w:r w:rsidR="004B7A2A">
              <w:rPr>
                <w:rFonts w:ascii="Times New Roman" w:hAnsi="Times New Roman"/>
              </w:rPr>
              <w:t>образуване</w:t>
            </w:r>
            <w:r w:rsidR="002A5C03">
              <w:rPr>
                <w:rFonts w:ascii="Times New Roman" w:hAnsi="Times New Roman"/>
              </w:rPr>
              <w:t>то на отпадъци</w:t>
            </w:r>
            <w:r w:rsidRPr="00CC7832">
              <w:rPr>
                <w:rFonts w:ascii="Times New Roman" w:hAnsi="Times New Roman"/>
              </w:rPr>
              <w:t xml:space="preserve"> и задържането на използваните ресурси в икономиката на ЕС възможно най-дъл</w:t>
            </w:r>
            <w:r w:rsidR="009C124E">
              <w:rPr>
                <w:rFonts w:ascii="Times New Roman" w:hAnsi="Times New Roman"/>
              </w:rPr>
              <w:t>го</w:t>
            </w:r>
            <w:r w:rsidRPr="00CC7832">
              <w:rPr>
                <w:rFonts w:ascii="Times New Roman" w:hAnsi="Times New Roman"/>
              </w:rPr>
              <w:t xml:space="preserve"> време. Ключов момент в </w:t>
            </w:r>
            <w:r w:rsidR="006A5382">
              <w:rPr>
                <w:rFonts w:ascii="Times New Roman" w:hAnsi="Times New Roman"/>
              </w:rPr>
              <w:t>бъдещото</w:t>
            </w:r>
            <w:r w:rsidR="006A5382" w:rsidRPr="00CC7832">
              <w:rPr>
                <w:rFonts w:ascii="Times New Roman" w:hAnsi="Times New Roman"/>
              </w:rPr>
              <w:t xml:space="preserve"> </w:t>
            </w:r>
            <w:r w:rsidRPr="00CC7832">
              <w:rPr>
                <w:rFonts w:ascii="Times New Roman" w:hAnsi="Times New Roman"/>
              </w:rPr>
              <w:t xml:space="preserve">развитие </w:t>
            </w:r>
            <w:r w:rsidR="006A5382">
              <w:rPr>
                <w:rFonts w:ascii="Times New Roman" w:hAnsi="Times New Roman"/>
              </w:rPr>
              <w:t xml:space="preserve">на политиките в областта на кръговата икономика </w:t>
            </w:r>
            <w:r w:rsidRPr="00CC7832">
              <w:rPr>
                <w:rFonts w:ascii="Times New Roman" w:hAnsi="Times New Roman"/>
              </w:rPr>
              <w:t xml:space="preserve">е предстоящото през 2026 г. приемане на </w:t>
            </w:r>
            <w:r w:rsidRPr="00FA548A">
              <w:rPr>
                <w:rFonts w:ascii="Times New Roman" w:hAnsi="Times New Roman"/>
                <w:i/>
              </w:rPr>
              <w:t>Закона за кръговата икономика (</w:t>
            </w:r>
            <w:proofErr w:type="spellStart"/>
            <w:r w:rsidRPr="00FA548A">
              <w:rPr>
                <w:rFonts w:ascii="Times New Roman" w:hAnsi="Times New Roman"/>
                <w:i/>
              </w:rPr>
              <w:t>Circular</w:t>
            </w:r>
            <w:proofErr w:type="spellEnd"/>
            <w:r w:rsidRPr="00FA548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A548A">
              <w:rPr>
                <w:rFonts w:ascii="Times New Roman" w:hAnsi="Times New Roman"/>
                <w:i/>
              </w:rPr>
              <w:t>Economy</w:t>
            </w:r>
            <w:proofErr w:type="spellEnd"/>
            <w:r w:rsidRPr="00FA548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A548A">
              <w:rPr>
                <w:rFonts w:ascii="Times New Roman" w:hAnsi="Times New Roman"/>
                <w:i/>
              </w:rPr>
              <w:t>Act</w:t>
            </w:r>
            <w:proofErr w:type="spellEnd"/>
            <w:r w:rsidRPr="00FA548A">
              <w:rPr>
                <w:rFonts w:ascii="Times New Roman" w:hAnsi="Times New Roman"/>
                <w:i/>
              </w:rPr>
              <w:t>)</w:t>
            </w:r>
            <w:r w:rsidRPr="00CC7832">
              <w:rPr>
                <w:rFonts w:ascii="Times New Roman" w:hAnsi="Times New Roman"/>
              </w:rPr>
              <w:t xml:space="preserve">. Той </w:t>
            </w:r>
            <w:r w:rsidR="006A5382">
              <w:rPr>
                <w:rFonts w:ascii="Times New Roman" w:hAnsi="Times New Roman"/>
              </w:rPr>
              <w:t>е насочен към създаването на</w:t>
            </w:r>
            <w:r w:rsidRPr="00CC7832">
              <w:rPr>
                <w:rFonts w:ascii="Times New Roman" w:hAnsi="Times New Roman"/>
              </w:rPr>
              <w:t xml:space="preserve"> единен пазар за вторични суровини </w:t>
            </w:r>
            <w:r w:rsidR="006A5382">
              <w:rPr>
                <w:rFonts w:ascii="Times New Roman" w:hAnsi="Times New Roman"/>
              </w:rPr>
              <w:t>с цел удвояване на</w:t>
            </w:r>
            <w:r w:rsidRPr="00CC7832">
              <w:rPr>
                <w:rFonts w:ascii="Times New Roman" w:hAnsi="Times New Roman"/>
              </w:rPr>
              <w:t xml:space="preserve"> процента на кръгово използване на материалите в ЕС от около 12 % понастоящем до 24 % до 2030 г.</w:t>
            </w:r>
            <w:r w:rsidR="009C124E">
              <w:rPr>
                <w:rFonts w:ascii="Times New Roman" w:hAnsi="Times New Roman"/>
              </w:rPr>
              <w:t xml:space="preserve"> </w:t>
            </w:r>
            <w:r w:rsidRPr="00CC7832">
              <w:rPr>
                <w:rFonts w:ascii="Times New Roman" w:hAnsi="Times New Roman"/>
              </w:rPr>
              <w:t xml:space="preserve">Тази цел е част и от </w:t>
            </w:r>
            <w:r w:rsidRPr="00FA548A">
              <w:rPr>
                <w:rFonts w:ascii="Times New Roman" w:hAnsi="Times New Roman"/>
                <w:i/>
              </w:rPr>
              <w:t>Пакта за чиста промишленост (Clean Industrial Deal</w:t>
            </w:r>
            <w:r w:rsidRPr="00FA548A">
              <w:rPr>
                <w:rFonts w:ascii="Times New Roman" w:hAnsi="Times New Roman"/>
                <w:i/>
                <w:vertAlign w:val="superscript"/>
              </w:rPr>
              <w:footnoteReference w:id="3"/>
            </w:r>
            <w:r w:rsidRPr="00FA548A">
              <w:rPr>
                <w:rFonts w:ascii="Times New Roman" w:hAnsi="Times New Roman"/>
                <w:i/>
              </w:rPr>
              <w:t>)</w:t>
            </w:r>
            <w:r w:rsidRPr="00CC7832">
              <w:rPr>
                <w:rFonts w:ascii="Times New Roman" w:hAnsi="Times New Roman"/>
              </w:rPr>
              <w:t xml:space="preserve">, насочен към съчетаване на </w:t>
            </w:r>
            <w:r w:rsidR="006A5382">
              <w:rPr>
                <w:rFonts w:ascii="Times New Roman" w:hAnsi="Times New Roman"/>
              </w:rPr>
              <w:t xml:space="preserve">политиките за </w:t>
            </w:r>
            <w:r w:rsidR="002A5C03">
              <w:rPr>
                <w:rFonts w:ascii="Times New Roman" w:hAnsi="Times New Roman"/>
              </w:rPr>
              <w:t>декарбонизация</w:t>
            </w:r>
            <w:r w:rsidRPr="00CC7832">
              <w:rPr>
                <w:rFonts w:ascii="Times New Roman" w:hAnsi="Times New Roman"/>
              </w:rPr>
              <w:t xml:space="preserve"> </w:t>
            </w:r>
            <w:r w:rsidR="002A5C03">
              <w:rPr>
                <w:rFonts w:ascii="Times New Roman" w:hAnsi="Times New Roman"/>
              </w:rPr>
              <w:t xml:space="preserve">с целите </w:t>
            </w:r>
            <w:r w:rsidR="006A5382">
              <w:rPr>
                <w:rFonts w:ascii="Times New Roman" w:hAnsi="Times New Roman"/>
              </w:rPr>
              <w:t>за</w:t>
            </w:r>
            <w:r w:rsidRPr="00CC7832">
              <w:rPr>
                <w:rFonts w:ascii="Times New Roman" w:hAnsi="Times New Roman"/>
              </w:rPr>
              <w:t xml:space="preserve"> </w:t>
            </w:r>
            <w:r w:rsidR="006A5382">
              <w:rPr>
                <w:rFonts w:ascii="Times New Roman" w:hAnsi="Times New Roman"/>
              </w:rPr>
              <w:t xml:space="preserve">повишаване на </w:t>
            </w:r>
            <w:r w:rsidRPr="00CC7832">
              <w:rPr>
                <w:rFonts w:ascii="Times New Roman" w:hAnsi="Times New Roman"/>
              </w:rPr>
              <w:t xml:space="preserve">конкурентоспособността на индустрията. Той подкрепя прехода към нулеви емисии, ускоряване на инвестициите в чисти технологии и кръгова икономика. Успоредно с европейските инициативи в рамките на Плана за действие относно кръговата икономика, държавите членки се насърчават да приемат и да прилагат кръгови стратегии на национално, регионално и градско равнище. Те следва да бъдат съобразени със съответните реалности на национално и местно равнище, за да се оползотвори потенциалът на икономиките за сближаване. </w:t>
            </w:r>
          </w:p>
          <w:p w14:paraId="4745C625" w14:textId="26042CF7" w:rsidR="00CC7832" w:rsidRPr="00CC7832" w:rsidRDefault="002A5C03" w:rsidP="00CC7832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Съгласно</w:t>
            </w:r>
            <w:r w:rsidR="00CC7832" w:rsidRPr="00CC7832">
              <w:rPr>
                <w:rFonts w:ascii="Times New Roman" w:hAnsi="Times New Roman"/>
              </w:rPr>
              <w:t xml:space="preserve"> </w:t>
            </w:r>
            <w:r w:rsidR="00CC7832" w:rsidRPr="00FA548A">
              <w:rPr>
                <w:rFonts w:ascii="Times New Roman" w:hAnsi="Times New Roman"/>
                <w:i/>
              </w:rPr>
              <w:t>Доклада за България относно изпълнението на политиките на ЕС в областта на околната среда за 2025 г.</w:t>
            </w:r>
            <w:r w:rsidR="00CC7832" w:rsidRPr="00CC7832">
              <w:rPr>
                <w:rFonts w:ascii="Times New Roman" w:hAnsi="Times New Roman"/>
                <w:vertAlign w:val="superscript"/>
              </w:rPr>
              <w:footnoteReference w:id="4"/>
            </w:r>
            <w:r w:rsidR="00CC7832" w:rsidRPr="00CC7832">
              <w:rPr>
                <w:rFonts w:ascii="Times New Roman" w:hAnsi="Times New Roman"/>
              </w:rPr>
              <w:t>, процентът на кръгово използване на материалите в страната достига най-високата си стойност от 5,8 % през 2020 г., след което намалява в периода до 2022 г.</w:t>
            </w:r>
            <w:r w:rsidR="008A39A8">
              <w:rPr>
                <w:rFonts w:ascii="Times New Roman" w:hAnsi="Times New Roman"/>
              </w:rPr>
              <w:t xml:space="preserve"> Впоследствие показателят</w:t>
            </w:r>
            <w:r w:rsidR="00CC7832" w:rsidRPr="00CC7832">
              <w:rPr>
                <w:rFonts w:ascii="Times New Roman" w:hAnsi="Times New Roman"/>
              </w:rPr>
              <w:t xml:space="preserve"> </w:t>
            </w:r>
            <w:r w:rsidR="0059745A">
              <w:rPr>
                <w:rFonts w:ascii="Times New Roman" w:hAnsi="Times New Roman"/>
              </w:rPr>
              <w:t xml:space="preserve"> постепенно</w:t>
            </w:r>
            <w:r w:rsidR="00CC7832" w:rsidRPr="00CC7832">
              <w:rPr>
                <w:rFonts w:ascii="Times New Roman" w:hAnsi="Times New Roman"/>
              </w:rPr>
              <w:t xml:space="preserve"> </w:t>
            </w:r>
            <w:r w:rsidR="0059745A">
              <w:rPr>
                <w:rFonts w:ascii="Times New Roman" w:hAnsi="Times New Roman"/>
              </w:rPr>
              <w:t xml:space="preserve">започва да </w:t>
            </w:r>
            <w:r>
              <w:rPr>
                <w:rFonts w:ascii="Times New Roman" w:hAnsi="Times New Roman"/>
              </w:rPr>
              <w:t>нараства, достигайки 4,9</w:t>
            </w:r>
            <w:r w:rsidR="00CC7832" w:rsidRPr="00CC7832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 xml:space="preserve"> през 2023 г. и 5</w:t>
            </w:r>
            <w:r w:rsidR="0059745A">
              <w:rPr>
                <w:rFonts w:ascii="Times New Roman" w:hAnsi="Times New Roman"/>
              </w:rPr>
              <w:t>% - през 2024 г</w:t>
            </w:r>
            <w:r w:rsidR="00CC7832" w:rsidRPr="00CC7832">
              <w:rPr>
                <w:rFonts w:ascii="Times New Roman" w:hAnsi="Times New Roman"/>
              </w:rPr>
              <w:t>. Въпреки това</w:t>
            </w:r>
            <w:r>
              <w:rPr>
                <w:rFonts w:ascii="Times New Roman" w:hAnsi="Times New Roman"/>
              </w:rPr>
              <w:t>,</w:t>
            </w:r>
            <w:r w:rsidR="00CC7832" w:rsidRPr="00CC7832">
              <w:rPr>
                <w:rFonts w:ascii="Times New Roman" w:hAnsi="Times New Roman"/>
              </w:rPr>
              <w:t xml:space="preserve"> равнището </w:t>
            </w:r>
            <w:r w:rsidR="004B7A2A">
              <w:rPr>
                <w:rFonts w:ascii="Times New Roman" w:hAnsi="Times New Roman"/>
              </w:rPr>
              <w:t xml:space="preserve">му </w:t>
            </w:r>
            <w:r w:rsidR="00CC7832" w:rsidRPr="00CC7832">
              <w:rPr>
                <w:rFonts w:ascii="Times New Roman" w:hAnsi="Times New Roman"/>
              </w:rPr>
              <w:t>остава значително под средното за ЕС, което е приблизително</w:t>
            </w:r>
            <w:r w:rsidR="008A39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12</w:t>
            </w:r>
            <w:r w:rsidR="00CC7832" w:rsidRPr="00CC7832">
              <w:rPr>
                <w:rFonts w:ascii="Times New Roman" w:hAnsi="Times New Roman"/>
              </w:rPr>
              <w:t>%. Производителността на ресурсите</w:t>
            </w:r>
            <w:r w:rsidR="00760A9D">
              <w:rPr>
                <w:rFonts w:ascii="Times New Roman" w:hAnsi="Times New Roman"/>
              </w:rPr>
              <w:t xml:space="preserve"> </w:t>
            </w:r>
            <w:r w:rsidR="00760A9D" w:rsidRPr="00760A9D">
              <w:rPr>
                <w:rFonts w:ascii="Times New Roman" w:hAnsi="Times New Roman"/>
              </w:rPr>
              <w:t xml:space="preserve">e друг </w:t>
            </w:r>
            <w:r w:rsidR="0065417D">
              <w:rPr>
                <w:rFonts w:ascii="Times New Roman" w:hAnsi="Times New Roman"/>
              </w:rPr>
              <w:t xml:space="preserve">ключов </w:t>
            </w:r>
            <w:r w:rsidR="00760A9D" w:rsidRPr="00760A9D">
              <w:rPr>
                <w:rFonts w:ascii="Times New Roman" w:hAnsi="Times New Roman"/>
              </w:rPr>
              <w:t xml:space="preserve">показател, включен в </w:t>
            </w:r>
            <w:r w:rsidR="008A39A8">
              <w:rPr>
                <w:rFonts w:ascii="Times New Roman" w:hAnsi="Times New Roman"/>
              </w:rPr>
              <w:t>Д</w:t>
            </w:r>
            <w:r w:rsidR="00760A9D" w:rsidRPr="00760A9D">
              <w:rPr>
                <w:rFonts w:ascii="Times New Roman" w:hAnsi="Times New Roman"/>
              </w:rPr>
              <w:t>оклада, който</w:t>
            </w:r>
            <w:r w:rsidR="00760A9D">
              <w:rPr>
                <w:rFonts w:ascii="Times New Roman" w:hAnsi="Times New Roman"/>
              </w:rPr>
              <w:t xml:space="preserve"> </w:t>
            </w:r>
            <w:r w:rsidR="00CC7832" w:rsidRPr="00CC7832">
              <w:rPr>
                <w:rFonts w:ascii="Times New Roman" w:hAnsi="Times New Roman"/>
              </w:rPr>
              <w:t xml:space="preserve">измерва съотношението между общото количество материали, използвани пряко </w:t>
            </w:r>
            <w:r w:rsidR="0065417D">
              <w:rPr>
                <w:rFonts w:ascii="Times New Roman" w:hAnsi="Times New Roman"/>
              </w:rPr>
              <w:t>в</w:t>
            </w:r>
            <w:r w:rsidR="00CC7832" w:rsidRPr="00CC7832">
              <w:rPr>
                <w:rFonts w:ascii="Times New Roman" w:hAnsi="Times New Roman"/>
              </w:rPr>
              <w:t xml:space="preserve"> икономика</w:t>
            </w:r>
            <w:r w:rsidR="0065417D">
              <w:rPr>
                <w:rFonts w:ascii="Times New Roman" w:hAnsi="Times New Roman"/>
              </w:rPr>
              <w:t>та</w:t>
            </w:r>
            <w:r w:rsidR="00CC7832" w:rsidRPr="00CC7832">
              <w:rPr>
                <w:rFonts w:ascii="Times New Roman" w:hAnsi="Times New Roman"/>
              </w:rPr>
              <w:t xml:space="preserve"> и брутния вътрешен продукт (БВП). </w:t>
            </w:r>
            <w:r w:rsidR="0065417D">
              <w:rPr>
                <w:rFonts w:ascii="Times New Roman" w:hAnsi="Times New Roman"/>
              </w:rPr>
              <w:t xml:space="preserve">По данни на Евростат </w:t>
            </w:r>
            <w:r w:rsidR="008A39A8">
              <w:rPr>
                <w:rFonts w:ascii="Times New Roman" w:hAnsi="Times New Roman"/>
              </w:rPr>
              <w:t>за</w:t>
            </w:r>
            <w:r w:rsidR="00CC7832" w:rsidRPr="00CC7832">
              <w:rPr>
                <w:rFonts w:ascii="Times New Roman" w:hAnsi="Times New Roman"/>
              </w:rPr>
              <w:t xml:space="preserve"> 202</w:t>
            </w:r>
            <w:r w:rsidR="0065417D">
              <w:rPr>
                <w:rFonts w:ascii="Times New Roman" w:hAnsi="Times New Roman"/>
              </w:rPr>
              <w:t>4</w:t>
            </w:r>
            <w:r w:rsidR="00CC7832" w:rsidRPr="00CC7832">
              <w:rPr>
                <w:rFonts w:ascii="Times New Roman" w:hAnsi="Times New Roman"/>
              </w:rPr>
              <w:t xml:space="preserve"> г. </w:t>
            </w:r>
            <w:r w:rsidR="0065417D">
              <w:rPr>
                <w:rFonts w:ascii="Times New Roman" w:hAnsi="Times New Roman"/>
              </w:rPr>
              <w:t>стойността на този показател за</w:t>
            </w:r>
            <w:r w:rsidR="00CC7832" w:rsidRPr="00CC7832">
              <w:rPr>
                <w:rFonts w:ascii="Times New Roman" w:hAnsi="Times New Roman"/>
              </w:rPr>
              <w:t xml:space="preserve"> България </w:t>
            </w:r>
            <w:r w:rsidR="008A39A8">
              <w:rPr>
                <w:rFonts w:ascii="Times New Roman" w:hAnsi="Times New Roman"/>
              </w:rPr>
              <w:t xml:space="preserve">е </w:t>
            </w:r>
            <w:r w:rsidR="00CC7832" w:rsidRPr="00CC7832">
              <w:rPr>
                <w:rFonts w:ascii="Times New Roman" w:hAnsi="Times New Roman"/>
              </w:rPr>
              <w:t>0,3</w:t>
            </w:r>
            <w:r w:rsidR="0065417D">
              <w:rPr>
                <w:rFonts w:ascii="Times New Roman" w:hAnsi="Times New Roman"/>
              </w:rPr>
              <w:t>9</w:t>
            </w:r>
            <w:r w:rsidR="00CC7832" w:rsidRPr="00CC7832">
              <w:rPr>
                <w:rFonts w:ascii="Times New Roman" w:hAnsi="Times New Roman"/>
              </w:rPr>
              <w:t xml:space="preserve"> </w:t>
            </w:r>
            <w:r w:rsidR="0065417D">
              <w:rPr>
                <w:rFonts w:ascii="Times New Roman" w:hAnsi="Times New Roman"/>
              </w:rPr>
              <w:t>евро</w:t>
            </w:r>
            <w:r w:rsidR="00CC7832" w:rsidRPr="00CC7832">
              <w:rPr>
                <w:rFonts w:ascii="Times New Roman" w:hAnsi="Times New Roman"/>
              </w:rPr>
              <w:t>/кг.</w:t>
            </w:r>
            <w:r w:rsidR="0065417D">
              <w:rPr>
                <w:rFonts w:ascii="Times New Roman" w:hAnsi="Times New Roman"/>
              </w:rPr>
              <w:t xml:space="preserve"> </w:t>
            </w:r>
            <w:r w:rsidR="0065417D" w:rsidRPr="0065417D">
              <w:rPr>
                <w:rFonts w:ascii="Times New Roman" w:hAnsi="Times New Roman"/>
              </w:rPr>
              <w:t>(БВП на килограм използвани материали)</w:t>
            </w:r>
            <w:r w:rsidR="00CC7832" w:rsidRPr="00CC7832">
              <w:rPr>
                <w:rFonts w:ascii="Times New Roman" w:hAnsi="Times New Roman"/>
              </w:rPr>
              <w:t xml:space="preserve">, което </w:t>
            </w:r>
            <w:r>
              <w:rPr>
                <w:rFonts w:ascii="Times New Roman" w:hAnsi="Times New Roman"/>
              </w:rPr>
              <w:t xml:space="preserve">също </w:t>
            </w:r>
            <w:r w:rsidR="00CC7832" w:rsidRPr="00CC7832">
              <w:rPr>
                <w:rFonts w:ascii="Times New Roman" w:hAnsi="Times New Roman"/>
              </w:rPr>
              <w:t>е значително под средното равнище за ЕС от 2,</w:t>
            </w:r>
            <w:r w:rsidR="0065417D">
              <w:rPr>
                <w:rFonts w:ascii="Times New Roman" w:hAnsi="Times New Roman"/>
              </w:rPr>
              <w:t>7</w:t>
            </w:r>
            <w:r w:rsidR="00CC7832" w:rsidRPr="00CC7832">
              <w:rPr>
                <w:rFonts w:ascii="Times New Roman" w:hAnsi="Times New Roman"/>
              </w:rPr>
              <w:t xml:space="preserve"> </w:t>
            </w:r>
            <w:r w:rsidR="0065417D">
              <w:rPr>
                <w:rFonts w:ascii="Times New Roman" w:hAnsi="Times New Roman"/>
              </w:rPr>
              <w:t>евро</w:t>
            </w:r>
            <w:r w:rsidR="00CC7832" w:rsidRPr="00CC7832">
              <w:rPr>
                <w:rFonts w:ascii="Times New Roman" w:hAnsi="Times New Roman"/>
              </w:rPr>
              <w:t>/кг.</w:t>
            </w:r>
          </w:p>
          <w:p w14:paraId="5ACF4FE8" w14:textId="658974D3" w:rsidR="00CC7832" w:rsidRPr="00CC7832" w:rsidRDefault="00CC7832" w:rsidP="00CC7832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CC7832">
              <w:rPr>
                <w:rFonts w:ascii="Times New Roman" w:hAnsi="Times New Roman"/>
              </w:rPr>
              <w:t xml:space="preserve">През </w:t>
            </w:r>
            <w:r w:rsidR="002A5C03">
              <w:rPr>
                <w:rFonts w:ascii="Times New Roman" w:hAnsi="Times New Roman"/>
              </w:rPr>
              <w:t>октомври 2022 г. в България е приета</w:t>
            </w:r>
            <w:r w:rsidRPr="00CC7832">
              <w:rPr>
                <w:rFonts w:ascii="Times New Roman" w:hAnsi="Times New Roman"/>
              </w:rPr>
              <w:t xml:space="preserve"> Стратегия за преход към кръгова икономи</w:t>
            </w:r>
            <w:r w:rsidR="002A5C03">
              <w:rPr>
                <w:rFonts w:ascii="Times New Roman" w:hAnsi="Times New Roman"/>
              </w:rPr>
              <w:t>ка за периода 2022 – 2027 г. и П</w:t>
            </w:r>
            <w:r w:rsidRPr="00CC7832">
              <w:rPr>
                <w:rFonts w:ascii="Times New Roman" w:hAnsi="Times New Roman"/>
              </w:rPr>
              <w:t xml:space="preserve">лан за действие към нея. Документът поставя три основни цели: развитие на екосъобразна и конкурентоспособна икономика, намаляване на отпадъците и по-ефективно използване на ресурсите, както и насърчаване на икономика в полза на потребителите. Основен акцент е подобряването на ресурсната ефективност чрез предотвратяване на отпадъците, повторна употреба, рециклиране и ограничаване на депонирането. </w:t>
            </w:r>
          </w:p>
          <w:p w14:paraId="694750E2" w14:textId="6BA5BF7C" w:rsidR="00965AB7" w:rsidRDefault="00CC7832" w:rsidP="00965AB7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CC7832">
              <w:rPr>
                <w:rFonts w:ascii="Times New Roman" w:hAnsi="Times New Roman"/>
              </w:rPr>
              <w:t xml:space="preserve">В </w:t>
            </w:r>
            <w:r w:rsidR="00924817">
              <w:rPr>
                <w:rFonts w:ascii="Times New Roman" w:hAnsi="Times New Roman"/>
              </w:rPr>
              <w:t>съответствие с европейските и национални политики</w:t>
            </w:r>
            <w:r w:rsidR="00965AB7">
              <w:rPr>
                <w:rFonts w:ascii="Times New Roman" w:hAnsi="Times New Roman"/>
              </w:rPr>
              <w:t xml:space="preserve"> в областта</w:t>
            </w:r>
            <w:r w:rsidR="00924817">
              <w:rPr>
                <w:rFonts w:ascii="Times New Roman" w:hAnsi="Times New Roman"/>
              </w:rPr>
              <w:t xml:space="preserve">, </w:t>
            </w:r>
            <w:r w:rsidRPr="00CC7832">
              <w:rPr>
                <w:rFonts w:ascii="Times New Roman" w:hAnsi="Times New Roman"/>
              </w:rPr>
              <w:t xml:space="preserve">настоящата процедура е пряко насочена към </w:t>
            </w:r>
            <w:r w:rsidR="00965AB7">
              <w:rPr>
                <w:rFonts w:ascii="Times New Roman" w:hAnsi="Times New Roman"/>
              </w:rPr>
              <w:t>увеличаване на</w:t>
            </w:r>
            <w:r w:rsidRPr="00CC7832">
              <w:rPr>
                <w:rFonts w:ascii="Times New Roman" w:hAnsi="Times New Roman"/>
              </w:rPr>
              <w:t xml:space="preserve"> инвестициите </w:t>
            </w:r>
            <w:r w:rsidR="00965AB7">
              <w:rPr>
                <w:rFonts w:ascii="Times New Roman" w:hAnsi="Times New Roman"/>
              </w:rPr>
              <w:t xml:space="preserve">на предприятията </w:t>
            </w:r>
            <w:r w:rsidR="0082582D">
              <w:rPr>
                <w:rFonts w:ascii="Times New Roman" w:hAnsi="Times New Roman"/>
              </w:rPr>
              <w:lastRenderedPageBreak/>
              <w:t xml:space="preserve">за </w:t>
            </w:r>
            <w:r w:rsidRPr="00CC7832">
              <w:rPr>
                <w:rFonts w:ascii="Times New Roman" w:hAnsi="Times New Roman"/>
              </w:rPr>
              <w:t>прилагане</w:t>
            </w:r>
            <w:r w:rsidR="00965AB7">
              <w:rPr>
                <w:rFonts w:ascii="Times New Roman" w:hAnsi="Times New Roman"/>
              </w:rPr>
              <w:t>то</w:t>
            </w:r>
            <w:r w:rsidRPr="00CC7832">
              <w:rPr>
                <w:rFonts w:ascii="Times New Roman" w:hAnsi="Times New Roman"/>
              </w:rPr>
              <w:t xml:space="preserve"> на зелени технологии за </w:t>
            </w:r>
            <w:r w:rsidR="002A5C03">
              <w:rPr>
                <w:rFonts w:ascii="Times New Roman" w:hAnsi="Times New Roman"/>
              </w:rPr>
              <w:t xml:space="preserve">намаляване, </w:t>
            </w:r>
            <w:r w:rsidRPr="00CC7832">
              <w:rPr>
                <w:rFonts w:ascii="Times New Roman" w:hAnsi="Times New Roman"/>
              </w:rPr>
              <w:t>рециклиране и повторна употреба на отпадъци</w:t>
            </w:r>
            <w:r w:rsidR="002A5C03">
              <w:rPr>
                <w:rFonts w:ascii="Times New Roman" w:hAnsi="Times New Roman"/>
              </w:rPr>
              <w:t>те</w:t>
            </w:r>
            <w:r w:rsidRPr="00CC7832">
              <w:rPr>
                <w:rFonts w:ascii="Times New Roman" w:hAnsi="Times New Roman"/>
              </w:rPr>
              <w:t xml:space="preserve">, увеличаване използването на ресурси на биологична основа, ограничаване употребата на </w:t>
            </w:r>
            <w:r w:rsidR="002A5C03">
              <w:rPr>
                <w:rFonts w:ascii="Times New Roman" w:hAnsi="Times New Roman"/>
              </w:rPr>
              <w:t>опаковки</w:t>
            </w:r>
            <w:r w:rsidRPr="00CC7832">
              <w:rPr>
                <w:rFonts w:ascii="Times New Roman" w:hAnsi="Times New Roman"/>
              </w:rPr>
              <w:t>, удължаване на жизнения цик</w:t>
            </w:r>
            <w:r w:rsidR="002A5C03">
              <w:rPr>
                <w:rFonts w:ascii="Times New Roman" w:hAnsi="Times New Roman"/>
              </w:rPr>
              <w:t>ъл на продуктите и услугите и други</w:t>
            </w:r>
            <w:r w:rsidRPr="00CC7832">
              <w:rPr>
                <w:rFonts w:ascii="Times New Roman" w:hAnsi="Times New Roman"/>
              </w:rPr>
              <w:t xml:space="preserve">, осигуряващи създаването на стойност въз основа на кръгови модели за производство и потребление. </w:t>
            </w:r>
          </w:p>
          <w:p w14:paraId="60108B32" w14:textId="37401CB3" w:rsidR="00317509" w:rsidRPr="000D420D" w:rsidRDefault="00B23E43" w:rsidP="005434F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B23E43">
              <w:rPr>
                <w:rFonts w:ascii="Times New Roman" w:hAnsi="Times New Roman"/>
              </w:rPr>
              <w:t xml:space="preserve">По настоящата процедура с приоритет ще се подкрепят </w:t>
            </w:r>
            <w:r w:rsidR="002A5C03">
              <w:rPr>
                <w:rFonts w:ascii="Times New Roman" w:hAnsi="Times New Roman"/>
              </w:rPr>
              <w:t>проекти</w:t>
            </w:r>
            <w:r w:rsidRPr="00B23E43">
              <w:rPr>
                <w:rFonts w:ascii="Times New Roman" w:hAnsi="Times New Roman"/>
              </w:rPr>
              <w:t xml:space="preserve">, които </w:t>
            </w:r>
            <w:r w:rsidR="0082582D">
              <w:rPr>
                <w:rFonts w:ascii="Times New Roman" w:hAnsi="Times New Roman"/>
              </w:rPr>
              <w:t xml:space="preserve">ще </w:t>
            </w:r>
            <w:r w:rsidRPr="00B23E43">
              <w:rPr>
                <w:rFonts w:ascii="Times New Roman" w:hAnsi="Times New Roman"/>
              </w:rPr>
              <w:t>се изпълняват на територията на общини</w:t>
            </w:r>
            <w:r w:rsidR="00965AB7">
              <w:rPr>
                <w:rFonts w:ascii="Times New Roman" w:hAnsi="Times New Roman"/>
              </w:rPr>
              <w:t xml:space="preserve"> с</w:t>
            </w:r>
            <w:r w:rsidRPr="00B23E43">
              <w:rPr>
                <w:rFonts w:ascii="Times New Roman" w:hAnsi="Times New Roman"/>
              </w:rPr>
              <w:t xml:space="preserve"> одобрени концепции за </w:t>
            </w:r>
            <w:r w:rsidR="002A5C03">
              <w:rPr>
                <w:rFonts w:ascii="Times New Roman" w:hAnsi="Times New Roman"/>
              </w:rPr>
              <w:t>ИТИ</w:t>
            </w:r>
            <w:r w:rsidRPr="00B23E43">
              <w:rPr>
                <w:rFonts w:ascii="Times New Roman" w:hAnsi="Times New Roman"/>
              </w:rPr>
              <w:t>, включващи дейности по Програма „Конкурентоспособ</w:t>
            </w:r>
            <w:r w:rsidR="00965AB7">
              <w:rPr>
                <w:rFonts w:ascii="Times New Roman" w:hAnsi="Times New Roman"/>
              </w:rPr>
              <w:t>ност и иновации в предприятията</w:t>
            </w:r>
            <w:r w:rsidR="00965AB7" w:rsidRPr="00965AB7">
              <w:rPr>
                <w:rFonts w:ascii="Times New Roman" w:hAnsi="Times New Roman"/>
              </w:rPr>
              <w:t>”</w:t>
            </w:r>
            <w:r w:rsidRPr="00B23E43">
              <w:rPr>
                <w:rFonts w:ascii="Times New Roman" w:hAnsi="Times New Roman"/>
              </w:rPr>
              <w:t xml:space="preserve"> </w:t>
            </w:r>
            <w:r w:rsidR="00965AB7">
              <w:rPr>
                <w:rFonts w:ascii="Times New Roman" w:hAnsi="Times New Roman"/>
              </w:rPr>
              <w:t xml:space="preserve">2021-2027 </w:t>
            </w:r>
            <w:r w:rsidRPr="00B23E43">
              <w:rPr>
                <w:rFonts w:ascii="Times New Roman" w:hAnsi="Times New Roman"/>
              </w:rPr>
              <w:t>(ПКИП)</w:t>
            </w:r>
            <w:r w:rsidR="00965AB7" w:rsidRPr="009B29F6">
              <w:rPr>
                <w:rFonts w:ascii="Times New Roman" w:hAnsi="Times New Roman"/>
              </w:rPr>
              <w:t xml:space="preserve"> </w:t>
            </w:r>
            <w:r w:rsidRPr="00B23E43">
              <w:rPr>
                <w:rFonts w:ascii="Times New Roman" w:hAnsi="Times New Roman"/>
              </w:rPr>
              <w:t xml:space="preserve">в рамките на </w:t>
            </w:r>
            <w:r w:rsidR="0082582D">
              <w:rPr>
                <w:rFonts w:ascii="Times New Roman" w:hAnsi="Times New Roman"/>
              </w:rPr>
              <w:t>двете</w:t>
            </w:r>
            <w:r w:rsidRPr="00B23E43">
              <w:rPr>
                <w:rFonts w:ascii="Times New Roman" w:hAnsi="Times New Roman"/>
              </w:rPr>
              <w:t xml:space="preserve"> процедур</w:t>
            </w:r>
            <w:r>
              <w:rPr>
                <w:rFonts w:ascii="Times New Roman" w:hAnsi="Times New Roman"/>
              </w:rPr>
              <w:t>и за подбор на концепции за ИТИ</w:t>
            </w:r>
            <w:r w:rsidR="001E5A52">
              <w:rPr>
                <w:rFonts w:ascii="Times New Roman" w:hAnsi="Times New Roman"/>
              </w:rPr>
              <w:t xml:space="preserve"> по </w:t>
            </w:r>
            <w:r w:rsidR="005434FF">
              <w:rPr>
                <w:rFonts w:ascii="Times New Roman" w:hAnsi="Times New Roman"/>
              </w:rPr>
              <w:t>Програма „Развитие на регионите</w:t>
            </w:r>
            <w:r w:rsidR="005434FF" w:rsidRPr="001E5A52">
              <w:rPr>
                <w:rFonts w:ascii="Times New Roman" w:hAnsi="Times New Roman"/>
              </w:rPr>
              <w:t>”</w:t>
            </w:r>
            <w:r w:rsidR="005434FF">
              <w:rPr>
                <w:rFonts w:ascii="Times New Roman" w:hAnsi="Times New Roman"/>
              </w:rPr>
              <w:t xml:space="preserve"> 2021 – 2027 (ПРР) </w:t>
            </w:r>
            <w:r w:rsidR="002E0E01">
              <w:rPr>
                <w:rFonts w:ascii="Times New Roman" w:hAnsi="Times New Roman"/>
              </w:rPr>
              <w:t xml:space="preserve">- </w:t>
            </w:r>
            <w:r w:rsidR="00965AB7">
              <w:rPr>
                <w:rFonts w:ascii="Times New Roman" w:hAnsi="Times New Roman"/>
              </w:rPr>
              <w:t xml:space="preserve">процедура </w:t>
            </w:r>
            <w:r w:rsidR="00CC7832" w:rsidRPr="00CC7832">
              <w:rPr>
                <w:rFonts w:ascii="Times New Roman" w:hAnsi="Times New Roman"/>
              </w:rPr>
              <w:t>BG16FFPR003-2.001 „Концепции за интегрирани те</w:t>
            </w:r>
            <w:r w:rsidR="009B29F6">
              <w:rPr>
                <w:rFonts w:ascii="Times New Roman" w:hAnsi="Times New Roman"/>
              </w:rPr>
              <w:t>риториални инвестиции (ИТИ)</w:t>
            </w:r>
            <w:r w:rsidR="009B29F6" w:rsidRPr="009B29F6">
              <w:rPr>
                <w:rFonts w:ascii="Times New Roman" w:hAnsi="Times New Roman"/>
              </w:rPr>
              <w:t>”</w:t>
            </w:r>
            <w:r w:rsidR="00CC7832" w:rsidRPr="00CC7832">
              <w:rPr>
                <w:rFonts w:ascii="Times New Roman" w:hAnsi="Times New Roman"/>
              </w:rPr>
              <w:t xml:space="preserve"> – фаза 1 и</w:t>
            </w:r>
            <w:r w:rsidR="00965AB7">
              <w:rPr>
                <w:rFonts w:ascii="Times New Roman" w:hAnsi="Times New Roman"/>
              </w:rPr>
              <w:t xml:space="preserve"> процедура</w:t>
            </w:r>
            <w:r w:rsidR="00CC7832" w:rsidRPr="00CC7832">
              <w:rPr>
                <w:rFonts w:ascii="Times New Roman" w:hAnsi="Times New Roman"/>
              </w:rPr>
              <w:t xml:space="preserve"> BG16FFPR003-2.003 „Концепции за интегриран</w:t>
            </w:r>
            <w:r w:rsidR="009B29F6">
              <w:rPr>
                <w:rFonts w:ascii="Times New Roman" w:hAnsi="Times New Roman"/>
              </w:rPr>
              <w:t>и териториални инвестиции (ИТИ)</w:t>
            </w:r>
            <w:r w:rsidR="009B29F6" w:rsidRPr="009B29F6">
              <w:rPr>
                <w:rFonts w:ascii="Times New Roman" w:hAnsi="Times New Roman"/>
              </w:rPr>
              <w:t>”</w:t>
            </w:r>
            <w:r w:rsidR="00CC7832" w:rsidRPr="00CC7832">
              <w:rPr>
                <w:rFonts w:ascii="Times New Roman" w:hAnsi="Times New Roman"/>
              </w:rPr>
              <w:t xml:space="preserve"> – фаза 2</w:t>
            </w:r>
            <w:r w:rsidR="001E5A52">
              <w:rPr>
                <w:rStyle w:val="FootnoteReference"/>
                <w:rFonts w:ascii="Times New Roman" w:hAnsi="Times New Roman"/>
              </w:rPr>
              <w:footnoteReference w:id="5"/>
            </w:r>
            <w:r w:rsidR="00CC7832" w:rsidRPr="00CC7832">
              <w:rPr>
                <w:rFonts w:ascii="Times New Roman" w:hAnsi="Times New Roman"/>
              </w:rPr>
              <w:t xml:space="preserve">. </w:t>
            </w:r>
            <w:r w:rsidR="009B29F6">
              <w:rPr>
                <w:rFonts w:ascii="Times New Roman" w:hAnsi="Times New Roman"/>
              </w:rPr>
              <w:t>По този начин инвестициите по ПКИП ще се насочат приоритетно към</w:t>
            </w:r>
            <w:r w:rsidR="00CC7832" w:rsidRPr="00CC7832">
              <w:rPr>
                <w:rFonts w:ascii="Times New Roman" w:hAnsi="Times New Roman"/>
              </w:rPr>
              <w:t xml:space="preserve"> вече идентифицираните </w:t>
            </w:r>
            <w:r w:rsidR="009B29F6">
              <w:rPr>
                <w:rFonts w:ascii="Times New Roman" w:hAnsi="Times New Roman"/>
              </w:rPr>
              <w:t xml:space="preserve">и одобрени </w:t>
            </w:r>
            <w:r w:rsidR="00CC7832" w:rsidRPr="00CC7832">
              <w:rPr>
                <w:rFonts w:ascii="Times New Roman" w:hAnsi="Times New Roman"/>
              </w:rPr>
              <w:t>инициативи</w:t>
            </w:r>
            <w:r w:rsidR="009B29F6">
              <w:rPr>
                <w:rFonts w:ascii="Times New Roman" w:hAnsi="Times New Roman"/>
              </w:rPr>
              <w:t xml:space="preserve"> </w:t>
            </w:r>
            <w:r w:rsidR="0082582D">
              <w:rPr>
                <w:rFonts w:ascii="Times New Roman" w:hAnsi="Times New Roman"/>
              </w:rPr>
              <w:t>за въвеждане на зелени технологии в предприятията</w:t>
            </w:r>
            <w:r w:rsidR="0082582D" w:rsidRPr="00CC7832">
              <w:rPr>
                <w:rFonts w:ascii="Times New Roman" w:hAnsi="Times New Roman"/>
              </w:rPr>
              <w:t xml:space="preserve"> </w:t>
            </w:r>
            <w:r w:rsidR="009B29F6" w:rsidRPr="00CC7832">
              <w:rPr>
                <w:rFonts w:ascii="Times New Roman" w:hAnsi="Times New Roman"/>
              </w:rPr>
              <w:t>в съответните територии</w:t>
            </w:r>
            <w:r w:rsidR="00CC7832" w:rsidRPr="00CC7832">
              <w:rPr>
                <w:rFonts w:ascii="Times New Roman" w:hAnsi="Times New Roman"/>
              </w:rPr>
              <w:t>.</w:t>
            </w:r>
          </w:p>
        </w:tc>
      </w:tr>
      <w:tr w:rsidR="00E30102" w:rsidRPr="00375A1E" w14:paraId="1D750A6B" w14:textId="77777777" w:rsidTr="00015C76">
        <w:tc>
          <w:tcPr>
            <w:tcW w:w="2298" w:type="dxa"/>
            <w:shd w:val="clear" w:color="auto" w:fill="BFBFBF"/>
          </w:tcPr>
          <w:p w14:paraId="52E007B6" w14:textId="77777777" w:rsidR="00E30102" w:rsidRPr="00375A1E" w:rsidRDefault="00E30102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lastRenderedPageBreak/>
              <w:t>Очаквани резултати</w:t>
            </w:r>
          </w:p>
        </w:tc>
        <w:tc>
          <w:tcPr>
            <w:tcW w:w="7796" w:type="dxa"/>
            <w:shd w:val="clear" w:color="auto" w:fill="auto"/>
          </w:tcPr>
          <w:p w14:paraId="7794AB1A" w14:textId="62C904A1" w:rsidR="00E30102" w:rsidRPr="000D420D" w:rsidRDefault="00CC7832" w:rsidP="005434F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CC7832">
              <w:rPr>
                <w:rFonts w:ascii="Times New Roman" w:hAnsi="Times New Roman"/>
              </w:rPr>
              <w:t xml:space="preserve">Очакваните резултати от подкрепата по процедурата се изразяват в нарастване на </w:t>
            </w:r>
            <w:r w:rsidR="0082582D">
              <w:rPr>
                <w:rFonts w:ascii="Times New Roman" w:hAnsi="Times New Roman"/>
              </w:rPr>
              <w:t>броя</w:t>
            </w:r>
            <w:r w:rsidRPr="00CC7832">
              <w:rPr>
                <w:rFonts w:ascii="Times New Roman" w:hAnsi="Times New Roman"/>
              </w:rPr>
              <w:t xml:space="preserve"> на предприятията, които </w:t>
            </w:r>
            <w:r w:rsidR="005434FF">
              <w:rPr>
                <w:rFonts w:ascii="Times New Roman" w:hAnsi="Times New Roman"/>
              </w:rPr>
              <w:t xml:space="preserve">въвеждат </w:t>
            </w:r>
            <w:r w:rsidR="0082582D">
              <w:rPr>
                <w:rFonts w:ascii="Times New Roman" w:hAnsi="Times New Roman"/>
              </w:rPr>
              <w:t xml:space="preserve">зелени технологии и </w:t>
            </w:r>
            <w:r w:rsidRPr="00CC7832">
              <w:rPr>
                <w:rFonts w:ascii="Times New Roman" w:hAnsi="Times New Roman"/>
              </w:rPr>
              <w:t>преминава</w:t>
            </w:r>
            <w:r w:rsidR="005434FF">
              <w:rPr>
                <w:rFonts w:ascii="Times New Roman" w:hAnsi="Times New Roman"/>
              </w:rPr>
              <w:t>т</w:t>
            </w:r>
            <w:r w:rsidRPr="00CC7832">
              <w:rPr>
                <w:rFonts w:ascii="Times New Roman" w:hAnsi="Times New Roman"/>
              </w:rPr>
              <w:t xml:space="preserve"> към кръгови модели за </w:t>
            </w:r>
            <w:r w:rsidR="0082582D">
              <w:rPr>
                <w:rFonts w:ascii="Times New Roman" w:hAnsi="Times New Roman"/>
              </w:rPr>
              <w:t>използване на ресурсите, производство, предоставяне и потребление на продуктите и услугите от дейността им</w:t>
            </w:r>
            <w:r w:rsidRPr="00CC7832">
              <w:rPr>
                <w:rFonts w:ascii="Times New Roman" w:hAnsi="Times New Roman"/>
              </w:rPr>
              <w:t>. В допълнение, инвестициите по мярката ще са съобразени с изискванията на принципа за „ненанасяне на значителни вреди</w:t>
            </w:r>
            <w:r w:rsidR="0082582D" w:rsidRPr="00781BC9">
              <w:rPr>
                <w:rFonts w:ascii="Times New Roman" w:hAnsi="Times New Roman"/>
              </w:rPr>
              <w:t>”</w:t>
            </w:r>
            <w:r w:rsidRPr="00CC7832">
              <w:rPr>
                <w:rFonts w:ascii="Times New Roman" w:hAnsi="Times New Roman"/>
              </w:rPr>
              <w:t xml:space="preserve"> върху околната среда, допринасяйки за екологичния преход в дейността на предприятията, включително в рамките на подхода ИТИ.</w:t>
            </w:r>
          </w:p>
        </w:tc>
      </w:tr>
      <w:tr w:rsidR="00DB7BA1" w:rsidRPr="00375A1E" w14:paraId="6FDE2274" w14:textId="77777777" w:rsidTr="00015C76">
        <w:tc>
          <w:tcPr>
            <w:tcW w:w="2298" w:type="dxa"/>
            <w:shd w:val="clear" w:color="auto" w:fill="BFBFBF"/>
          </w:tcPr>
          <w:p w14:paraId="2E1D7C05" w14:textId="295EB3B0" w:rsidR="00DB7BA1" w:rsidRPr="00375A1E" w:rsidRDefault="00DB7BA1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Продължителност на процедурата/</w:t>
            </w:r>
            <w:r w:rsidR="00081FB6">
              <w:rPr>
                <w:rFonts w:ascii="Times New Roman" w:hAnsi="Times New Roman"/>
                <w:lang w:val="en-US"/>
              </w:rPr>
              <w:t xml:space="preserve"> </w:t>
            </w:r>
            <w:r w:rsidRPr="00375A1E">
              <w:rPr>
                <w:rFonts w:ascii="Times New Roman" w:hAnsi="Times New Roman"/>
              </w:rPr>
              <w:t>процедурите</w:t>
            </w:r>
          </w:p>
        </w:tc>
        <w:tc>
          <w:tcPr>
            <w:tcW w:w="7796" w:type="dxa"/>
            <w:shd w:val="clear" w:color="auto" w:fill="auto"/>
          </w:tcPr>
          <w:p w14:paraId="3C2B9ACB" w14:textId="4B47E13D" w:rsidR="00DB7BA1" w:rsidRPr="00375A1E" w:rsidRDefault="00E71D6B" w:rsidP="001C5AFB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C7832">
              <w:rPr>
                <w:rFonts w:ascii="Times New Roman" w:hAnsi="Times New Roman"/>
              </w:rPr>
              <w:t>202</w:t>
            </w:r>
            <w:r w:rsidR="001C5AFB" w:rsidRPr="00CC7832">
              <w:rPr>
                <w:rFonts w:ascii="Times New Roman" w:hAnsi="Times New Roman"/>
              </w:rPr>
              <w:t>6</w:t>
            </w:r>
            <w:r w:rsidR="00FC4EF6" w:rsidRPr="00CC7832">
              <w:rPr>
                <w:rFonts w:ascii="Times New Roman" w:hAnsi="Times New Roman"/>
              </w:rPr>
              <w:t xml:space="preserve"> </w:t>
            </w:r>
            <w:r w:rsidR="002249E5" w:rsidRPr="00CC7832">
              <w:rPr>
                <w:rFonts w:ascii="Times New Roman" w:hAnsi="Times New Roman"/>
              </w:rPr>
              <w:t>г. –</w:t>
            </w:r>
            <w:r w:rsidR="00FC4EF6" w:rsidRPr="00CC7832">
              <w:rPr>
                <w:rFonts w:ascii="Times New Roman" w:hAnsi="Times New Roman"/>
              </w:rPr>
              <w:t xml:space="preserve"> </w:t>
            </w:r>
            <w:r w:rsidR="00165F00" w:rsidRPr="00CC7832">
              <w:rPr>
                <w:rFonts w:ascii="Times New Roman" w:hAnsi="Times New Roman"/>
              </w:rPr>
              <w:t>20</w:t>
            </w:r>
            <w:r w:rsidR="00A7717C">
              <w:rPr>
                <w:rFonts w:ascii="Times New Roman" w:hAnsi="Times New Roman"/>
              </w:rPr>
              <w:t>30</w:t>
            </w:r>
            <w:r w:rsidR="002249E5" w:rsidRPr="00CC7832">
              <w:rPr>
                <w:rFonts w:ascii="Times New Roman" w:hAnsi="Times New Roman"/>
              </w:rPr>
              <w:t xml:space="preserve"> г.</w:t>
            </w:r>
          </w:p>
        </w:tc>
      </w:tr>
      <w:tr w:rsidR="004846C7" w:rsidRPr="00375A1E" w14:paraId="57832859" w14:textId="77777777" w:rsidTr="00015C76">
        <w:tc>
          <w:tcPr>
            <w:tcW w:w="2298" w:type="dxa"/>
            <w:shd w:val="clear" w:color="auto" w:fill="BFBFBF"/>
          </w:tcPr>
          <w:p w14:paraId="37DCABA2" w14:textId="77777777" w:rsidR="004846C7" w:rsidRPr="00375A1E" w:rsidRDefault="00033E66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 xml:space="preserve">Териториален обхват </w:t>
            </w:r>
          </w:p>
        </w:tc>
        <w:tc>
          <w:tcPr>
            <w:tcW w:w="7796" w:type="dxa"/>
            <w:shd w:val="clear" w:color="auto" w:fill="auto"/>
          </w:tcPr>
          <w:p w14:paraId="27B14A7B" w14:textId="77777777" w:rsidR="003E3556" w:rsidRPr="00375A1E" w:rsidRDefault="00F826C1" w:rsidP="00CB3367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Проектите по процедурата следва да бъдат изпълнени на територията на Република България.</w:t>
            </w:r>
          </w:p>
        </w:tc>
      </w:tr>
      <w:tr w:rsidR="00887FA9" w:rsidRPr="00375A1E" w14:paraId="67A47FBE" w14:textId="77777777" w:rsidTr="00015C76">
        <w:tc>
          <w:tcPr>
            <w:tcW w:w="2298" w:type="dxa"/>
            <w:shd w:val="clear" w:color="auto" w:fill="BFBFBF"/>
          </w:tcPr>
          <w:p w14:paraId="5DAFCC1A" w14:textId="77777777" w:rsidR="00887FA9" w:rsidRPr="00375A1E" w:rsidRDefault="00887FA9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Бюджет (ЕФРР и национален)</w:t>
            </w:r>
          </w:p>
        </w:tc>
        <w:tc>
          <w:tcPr>
            <w:tcW w:w="7796" w:type="dxa"/>
            <w:shd w:val="clear" w:color="auto" w:fill="auto"/>
          </w:tcPr>
          <w:tbl>
            <w:tblPr>
              <w:tblW w:w="7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1"/>
              <w:gridCol w:w="1970"/>
              <w:gridCol w:w="1968"/>
              <w:gridCol w:w="1826"/>
            </w:tblGrid>
            <w:tr w:rsidR="00887623" w:rsidRPr="00EC7F7F" w14:paraId="16984190" w14:textId="77777777" w:rsidTr="00CD339A">
              <w:trPr>
                <w:trHeight w:val="1154"/>
              </w:trPr>
              <w:tc>
                <w:tcPr>
                  <w:tcW w:w="1721" w:type="dxa"/>
                  <w:shd w:val="clear" w:color="auto" w:fill="BFBFBF"/>
                </w:tcPr>
                <w:p w14:paraId="3C35DF42" w14:textId="77777777" w:rsidR="00887623" w:rsidRPr="00EC7F7F" w:rsidRDefault="00887623" w:rsidP="0088762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highlight w:val="yellow"/>
                    </w:rPr>
                  </w:pPr>
                </w:p>
                <w:p w14:paraId="79C2AA55" w14:textId="77777777" w:rsidR="00887623" w:rsidRPr="00EC7F7F" w:rsidRDefault="00887623" w:rsidP="0088762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highlight w:val="yellow"/>
                    </w:rPr>
                  </w:pPr>
                  <w:r w:rsidRPr="00EC7F7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Категория регион</w:t>
                  </w:r>
                </w:p>
              </w:tc>
              <w:tc>
                <w:tcPr>
                  <w:tcW w:w="1970" w:type="dxa"/>
                  <w:shd w:val="clear" w:color="auto" w:fill="BFBFBF"/>
                  <w:vAlign w:val="center"/>
                </w:tcPr>
                <w:p w14:paraId="3C0D8A65" w14:textId="77777777" w:rsidR="00887623" w:rsidRPr="00EC7F7F" w:rsidRDefault="00887623" w:rsidP="00887623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highlight w:val="yellow"/>
                    </w:rPr>
                  </w:pPr>
                  <w:r w:rsidRPr="00EC7F7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Общ размер на безвъзмездната финансова помощ</w:t>
                  </w:r>
                </w:p>
              </w:tc>
              <w:tc>
                <w:tcPr>
                  <w:tcW w:w="1968" w:type="dxa"/>
                  <w:shd w:val="clear" w:color="auto" w:fill="BFBFBF"/>
                  <w:vAlign w:val="center"/>
                </w:tcPr>
                <w:p w14:paraId="6E8326EB" w14:textId="6B270424" w:rsidR="00887623" w:rsidRPr="00EC7F7F" w:rsidRDefault="00887623" w:rsidP="00887623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highlight w:val="yellow"/>
                    </w:rPr>
                  </w:pPr>
                  <w:r w:rsidRPr="00EC7F7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Средства от Европейския фонд за регионално развитие</w:t>
                  </w:r>
                </w:p>
              </w:tc>
              <w:tc>
                <w:tcPr>
                  <w:tcW w:w="1826" w:type="dxa"/>
                  <w:shd w:val="clear" w:color="auto" w:fill="BFBFBF"/>
                  <w:vAlign w:val="center"/>
                </w:tcPr>
                <w:p w14:paraId="38790A98" w14:textId="77777777" w:rsidR="00887623" w:rsidRPr="00EC7F7F" w:rsidRDefault="00887623" w:rsidP="00887623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highlight w:val="yellow"/>
                    </w:rPr>
                  </w:pPr>
                  <w:r w:rsidRPr="00EC7F7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Национално съфинансиране</w:t>
                  </w:r>
                </w:p>
              </w:tc>
            </w:tr>
            <w:tr w:rsidR="00D97419" w:rsidRPr="00EC7F7F" w14:paraId="59A2F51A" w14:textId="77777777" w:rsidTr="00CD339A">
              <w:trPr>
                <w:trHeight w:val="577"/>
              </w:trPr>
              <w:tc>
                <w:tcPr>
                  <w:tcW w:w="1721" w:type="dxa"/>
                  <w:shd w:val="clear" w:color="auto" w:fill="auto"/>
                </w:tcPr>
                <w:p w14:paraId="6A17EAB5" w14:textId="2D100B5C" w:rsidR="00D97419" w:rsidRPr="00EC7F7F" w:rsidRDefault="00D97419" w:rsidP="00D97419">
                  <w:pPr>
                    <w:spacing w:before="120" w:after="12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F7F">
                    <w:rPr>
                      <w:rFonts w:ascii="Times New Roman" w:hAnsi="Times New Roman"/>
                      <w:sz w:val="20"/>
                      <w:szCs w:val="20"/>
                    </w:rPr>
                    <w:t>Регион в преход - Югозападен район на планиране (ЮЗР)</w:t>
                  </w:r>
                </w:p>
              </w:tc>
              <w:tc>
                <w:tcPr>
                  <w:tcW w:w="1970" w:type="dxa"/>
                  <w:shd w:val="clear" w:color="auto" w:fill="auto"/>
                  <w:vAlign w:val="center"/>
                </w:tcPr>
                <w:p w14:paraId="72F0FED6" w14:textId="4FD5AF8F" w:rsidR="00D97419" w:rsidRPr="009B329F" w:rsidRDefault="00D97419" w:rsidP="00D97419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B329F">
                    <w:rPr>
                      <w:rFonts w:ascii="Times New Roman" w:eastAsia="Times New Roman" w:hAnsi="Times New Roman"/>
                    </w:rPr>
                    <w:t>9 866 571 евро</w:t>
                  </w:r>
                </w:p>
              </w:tc>
              <w:tc>
                <w:tcPr>
                  <w:tcW w:w="1968" w:type="dxa"/>
                  <w:shd w:val="clear" w:color="auto" w:fill="auto"/>
                  <w:vAlign w:val="center"/>
                </w:tcPr>
                <w:p w14:paraId="54C5D3D6" w14:textId="53BCEE1E" w:rsidR="00D97419" w:rsidRPr="009B329F" w:rsidRDefault="00D97419" w:rsidP="00D97419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B329F">
                    <w:rPr>
                      <w:rFonts w:ascii="Times New Roman" w:eastAsia="Times New Roman" w:hAnsi="Times New Roman"/>
                    </w:rPr>
                    <w:t>6 906 600 евро</w:t>
                  </w:r>
                </w:p>
              </w:tc>
              <w:tc>
                <w:tcPr>
                  <w:tcW w:w="1826" w:type="dxa"/>
                  <w:shd w:val="clear" w:color="auto" w:fill="auto"/>
                  <w:vAlign w:val="center"/>
                </w:tcPr>
                <w:p w14:paraId="30AC3611" w14:textId="1207E7B1" w:rsidR="00D97419" w:rsidRPr="009B329F" w:rsidRDefault="00D97419" w:rsidP="00D97419">
                  <w:pPr>
                    <w:spacing w:before="120" w:after="12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9B329F">
                    <w:rPr>
                      <w:rFonts w:ascii="Times New Roman" w:eastAsia="Times New Roman" w:hAnsi="Times New Roman"/>
                    </w:rPr>
                    <w:t>2 959 971 евро</w:t>
                  </w:r>
                </w:p>
              </w:tc>
            </w:tr>
            <w:tr w:rsidR="00D97419" w:rsidRPr="00EC7F7F" w14:paraId="50C1E08A" w14:textId="77777777" w:rsidTr="00CD339A">
              <w:trPr>
                <w:trHeight w:val="1393"/>
              </w:trPr>
              <w:tc>
                <w:tcPr>
                  <w:tcW w:w="1721" w:type="dxa"/>
                  <w:shd w:val="clear" w:color="auto" w:fill="auto"/>
                </w:tcPr>
                <w:p w14:paraId="5BA1D8DC" w14:textId="3E756EDF" w:rsidR="00D97419" w:rsidRPr="00EC7F7F" w:rsidRDefault="00D97419" w:rsidP="00D97419">
                  <w:pPr>
                    <w:spacing w:before="120" w:after="12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F7F">
                    <w:rPr>
                      <w:rFonts w:ascii="Times New Roman" w:hAnsi="Times New Roman"/>
                      <w:sz w:val="20"/>
                      <w:szCs w:val="20"/>
                    </w:rPr>
                    <w:t>По-слабо развити региони</w:t>
                  </w:r>
                  <w:r w:rsidRPr="00EC7F7F">
                    <w:rPr>
                      <w:rStyle w:val="FootnoteReference"/>
                      <w:rFonts w:ascii="Times New Roman" w:hAnsi="Times New Roman"/>
                      <w:sz w:val="20"/>
                      <w:szCs w:val="20"/>
                    </w:rPr>
                    <w:footnoteReference w:id="6"/>
                  </w:r>
                  <w:r w:rsidRPr="000D420D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EC7F7F">
                    <w:rPr>
                      <w:rFonts w:ascii="Times New Roman" w:hAnsi="Times New Roman"/>
                      <w:sz w:val="20"/>
                      <w:szCs w:val="20"/>
                    </w:rPr>
                    <w:t>- районите на планиране извън ЮЗР</w:t>
                  </w:r>
                  <w:r w:rsidRPr="00EC7F7F">
                    <w:rPr>
                      <w:rStyle w:val="FootnoteReference"/>
                      <w:rFonts w:ascii="Times New Roman" w:hAnsi="Times New Roman"/>
                      <w:sz w:val="20"/>
                      <w:szCs w:val="20"/>
                      <w:vertAlign w:val="baseline"/>
                    </w:rPr>
                    <w:t xml:space="preserve"> </w:t>
                  </w:r>
                </w:p>
              </w:tc>
              <w:tc>
                <w:tcPr>
                  <w:tcW w:w="1970" w:type="dxa"/>
                  <w:shd w:val="clear" w:color="auto" w:fill="auto"/>
                  <w:vAlign w:val="center"/>
                </w:tcPr>
                <w:p w14:paraId="60791753" w14:textId="24BA0F78" w:rsidR="00D97419" w:rsidRPr="009B329F" w:rsidRDefault="00D97419" w:rsidP="00D97419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B329F">
                    <w:rPr>
                      <w:rFonts w:ascii="Times New Roman" w:eastAsia="Times New Roman" w:hAnsi="Times New Roman"/>
                    </w:rPr>
                    <w:t>73 128 706 евро</w:t>
                  </w:r>
                </w:p>
              </w:tc>
              <w:tc>
                <w:tcPr>
                  <w:tcW w:w="1968" w:type="dxa"/>
                  <w:shd w:val="clear" w:color="auto" w:fill="auto"/>
                  <w:vAlign w:val="center"/>
                </w:tcPr>
                <w:p w14:paraId="07767A33" w14:textId="10F02D50" w:rsidR="00D97419" w:rsidRPr="009B329F" w:rsidRDefault="00D97419" w:rsidP="00D97419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B329F">
                    <w:rPr>
                      <w:rFonts w:ascii="Times New Roman" w:eastAsia="Times New Roman" w:hAnsi="Times New Roman"/>
                    </w:rPr>
                    <w:t>62 159 400 евро</w:t>
                  </w:r>
                </w:p>
              </w:tc>
              <w:tc>
                <w:tcPr>
                  <w:tcW w:w="1826" w:type="dxa"/>
                  <w:shd w:val="clear" w:color="auto" w:fill="auto"/>
                  <w:vAlign w:val="center"/>
                </w:tcPr>
                <w:p w14:paraId="52A9A23D" w14:textId="69070ACF" w:rsidR="00D97419" w:rsidRPr="009B329F" w:rsidRDefault="00D97419" w:rsidP="00D97419">
                  <w:pPr>
                    <w:spacing w:before="120" w:after="12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9B329F">
                    <w:rPr>
                      <w:rFonts w:ascii="Times New Roman" w:eastAsia="Times New Roman" w:hAnsi="Times New Roman"/>
                    </w:rPr>
                    <w:t>10 969 306 евро</w:t>
                  </w:r>
                </w:p>
              </w:tc>
            </w:tr>
            <w:tr w:rsidR="00D97419" w:rsidRPr="00EC7F7F" w14:paraId="39B97C93" w14:textId="77777777" w:rsidTr="00CD339A">
              <w:trPr>
                <w:trHeight w:val="489"/>
              </w:trPr>
              <w:tc>
                <w:tcPr>
                  <w:tcW w:w="1721" w:type="dxa"/>
                  <w:shd w:val="clear" w:color="auto" w:fill="auto"/>
                </w:tcPr>
                <w:p w14:paraId="38CFFAEE" w14:textId="36EDD80C" w:rsidR="00D97419" w:rsidRPr="000D420D" w:rsidRDefault="00D97419" w:rsidP="00D97419">
                  <w:pPr>
                    <w:spacing w:before="120" w:after="120" w:line="240" w:lineRule="auto"/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EC7F7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Общо</w:t>
                  </w:r>
                </w:p>
              </w:tc>
              <w:tc>
                <w:tcPr>
                  <w:tcW w:w="1970" w:type="dxa"/>
                  <w:shd w:val="clear" w:color="auto" w:fill="auto"/>
                  <w:vAlign w:val="center"/>
                </w:tcPr>
                <w:p w14:paraId="5AB22AB7" w14:textId="5426A970" w:rsidR="00D97419" w:rsidRPr="000D420D" w:rsidRDefault="00D97419" w:rsidP="00D97419">
                  <w:pPr>
                    <w:spacing w:before="120" w:after="12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9B329F">
                    <w:rPr>
                      <w:rFonts w:ascii="Times New Roman" w:eastAsia="Times New Roman" w:hAnsi="Times New Roman"/>
                      <w:b/>
                    </w:rPr>
                    <w:t>82 995 277 евро</w:t>
                  </w:r>
                </w:p>
              </w:tc>
              <w:tc>
                <w:tcPr>
                  <w:tcW w:w="1968" w:type="dxa"/>
                  <w:shd w:val="clear" w:color="auto" w:fill="auto"/>
                  <w:vAlign w:val="center"/>
                </w:tcPr>
                <w:p w14:paraId="08FAB858" w14:textId="6A3F001B" w:rsidR="00D97419" w:rsidRPr="009B329F" w:rsidRDefault="00D97419" w:rsidP="00D97419">
                  <w:pPr>
                    <w:spacing w:before="120" w:after="12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9B329F">
                    <w:rPr>
                      <w:rFonts w:ascii="Times New Roman" w:eastAsia="Times New Roman" w:hAnsi="Times New Roman"/>
                      <w:b/>
                    </w:rPr>
                    <w:t>69 066 000 евро</w:t>
                  </w:r>
                </w:p>
              </w:tc>
              <w:tc>
                <w:tcPr>
                  <w:tcW w:w="1826" w:type="dxa"/>
                  <w:shd w:val="clear" w:color="auto" w:fill="auto"/>
                  <w:vAlign w:val="center"/>
                </w:tcPr>
                <w:p w14:paraId="3879F504" w14:textId="0DF40485" w:rsidR="00D97419" w:rsidRPr="009B329F" w:rsidRDefault="00D97419" w:rsidP="00D97419">
                  <w:pPr>
                    <w:spacing w:before="120" w:after="12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9B329F">
                    <w:rPr>
                      <w:rFonts w:ascii="Times New Roman" w:eastAsia="Times New Roman" w:hAnsi="Times New Roman"/>
                      <w:b/>
                    </w:rPr>
                    <w:t>13 929 277 евро</w:t>
                  </w:r>
                </w:p>
              </w:tc>
            </w:tr>
          </w:tbl>
          <w:p w14:paraId="1BECD498" w14:textId="7C19AC68" w:rsidR="00081FB6" w:rsidRPr="00081FB6" w:rsidRDefault="00081FB6" w:rsidP="00307E19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highlight w:val="yellow"/>
              </w:rPr>
            </w:pPr>
            <w:r w:rsidRPr="00081FB6">
              <w:rPr>
                <w:rFonts w:ascii="Times New Roman" w:hAnsi="Times New Roman"/>
                <w:i/>
              </w:rPr>
              <w:t xml:space="preserve">Разпределението на бюджета </w:t>
            </w:r>
            <w:r w:rsidRPr="004F2C09">
              <w:rPr>
                <w:rFonts w:ascii="Times New Roman" w:hAnsi="Times New Roman"/>
                <w:i/>
              </w:rPr>
              <w:t>по икономически сектори</w:t>
            </w:r>
            <w:r w:rsidRPr="00081FB6">
              <w:rPr>
                <w:rFonts w:ascii="Times New Roman" w:hAnsi="Times New Roman"/>
                <w:i/>
              </w:rPr>
              <w:t xml:space="preserve"> и категории предприятия ще бъде конкретизирано в Условията за кандидатстване.</w:t>
            </w:r>
          </w:p>
        </w:tc>
      </w:tr>
      <w:tr w:rsidR="0023731B" w:rsidRPr="00375A1E" w14:paraId="28A52330" w14:textId="77777777" w:rsidTr="00AC25B4">
        <w:trPr>
          <w:trHeight w:val="4526"/>
        </w:trPr>
        <w:tc>
          <w:tcPr>
            <w:tcW w:w="2298" w:type="dxa"/>
            <w:shd w:val="clear" w:color="auto" w:fill="BFBFBF"/>
          </w:tcPr>
          <w:p w14:paraId="2CC58287" w14:textId="08A028F7" w:rsidR="0023731B" w:rsidRPr="00375A1E" w:rsidRDefault="0023731B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696BEC">
              <w:rPr>
                <w:rFonts w:ascii="Times New Roman" w:hAnsi="Times New Roman"/>
              </w:rPr>
              <w:t>Режим на държавна</w:t>
            </w:r>
            <w:r w:rsidR="00AC3977" w:rsidRPr="00696BEC">
              <w:rPr>
                <w:rFonts w:ascii="Times New Roman" w:hAnsi="Times New Roman"/>
              </w:rPr>
              <w:t>/</w:t>
            </w:r>
            <w:r w:rsidR="00EC7F7F" w:rsidRPr="00696BEC">
              <w:rPr>
                <w:rFonts w:ascii="Times New Roman" w:hAnsi="Times New Roman"/>
              </w:rPr>
              <w:t xml:space="preserve"> </w:t>
            </w:r>
            <w:r w:rsidR="00AC3977" w:rsidRPr="00696BEC">
              <w:rPr>
                <w:rFonts w:ascii="Times New Roman" w:hAnsi="Times New Roman"/>
              </w:rPr>
              <w:t>минимална</w:t>
            </w:r>
            <w:r w:rsidRPr="00696BEC">
              <w:rPr>
                <w:rFonts w:ascii="Times New Roman" w:hAnsi="Times New Roman"/>
              </w:rPr>
              <w:t xml:space="preserve"> помощ</w:t>
            </w:r>
          </w:p>
        </w:tc>
        <w:tc>
          <w:tcPr>
            <w:tcW w:w="7796" w:type="dxa"/>
            <w:shd w:val="clear" w:color="auto" w:fill="auto"/>
          </w:tcPr>
          <w:p w14:paraId="3FCB3E22" w14:textId="77777777" w:rsidR="00A07BBD" w:rsidRPr="00A07BBD" w:rsidRDefault="00A07BBD" w:rsidP="00A07BB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07BBD">
              <w:rPr>
                <w:rFonts w:ascii="Times New Roman" w:hAnsi="Times New Roman"/>
                <w:b/>
                <w:bCs/>
                <w:lang w:eastAsia="bg-BG"/>
              </w:rPr>
              <w:t xml:space="preserve">По Елемент I </w:t>
            </w:r>
            <w:r w:rsidRPr="00A07BBD">
              <w:rPr>
                <w:rFonts w:ascii="Times New Roman" w:hAnsi="Times New Roman"/>
                <w:lang w:eastAsia="bg-BG"/>
              </w:rPr>
              <w:t>(задължителен)</w:t>
            </w:r>
            <w:r w:rsidRPr="00A07BBD">
              <w:rPr>
                <w:rFonts w:ascii="Times New Roman" w:hAnsi="Times New Roman"/>
              </w:rPr>
              <w:t xml:space="preserve"> в зависимост от нуждите си и спецификата на предложения проект кандидатите </w:t>
            </w:r>
            <w:r w:rsidRPr="00A07BBD">
              <w:rPr>
                <w:rFonts w:ascii="Times New Roman" w:hAnsi="Times New Roman"/>
                <w:b/>
                <w:bCs/>
              </w:rPr>
              <w:t xml:space="preserve">могат да избират между ЕДИН от приложимите режими на държавна/минимална помощ, </w:t>
            </w:r>
            <w:r w:rsidRPr="00A07BBD">
              <w:rPr>
                <w:rFonts w:ascii="Times New Roman" w:hAnsi="Times New Roman"/>
              </w:rPr>
              <w:t>както следва:</w:t>
            </w:r>
          </w:p>
          <w:p w14:paraId="731B7B2F" w14:textId="77777777" w:rsidR="00A07BBD" w:rsidRPr="00A07BBD" w:rsidRDefault="00A07BBD" w:rsidP="00A07BBD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A07BBD">
              <w:rPr>
                <w:rFonts w:ascii="Times New Roman" w:hAnsi="Times New Roman"/>
                <w:b/>
                <w:bCs/>
              </w:rPr>
              <w:t xml:space="preserve">1) „Регионална инвестиционна помощ” </w:t>
            </w:r>
            <w:r w:rsidRPr="00A07BBD">
              <w:rPr>
                <w:rFonts w:ascii="Times New Roman" w:hAnsi="Times New Roman"/>
              </w:rPr>
              <w:t>съгласно чл. 13 и чл. 14 от Регламент (ЕС) № 651/2014 на Комисията от 17 юни 2014 година за обявяване на някои категории помощи за съвместими с вътрешния пазар в приложение на членове 107 и 108 от Договора (OB L 187/26.06.2014)</w:t>
            </w:r>
          </w:p>
          <w:p w14:paraId="0051BC4E" w14:textId="77777777" w:rsidR="00A07BBD" w:rsidRPr="00A07BBD" w:rsidRDefault="00A07BBD" w:rsidP="00A07BB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07BBD">
              <w:rPr>
                <w:rFonts w:ascii="Times New Roman" w:hAnsi="Times New Roman"/>
                <w:b/>
                <w:bCs/>
              </w:rPr>
              <w:t>ИЛИ</w:t>
            </w:r>
          </w:p>
          <w:p w14:paraId="5AB1A41F" w14:textId="242F015E" w:rsidR="00A07BBD" w:rsidRPr="00A07BBD" w:rsidRDefault="00A07BBD" w:rsidP="00A07BBD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A07BBD">
              <w:rPr>
                <w:rFonts w:ascii="Times New Roman" w:hAnsi="Times New Roman"/>
                <w:b/>
                <w:bCs/>
              </w:rPr>
              <w:t>2) „Минимална помощ” (de minimis)</w:t>
            </w:r>
            <w:r w:rsidRPr="00A07BBD">
              <w:rPr>
                <w:rFonts w:ascii="Times New Roman" w:hAnsi="Times New Roman"/>
              </w:rPr>
              <w:t xml:space="preserve"> съгласно Регламент (ЕС) № 2023/2831 на Комисията от 13 декември 2023 г. относно прилагането на членове 107 и 108 от Договора за функционирането на Европейския съюз към помощта „de minimis”</w:t>
            </w:r>
            <w:r>
              <w:rPr>
                <w:rStyle w:val="FootnoteReference"/>
                <w:rFonts w:ascii="Times New Roman" w:hAnsi="Times New Roman"/>
              </w:rPr>
              <w:footnoteReference w:id="7"/>
            </w:r>
            <w:r w:rsidRPr="00A07BBD">
              <w:rPr>
                <w:rFonts w:ascii="Times New Roman" w:hAnsi="Times New Roman"/>
              </w:rPr>
              <w:t>.</w:t>
            </w:r>
          </w:p>
          <w:p w14:paraId="524127EA" w14:textId="7EC37CF3" w:rsidR="00736CE7" w:rsidRPr="00F22CA6" w:rsidRDefault="00A07BBD" w:rsidP="00F22C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A07BBD">
              <w:rPr>
                <w:rFonts w:ascii="Times New Roman" w:hAnsi="Times New Roman"/>
                <w:b/>
                <w:bCs/>
              </w:rPr>
              <w:t xml:space="preserve">По Елемент </w:t>
            </w:r>
            <w:r w:rsidRPr="00A07BBD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A07BBD">
              <w:rPr>
                <w:rFonts w:ascii="Times New Roman" w:hAnsi="Times New Roman"/>
                <w:b/>
                <w:bCs/>
              </w:rPr>
              <w:t xml:space="preserve"> </w:t>
            </w:r>
            <w:r w:rsidRPr="00A07BBD">
              <w:rPr>
                <w:rFonts w:ascii="Times New Roman" w:hAnsi="Times New Roman"/>
                <w:lang w:eastAsia="bg-BG"/>
              </w:rPr>
              <w:t>(незадължителен)</w:t>
            </w:r>
            <w:r w:rsidRPr="00A07BBD">
              <w:rPr>
                <w:rFonts w:ascii="Times New Roman" w:hAnsi="Times New Roman"/>
              </w:rPr>
              <w:t xml:space="preserve"> приложимият режим на помощ</w:t>
            </w:r>
            <w:r w:rsidRPr="00A07BBD">
              <w:rPr>
                <w:rFonts w:ascii="Times New Roman" w:hAnsi="Times New Roman"/>
                <w:b/>
                <w:bCs/>
              </w:rPr>
              <w:t xml:space="preserve"> </w:t>
            </w:r>
            <w:r w:rsidRPr="00A07BBD">
              <w:rPr>
                <w:rFonts w:ascii="Times New Roman" w:hAnsi="Times New Roman"/>
              </w:rPr>
              <w:t xml:space="preserve">е </w:t>
            </w:r>
            <w:r w:rsidRPr="00A07BBD">
              <w:rPr>
                <w:rFonts w:ascii="Times New Roman" w:hAnsi="Times New Roman"/>
                <w:b/>
                <w:bCs/>
              </w:rPr>
              <w:t>„минимална помощ” (de minimis)</w:t>
            </w:r>
            <w:r w:rsidRPr="00A07BBD">
              <w:rPr>
                <w:rFonts w:ascii="Times New Roman" w:hAnsi="Times New Roman"/>
              </w:rPr>
              <w:t xml:space="preserve"> съгласно Регламент (ЕС) № 2023/2831 на Комисията от 13 декември 2023 г. относно прилагането на членове 107 и 108 от Договора за функционирането на Европейския съюз към помощта „de minimis”.</w:t>
            </w:r>
            <w:r w:rsidRPr="00A07BBD">
              <w:rPr>
                <w:rFonts w:ascii="Times New Roman" w:eastAsia="Times New Roman" w:hAnsi="Times New Roman"/>
                <w:lang w:eastAsia="bg-BG"/>
              </w:rPr>
              <w:t xml:space="preserve"> </w:t>
            </w:r>
          </w:p>
        </w:tc>
      </w:tr>
      <w:tr w:rsidR="00FD4246" w:rsidRPr="00375A1E" w14:paraId="577089CA" w14:textId="77777777" w:rsidTr="00081FB6">
        <w:tc>
          <w:tcPr>
            <w:tcW w:w="10094" w:type="dxa"/>
            <w:gridSpan w:val="2"/>
            <w:shd w:val="clear" w:color="auto" w:fill="BFBFBF"/>
          </w:tcPr>
          <w:p w14:paraId="6243A07B" w14:textId="77777777" w:rsidR="00FD4246" w:rsidRPr="00375A1E" w:rsidRDefault="00D7775B" w:rsidP="00DC2329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375A1E">
              <w:rPr>
                <w:rFonts w:ascii="Times New Roman" w:hAnsi="Times New Roman"/>
                <w:b/>
              </w:rPr>
              <w:t xml:space="preserve">2. </w:t>
            </w:r>
            <w:r w:rsidR="00E30102" w:rsidRPr="00375A1E">
              <w:rPr>
                <w:rFonts w:ascii="Times New Roman" w:hAnsi="Times New Roman"/>
                <w:b/>
              </w:rPr>
              <w:t>Методология и к</w:t>
            </w:r>
            <w:r w:rsidRPr="00375A1E">
              <w:rPr>
                <w:rFonts w:ascii="Times New Roman" w:hAnsi="Times New Roman"/>
                <w:b/>
              </w:rPr>
              <w:t xml:space="preserve">ритерии за </w:t>
            </w:r>
            <w:r w:rsidR="00952728" w:rsidRPr="00375A1E">
              <w:rPr>
                <w:rFonts w:ascii="Times New Roman" w:hAnsi="Times New Roman"/>
                <w:b/>
              </w:rPr>
              <w:t xml:space="preserve"> подбор на операции</w:t>
            </w:r>
          </w:p>
        </w:tc>
      </w:tr>
      <w:tr w:rsidR="00E30102" w:rsidRPr="00375A1E" w14:paraId="03D51040" w14:textId="77777777" w:rsidTr="00015C76">
        <w:tc>
          <w:tcPr>
            <w:tcW w:w="2298" w:type="dxa"/>
            <w:shd w:val="clear" w:color="auto" w:fill="BFBFBF"/>
          </w:tcPr>
          <w:p w14:paraId="1362F4EF" w14:textId="77777777" w:rsidR="00E30102" w:rsidRPr="00375A1E" w:rsidRDefault="00E30102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Вид процедура за предоставяне на безвъзмездна финансова помощ</w:t>
            </w:r>
          </w:p>
        </w:tc>
        <w:tc>
          <w:tcPr>
            <w:tcW w:w="7796" w:type="dxa"/>
            <w:shd w:val="clear" w:color="auto" w:fill="auto"/>
          </w:tcPr>
          <w:p w14:paraId="565B338A" w14:textId="0B8AD229" w:rsidR="007B10E4" w:rsidRPr="00375A1E" w:rsidRDefault="00822363" w:rsidP="007B10E4">
            <w:pPr>
              <w:spacing w:before="120" w:after="12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375A1E">
              <w:rPr>
                <w:rFonts w:ascii="Times New Roman" w:hAnsi="Times New Roman"/>
              </w:rPr>
              <w:t>Ще се прилага процедура чрез</w:t>
            </w:r>
            <w:r w:rsidR="002B2785" w:rsidRPr="00375A1E">
              <w:rPr>
                <w:rFonts w:ascii="Times New Roman" w:hAnsi="Times New Roman"/>
              </w:rPr>
              <w:t xml:space="preserve"> </w:t>
            </w:r>
            <w:r w:rsidR="00A57673" w:rsidRPr="00375A1E">
              <w:rPr>
                <w:rFonts w:ascii="Times New Roman" w:hAnsi="Times New Roman"/>
              </w:rPr>
              <w:t xml:space="preserve">подбор на проектни предложения </w:t>
            </w:r>
            <w:r w:rsidR="002B2785" w:rsidRPr="00375A1E">
              <w:rPr>
                <w:rFonts w:ascii="Times New Roman" w:hAnsi="Times New Roman"/>
              </w:rPr>
              <w:t>съгласно чл. 25, ал. 1, т. 1 и чл. 29, ал. 1 от</w:t>
            </w:r>
            <w:r w:rsidR="003F5307" w:rsidRPr="00375A1E">
              <w:rPr>
                <w:rFonts w:ascii="Times New Roman" w:hAnsi="Times New Roman"/>
              </w:rPr>
              <w:t xml:space="preserve"> Закона </w:t>
            </w:r>
            <w:r w:rsidR="00A540C9" w:rsidRPr="00375A1E">
              <w:rPr>
                <w:rFonts w:ascii="Times New Roman" w:hAnsi="Times New Roman"/>
              </w:rPr>
              <w:t xml:space="preserve">за управление на средствата от </w:t>
            </w:r>
            <w:r w:rsidR="00A540C9" w:rsidRPr="00375A1E">
              <w:rPr>
                <w:rFonts w:ascii="Times New Roman" w:hAnsi="Times New Roman"/>
                <w:lang w:val="en-US"/>
              </w:rPr>
              <w:t>E</w:t>
            </w:r>
            <w:r w:rsidR="003F5307" w:rsidRPr="00375A1E">
              <w:rPr>
                <w:rFonts w:ascii="Times New Roman" w:hAnsi="Times New Roman"/>
              </w:rPr>
              <w:t>вропейските фондове при споделено управление (ЗУСЕФСУ)</w:t>
            </w:r>
            <w:r w:rsidR="00E301D6" w:rsidRPr="00375A1E">
              <w:rPr>
                <w:rFonts w:ascii="Times New Roman" w:hAnsi="Times New Roman"/>
              </w:rPr>
              <w:t>.</w:t>
            </w:r>
          </w:p>
        </w:tc>
      </w:tr>
      <w:tr w:rsidR="004846C7" w:rsidRPr="00375A1E" w14:paraId="296C92D3" w14:textId="77777777" w:rsidTr="00015C76">
        <w:tc>
          <w:tcPr>
            <w:tcW w:w="2298" w:type="dxa"/>
            <w:shd w:val="clear" w:color="auto" w:fill="BFBFBF"/>
          </w:tcPr>
          <w:p w14:paraId="1FDD15EF" w14:textId="20A64436" w:rsidR="004846C7" w:rsidRPr="00375A1E" w:rsidRDefault="00A96015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Изисквания за допустимост на</w:t>
            </w:r>
            <w:r w:rsidR="002C2139" w:rsidRPr="00375A1E">
              <w:rPr>
                <w:rFonts w:ascii="Times New Roman" w:hAnsi="Times New Roman"/>
              </w:rPr>
              <w:t xml:space="preserve"> кандидати</w:t>
            </w:r>
            <w:r w:rsidRPr="00375A1E">
              <w:rPr>
                <w:rFonts w:ascii="Times New Roman" w:hAnsi="Times New Roman"/>
              </w:rPr>
              <w:t>те</w:t>
            </w:r>
          </w:p>
        </w:tc>
        <w:tc>
          <w:tcPr>
            <w:tcW w:w="7796" w:type="dxa"/>
            <w:shd w:val="clear" w:color="auto" w:fill="auto"/>
          </w:tcPr>
          <w:p w14:paraId="7A6A0281" w14:textId="2108C3A6" w:rsidR="00081FB6" w:rsidRPr="00081FB6" w:rsidRDefault="00081FB6" w:rsidP="00081FB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081FB6">
              <w:rPr>
                <w:rFonts w:ascii="Times New Roman" w:hAnsi="Times New Roman"/>
              </w:rPr>
              <w:t xml:space="preserve">1) </w:t>
            </w:r>
            <w:r w:rsidR="00EF3235" w:rsidRPr="00EF3235">
              <w:rPr>
                <w:rFonts w:ascii="Times New Roman" w:hAnsi="Times New Roman"/>
              </w:rPr>
              <w:t xml:space="preserve">Да са </w:t>
            </w:r>
            <w:r w:rsidR="00EF3235" w:rsidRPr="007B10E4">
              <w:rPr>
                <w:rFonts w:ascii="Times New Roman" w:hAnsi="Times New Roman"/>
                <w:b/>
              </w:rPr>
              <w:t>търговци по смисъла на Търговския закон или Закона за кооперациите</w:t>
            </w:r>
            <w:r w:rsidR="00EF3235" w:rsidRPr="00EF3235">
              <w:rPr>
                <w:rFonts w:ascii="Times New Roman" w:hAnsi="Times New Roman"/>
              </w:rPr>
              <w:t xml:space="preserve">, или да са </w:t>
            </w:r>
            <w:r w:rsidR="00EF3235" w:rsidRPr="007B10E4">
              <w:rPr>
                <w:rFonts w:ascii="Times New Roman" w:hAnsi="Times New Roman"/>
                <w:b/>
              </w:rPr>
              <w:t>еквивалентно лице по смисъла на законодателството на държава-членка на Европейското икономическо пространство</w:t>
            </w:r>
            <w:r w:rsidRPr="00081FB6">
              <w:rPr>
                <w:rFonts w:ascii="Times New Roman" w:hAnsi="Times New Roman"/>
              </w:rPr>
              <w:t>.</w:t>
            </w:r>
          </w:p>
          <w:p w14:paraId="4FEF1236" w14:textId="733F662D" w:rsidR="00081FB6" w:rsidRPr="007B10E4" w:rsidRDefault="00081FB6" w:rsidP="00081FB6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081FB6">
              <w:rPr>
                <w:rFonts w:ascii="Times New Roman" w:hAnsi="Times New Roman"/>
              </w:rPr>
              <w:t xml:space="preserve">2) Да са </w:t>
            </w:r>
            <w:r w:rsidRPr="007B10E4">
              <w:rPr>
                <w:rFonts w:ascii="Times New Roman" w:hAnsi="Times New Roman"/>
                <w:b/>
              </w:rPr>
              <w:t>регистрирани не по-късно от 31.12.202</w:t>
            </w:r>
            <w:r w:rsidR="00ED1909" w:rsidRPr="007B10E4">
              <w:rPr>
                <w:rFonts w:ascii="Times New Roman" w:hAnsi="Times New Roman"/>
                <w:b/>
              </w:rPr>
              <w:t>3</w:t>
            </w:r>
            <w:r w:rsidRPr="007B10E4">
              <w:rPr>
                <w:rFonts w:ascii="Times New Roman" w:hAnsi="Times New Roman"/>
                <w:b/>
              </w:rPr>
              <w:t xml:space="preserve"> г.</w:t>
            </w:r>
          </w:p>
          <w:p w14:paraId="219A8B7E" w14:textId="3FCF64CC" w:rsidR="00081FB6" w:rsidRPr="00081FB6" w:rsidRDefault="00081FB6" w:rsidP="00081FB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081FB6">
              <w:rPr>
                <w:rFonts w:ascii="Times New Roman" w:hAnsi="Times New Roman"/>
              </w:rPr>
              <w:t xml:space="preserve">3) </w:t>
            </w:r>
            <w:r w:rsidR="00ED1909" w:rsidRPr="00ED1909">
              <w:rPr>
                <w:rFonts w:ascii="Times New Roman" w:hAnsi="Times New Roman"/>
              </w:rPr>
              <w:t xml:space="preserve">Да са </w:t>
            </w:r>
            <w:r w:rsidR="00ED1909" w:rsidRPr="007B10E4">
              <w:rPr>
                <w:rFonts w:ascii="Times New Roman" w:hAnsi="Times New Roman"/>
                <w:b/>
              </w:rPr>
              <w:t>микро, малки или средни предприятия</w:t>
            </w:r>
            <w:r w:rsidR="00ED1909" w:rsidRPr="00ED1909">
              <w:rPr>
                <w:rFonts w:ascii="Times New Roman" w:hAnsi="Times New Roman"/>
              </w:rPr>
              <w:t xml:space="preserve"> по смисъла на чл. 3 и чл. 4 от Закона за малките и средните предприятия  и Приложение I към Регламент (ЕС) № 651/2014 на Комисията относно определението за микро-, малки и средни предприятия</w:t>
            </w:r>
            <w:r w:rsidRPr="00081FB6">
              <w:rPr>
                <w:rFonts w:ascii="Times New Roman" w:hAnsi="Times New Roman"/>
              </w:rPr>
              <w:t>.</w:t>
            </w:r>
          </w:p>
          <w:p w14:paraId="256EF024" w14:textId="343E3F04" w:rsidR="000C5451" w:rsidRPr="00334801" w:rsidRDefault="00822363" w:rsidP="00A451F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081FB6">
              <w:rPr>
                <w:rFonts w:ascii="Times New Roman" w:hAnsi="Times New Roman"/>
              </w:rPr>
              <w:t xml:space="preserve">4) </w:t>
            </w:r>
            <w:r w:rsidR="00084D5E" w:rsidRPr="00084D5E">
              <w:rPr>
                <w:rFonts w:ascii="Times New Roman" w:hAnsi="Times New Roman"/>
              </w:rPr>
              <w:t xml:space="preserve">Да са реализирали </w:t>
            </w:r>
            <w:r w:rsidR="00084D5E" w:rsidRPr="007B10E4">
              <w:rPr>
                <w:rFonts w:ascii="Times New Roman" w:hAnsi="Times New Roman"/>
                <w:b/>
              </w:rPr>
              <w:t xml:space="preserve">нетни приходи от продажби </w:t>
            </w:r>
            <w:r w:rsidR="00084D5E" w:rsidRPr="00334801">
              <w:rPr>
                <w:rFonts w:ascii="Times New Roman" w:hAnsi="Times New Roman"/>
              </w:rPr>
              <w:t>за съответната категория предприятие в размер съгласно посоченото в Условията за кандидатстване.</w:t>
            </w:r>
          </w:p>
          <w:p w14:paraId="7F76C2C2" w14:textId="78989C12" w:rsidR="00FC07FC" w:rsidRPr="00FC07FC" w:rsidRDefault="00ED1909" w:rsidP="000E43CB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5</w:t>
            </w:r>
            <w:r w:rsidRPr="000D420D">
              <w:rPr>
                <w:rFonts w:ascii="Times New Roman" w:hAnsi="Times New Roman"/>
              </w:rPr>
              <w:t xml:space="preserve">) </w:t>
            </w:r>
            <w:r w:rsidRPr="00334801">
              <w:rPr>
                <w:rFonts w:ascii="Times New Roman" w:hAnsi="Times New Roman"/>
              </w:rPr>
              <w:t xml:space="preserve">Да са </w:t>
            </w:r>
            <w:r w:rsidRPr="00334801">
              <w:rPr>
                <w:rFonts w:ascii="Times New Roman" w:hAnsi="Times New Roman"/>
                <w:b/>
              </w:rPr>
              <w:t xml:space="preserve">заявили подкрепа </w:t>
            </w:r>
            <w:r w:rsidR="00334801" w:rsidRPr="00334801">
              <w:rPr>
                <w:rFonts w:ascii="Times New Roman" w:hAnsi="Times New Roman"/>
                <w:b/>
              </w:rPr>
              <w:t xml:space="preserve">за код на </w:t>
            </w:r>
            <w:r w:rsidR="00FC07FC">
              <w:rPr>
                <w:rFonts w:ascii="Times New Roman" w:hAnsi="Times New Roman"/>
                <w:b/>
              </w:rPr>
              <w:t>икономическа дейност съгласно КИД-</w:t>
            </w:r>
            <w:r w:rsidR="00FC07FC" w:rsidRPr="00FC07FC">
              <w:rPr>
                <w:rFonts w:ascii="Times New Roman" w:hAnsi="Times New Roman"/>
                <w:b/>
              </w:rPr>
              <w:t>2025</w:t>
            </w:r>
            <w:r w:rsidR="00FC07FC" w:rsidRPr="00FC07FC">
              <w:rPr>
                <w:rStyle w:val="FootnoteReference"/>
                <w:rFonts w:ascii="Times New Roman" w:hAnsi="Times New Roman"/>
                <w:b/>
              </w:rPr>
              <w:footnoteReference w:id="8"/>
            </w:r>
            <w:r w:rsidR="00FC07FC" w:rsidRPr="00FC07FC">
              <w:rPr>
                <w:rFonts w:ascii="Times New Roman" w:hAnsi="Times New Roman"/>
                <w:b/>
              </w:rPr>
              <w:t>, който се отнася до:</w:t>
            </w:r>
          </w:p>
          <w:p w14:paraId="472BF1CF" w14:textId="265879C3" w:rsidR="00ED1909" w:rsidRPr="00FC07FC" w:rsidRDefault="00FC07FC" w:rsidP="000E43C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FC07FC">
              <w:rPr>
                <w:rFonts w:ascii="Times New Roman" w:hAnsi="Times New Roman"/>
                <w:b/>
              </w:rPr>
              <w:t xml:space="preserve">- </w:t>
            </w:r>
            <w:r w:rsidR="00334801" w:rsidRPr="00FC07FC">
              <w:rPr>
                <w:rFonts w:ascii="Times New Roman" w:hAnsi="Times New Roman"/>
                <w:b/>
              </w:rPr>
              <w:t xml:space="preserve">основната </w:t>
            </w:r>
            <w:r w:rsidR="00D24A66" w:rsidRPr="00FC07FC">
              <w:rPr>
                <w:rFonts w:ascii="Times New Roman" w:hAnsi="Times New Roman"/>
                <w:i/>
              </w:rPr>
              <w:t>или</w:t>
            </w:r>
            <w:r w:rsidRPr="001B53A4">
              <w:rPr>
                <w:rFonts w:ascii="Times New Roman" w:hAnsi="Times New Roman"/>
                <w:b/>
              </w:rPr>
              <w:t xml:space="preserve"> допълнителната </w:t>
            </w:r>
            <w:r w:rsidR="00D24A66" w:rsidRPr="00FC07FC">
              <w:rPr>
                <w:rFonts w:ascii="Times New Roman" w:hAnsi="Times New Roman"/>
                <w:b/>
              </w:rPr>
              <w:t>икономическа дейност</w:t>
            </w:r>
            <w:r w:rsidRPr="001B53A4">
              <w:rPr>
                <w:rFonts w:ascii="Times New Roman" w:hAnsi="Times New Roman"/>
                <w:b/>
              </w:rPr>
              <w:t xml:space="preserve"> на кандидата</w:t>
            </w:r>
            <w:r w:rsidR="00D24A66" w:rsidRPr="00FC07FC">
              <w:rPr>
                <w:rFonts w:ascii="Times New Roman" w:hAnsi="Times New Roman"/>
              </w:rPr>
              <w:t xml:space="preserve"> (която формира минимален % нетни приходи от продажби, посочен в Условията за кандидатстване)</w:t>
            </w:r>
          </w:p>
          <w:p w14:paraId="3B4FFC18" w14:textId="02DE1D67" w:rsidR="0014252E" w:rsidRPr="00696BEC" w:rsidRDefault="00FC07FC" w:rsidP="000E43CB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</w:rPr>
            </w:pPr>
            <w:r w:rsidRPr="00696BEC">
              <w:rPr>
                <w:rFonts w:ascii="Times New Roman" w:hAnsi="Times New Roman"/>
                <w:i/>
              </w:rPr>
              <w:t>и</w:t>
            </w:r>
            <w:r w:rsidR="0014252E" w:rsidRPr="00696BEC">
              <w:rPr>
                <w:rFonts w:ascii="Times New Roman" w:hAnsi="Times New Roman"/>
                <w:i/>
              </w:rPr>
              <w:t>ли</w:t>
            </w:r>
          </w:p>
          <w:p w14:paraId="0EC7FE1F" w14:textId="1F3C44AF" w:rsidR="0014252E" w:rsidRPr="0014252E" w:rsidRDefault="00FC07FC" w:rsidP="00634F0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FC07FC">
              <w:rPr>
                <w:rFonts w:ascii="Times New Roman" w:hAnsi="Times New Roman"/>
              </w:rPr>
              <w:t xml:space="preserve">- </w:t>
            </w:r>
            <w:r w:rsidR="0014252E" w:rsidRPr="00FC07FC">
              <w:rPr>
                <w:rFonts w:ascii="Times New Roman" w:hAnsi="Times New Roman"/>
              </w:rPr>
              <w:t>д</w:t>
            </w:r>
            <w:r w:rsidRPr="00FC07FC">
              <w:rPr>
                <w:rFonts w:ascii="Times New Roman" w:hAnsi="Times New Roman"/>
              </w:rPr>
              <w:t xml:space="preserve">о </w:t>
            </w:r>
            <w:r w:rsidRPr="00824D82">
              <w:rPr>
                <w:rFonts w:ascii="Times New Roman" w:hAnsi="Times New Roman"/>
                <w:b/>
              </w:rPr>
              <w:t xml:space="preserve">нов </w:t>
            </w:r>
            <w:r w:rsidR="00696BEC" w:rsidRPr="00824D82">
              <w:rPr>
                <w:rFonts w:ascii="Times New Roman" w:hAnsi="Times New Roman"/>
                <w:b/>
              </w:rPr>
              <w:t xml:space="preserve">за кандидата </w:t>
            </w:r>
            <w:r w:rsidRPr="00824D82">
              <w:rPr>
                <w:rFonts w:ascii="Times New Roman" w:hAnsi="Times New Roman"/>
                <w:b/>
              </w:rPr>
              <w:t>код на икономическа дейност</w:t>
            </w:r>
            <w:r w:rsidRPr="00FC07FC">
              <w:rPr>
                <w:rFonts w:ascii="Times New Roman" w:hAnsi="Times New Roman"/>
              </w:rPr>
              <w:t xml:space="preserve">, в рамките на който </w:t>
            </w:r>
            <w:r w:rsidR="00420057">
              <w:rPr>
                <w:rFonts w:ascii="Times New Roman" w:hAnsi="Times New Roman"/>
              </w:rPr>
              <w:t xml:space="preserve">предприятието </w:t>
            </w:r>
            <w:r w:rsidRPr="00FC07FC">
              <w:rPr>
                <w:rFonts w:ascii="Times New Roman" w:hAnsi="Times New Roman"/>
              </w:rPr>
              <w:t xml:space="preserve">ще </w:t>
            </w:r>
            <w:r w:rsidR="00AD7106">
              <w:rPr>
                <w:rFonts w:ascii="Times New Roman" w:hAnsi="Times New Roman"/>
              </w:rPr>
              <w:t>произвежда/</w:t>
            </w:r>
            <w:r w:rsidR="00AF7596">
              <w:rPr>
                <w:rFonts w:ascii="Times New Roman" w:hAnsi="Times New Roman"/>
              </w:rPr>
              <w:t>предлага продукт</w:t>
            </w:r>
            <w:r w:rsidR="00634F0B">
              <w:rPr>
                <w:rFonts w:ascii="Times New Roman" w:hAnsi="Times New Roman"/>
              </w:rPr>
              <w:t>и/услуги</w:t>
            </w:r>
            <w:r w:rsidR="00AF7596">
              <w:rPr>
                <w:rFonts w:ascii="Times New Roman" w:hAnsi="Times New Roman"/>
              </w:rPr>
              <w:t xml:space="preserve"> от</w:t>
            </w:r>
            <w:r w:rsidR="00634F0B">
              <w:rPr>
                <w:rFonts w:ascii="Times New Roman" w:hAnsi="Times New Roman"/>
              </w:rPr>
              <w:t xml:space="preserve"> остатъчни суровини/отпадъци </w:t>
            </w:r>
            <w:r>
              <w:rPr>
                <w:rFonts w:ascii="Times New Roman" w:hAnsi="Times New Roman"/>
              </w:rPr>
              <w:t>или ще се пред</w:t>
            </w:r>
            <w:r w:rsidR="004F2C09">
              <w:rPr>
                <w:rFonts w:ascii="Times New Roman" w:hAnsi="Times New Roman"/>
              </w:rPr>
              <w:t>оставят</w:t>
            </w:r>
            <w:r>
              <w:rPr>
                <w:rFonts w:ascii="Times New Roman" w:hAnsi="Times New Roman"/>
              </w:rPr>
              <w:t xml:space="preserve"> услуги, свързани с осигуряване</w:t>
            </w:r>
            <w:r w:rsidR="00F22CA6" w:rsidRPr="001E5A52">
              <w:rPr>
                <w:rFonts w:ascii="Times New Roman" w:hAnsi="Times New Roman"/>
              </w:rPr>
              <w:t xml:space="preserve"> </w:t>
            </w:r>
            <w:r w:rsidR="00F22CA6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дълготрайност на продукти</w:t>
            </w:r>
            <w:r w:rsidR="00DD37A0">
              <w:rPr>
                <w:rFonts w:ascii="Times New Roman" w:hAnsi="Times New Roman"/>
              </w:rPr>
              <w:t>/услуги</w:t>
            </w:r>
            <w:r w:rsidR="00FC733A">
              <w:rPr>
                <w:rFonts w:ascii="Times New Roman" w:hAnsi="Times New Roman"/>
              </w:rPr>
              <w:t xml:space="preserve">, </w:t>
            </w:r>
            <w:r w:rsidR="004F2C09">
              <w:rPr>
                <w:rFonts w:ascii="Times New Roman" w:hAnsi="Times New Roman"/>
              </w:rPr>
              <w:t xml:space="preserve">вече </w:t>
            </w:r>
            <w:r w:rsidR="00FC733A">
              <w:rPr>
                <w:rFonts w:ascii="Times New Roman" w:hAnsi="Times New Roman"/>
              </w:rPr>
              <w:t>произвеждани/предлагани от кандидата</w:t>
            </w:r>
            <w:r w:rsidRPr="00FC07FC">
              <w:rPr>
                <w:rFonts w:ascii="Times New Roman" w:hAnsi="Times New Roman"/>
              </w:rPr>
              <w:t>.</w:t>
            </w:r>
          </w:p>
        </w:tc>
      </w:tr>
      <w:tr w:rsidR="004846C7" w:rsidRPr="00375A1E" w14:paraId="26B12D0E" w14:textId="77777777" w:rsidTr="00015C76">
        <w:trPr>
          <w:trHeight w:val="853"/>
        </w:trPr>
        <w:tc>
          <w:tcPr>
            <w:tcW w:w="2298" w:type="dxa"/>
            <w:shd w:val="clear" w:color="auto" w:fill="BFBFBF"/>
          </w:tcPr>
          <w:p w14:paraId="45497EE5" w14:textId="4BCB302C" w:rsidR="004846C7" w:rsidRPr="00375A1E" w:rsidRDefault="00822363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 xml:space="preserve">Изисквания за допустимост на </w:t>
            </w:r>
            <w:r w:rsidR="00436A21" w:rsidRPr="00375A1E">
              <w:rPr>
                <w:rFonts w:ascii="Times New Roman" w:hAnsi="Times New Roman"/>
              </w:rPr>
              <w:t>партньори</w:t>
            </w:r>
            <w:r w:rsidRPr="00375A1E">
              <w:rPr>
                <w:rFonts w:ascii="Times New Roman" w:hAnsi="Times New Roman"/>
              </w:rPr>
              <w:t>те</w:t>
            </w:r>
            <w:r w:rsidR="00436A21" w:rsidRPr="00375A1E">
              <w:rPr>
                <w:rFonts w:ascii="Times New Roman" w:hAnsi="Times New Roman"/>
              </w:rPr>
              <w:t xml:space="preserve"> </w:t>
            </w:r>
            <w:r w:rsidR="00436A21" w:rsidRPr="00375A1E">
              <w:rPr>
                <w:rFonts w:ascii="Times New Roman" w:hAnsi="Times New Roman"/>
                <w:i/>
              </w:rPr>
              <w:t>(ако е приложимо)</w:t>
            </w:r>
          </w:p>
        </w:tc>
        <w:tc>
          <w:tcPr>
            <w:tcW w:w="7796" w:type="dxa"/>
            <w:shd w:val="clear" w:color="auto" w:fill="auto"/>
          </w:tcPr>
          <w:p w14:paraId="2F95F3A7" w14:textId="0E7DC653" w:rsidR="004846C7" w:rsidRPr="00375A1E" w:rsidRDefault="007515E9" w:rsidP="00D24A66">
            <w:pPr>
              <w:spacing w:before="120" w:after="12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375A1E">
              <w:rPr>
                <w:rFonts w:ascii="Times New Roman" w:hAnsi="Times New Roman"/>
              </w:rPr>
              <w:t>Неприложимо</w:t>
            </w:r>
            <w:r w:rsidR="00822363" w:rsidRPr="00375A1E">
              <w:rPr>
                <w:rFonts w:ascii="Times New Roman" w:hAnsi="Times New Roman"/>
              </w:rPr>
              <w:t>.</w:t>
            </w:r>
          </w:p>
        </w:tc>
      </w:tr>
      <w:tr w:rsidR="004846C7" w:rsidRPr="00375A1E" w14:paraId="6280E6AC" w14:textId="77777777" w:rsidTr="00015C76">
        <w:tc>
          <w:tcPr>
            <w:tcW w:w="2298" w:type="dxa"/>
            <w:shd w:val="clear" w:color="auto" w:fill="BFBFBF"/>
          </w:tcPr>
          <w:p w14:paraId="761A2E53" w14:textId="77777777" w:rsidR="004846C7" w:rsidRPr="00375A1E" w:rsidRDefault="00094BA3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 xml:space="preserve">Допустими </w:t>
            </w:r>
            <w:r w:rsidR="00D7451B" w:rsidRPr="00375A1E">
              <w:rPr>
                <w:rFonts w:ascii="Times New Roman" w:hAnsi="Times New Roman"/>
              </w:rPr>
              <w:t>проекти/</w:t>
            </w:r>
            <w:r w:rsidRPr="00375A1E">
              <w:rPr>
                <w:rFonts w:ascii="Times New Roman" w:hAnsi="Times New Roman"/>
              </w:rPr>
              <w:t>дейности</w:t>
            </w:r>
          </w:p>
        </w:tc>
        <w:tc>
          <w:tcPr>
            <w:tcW w:w="7796" w:type="dxa"/>
            <w:shd w:val="clear" w:color="auto" w:fill="auto"/>
          </w:tcPr>
          <w:p w14:paraId="0F4288FE" w14:textId="398A19A0" w:rsidR="004F2C09" w:rsidRPr="004F2C09" w:rsidRDefault="004F2C09" w:rsidP="008F4433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процедурата са допустими</w:t>
            </w:r>
            <w:r w:rsidR="004B7A2A">
              <w:rPr>
                <w:rFonts w:ascii="Times New Roman" w:hAnsi="Times New Roman"/>
                <w:b/>
              </w:rPr>
              <w:t xml:space="preserve"> </w:t>
            </w:r>
            <w:r w:rsidRPr="004F2C09">
              <w:rPr>
                <w:rFonts w:ascii="Times New Roman" w:hAnsi="Times New Roman"/>
              </w:rPr>
              <w:t>дейности по следните елементи:</w:t>
            </w:r>
          </w:p>
          <w:p w14:paraId="364E899C" w14:textId="620C34E9" w:rsidR="008F4433" w:rsidRPr="004B7A2A" w:rsidRDefault="004F2C09" w:rsidP="008F4433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</w:t>
            </w:r>
            <w:r w:rsidR="001B53A4">
              <w:rPr>
                <w:rFonts w:ascii="Times New Roman" w:hAnsi="Times New Roman"/>
                <w:b/>
              </w:rPr>
              <w:t xml:space="preserve">лемент </w:t>
            </w:r>
            <w:r w:rsidR="001B53A4">
              <w:rPr>
                <w:rFonts w:ascii="Times New Roman" w:hAnsi="Times New Roman"/>
                <w:b/>
                <w:lang w:val="en-US"/>
              </w:rPr>
              <w:t>I</w:t>
            </w:r>
            <w:r w:rsidR="00A07BBD">
              <w:rPr>
                <w:rFonts w:ascii="Times New Roman" w:hAnsi="Times New Roman"/>
                <w:b/>
              </w:rPr>
              <w:t xml:space="preserve"> (задължителен)</w:t>
            </w:r>
            <w:r>
              <w:rPr>
                <w:rFonts w:ascii="Times New Roman" w:hAnsi="Times New Roman"/>
                <w:b/>
              </w:rPr>
              <w:t>: Д</w:t>
            </w:r>
            <w:r w:rsidR="00142BA3" w:rsidRPr="00142BA3">
              <w:rPr>
                <w:rFonts w:ascii="Times New Roman" w:hAnsi="Times New Roman"/>
                <w:b/>
              </w:rPr>
              <w:t>ейност</w:t>
            </w:r>
            <w:r w:rsidR="008F4433" w:rsidRPr="00142BA3">
              <w:rPr>
                <w:rFonts w:ascii="Times New Roman" w:hAnsi="Times New Roman"/>
                <w:b/>
              </w:rPr>
              <w:t xml:space="preserve"> за въвеждане на зелени технологии в предприятията за прилагане на кръгови модели за производство и потребление</w:t>
            </w:r>
            <w:r w:rsidR="008F4433" w:rsidRPr="00F22CA6">
              <w:rPr>
                <w:rFonts w:ascii="Times New Roman" w:hAnsi="Times New Roman"/>
                <w:b/>
              </w:rPr>
              <w:t>.</w:t>
            </w:r>
          </w:p>
          <w:p w14:paraId="64F1D5CC" w14:textId="470D2558" w:rsidR="00BE067D" w:rsidRPr="008F4433" w:rsidRDefault="008F4433" w:rsidP="00BE067D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8F4433">
              <w:rPr>
                <w:rFonts w:ascii="Times New Roman" w:hAnsi="Times New Roman"/>
              </w:rPr>
              <w:t xml:space="preserve">Дейността следва да осигурява въвеждането на зелени технологии за прилагане на </w:t>
            </w:r>
            <w:r w:rsidR="0056642D" w:rsidRPr="0056642D">
              <w:rPr>
                <w:rFonts w:ascii="Times New Roman" w:hAnsi="Times New Roman"/>
                <w:b/>
              </w:rPr>
              <w:t xml:space="preserve">един или повече </w:t>
            </w:r>
            <w:r w:rsidR="005A72AE">
              <w:rPr>
                <w:rFonts w:ascii="Times New Roman" w:hAnsi="Times New Roman"/>
                <w:b/>
              </w:rPr>
              <w:t>от</w:t>
            </w:r>
            <w:r w:rsidR="0056642D">
              <w:rPr>
                <w:rFonts w:ascii="Times New Roman" w:hAnsi="Times New Roman"/>
                <w:b/>
              </w:rPr>
              <w:t xml:space="preserve"> </w:t>
            </w:r>
            <w:r w:rsidRPr="0056642D">
              <w:rPr>
                <w:rFonts w:ascii="Times New Roman" w:hAnsi="Times New Roman"/>
                <w:b/>
              </w:rPr>
              <w:t>кръгови</w:t>
            </w:r>
            <w:r w:rsidR="005A72AE">
              <w:rPr>
                <w:rFonts w:ascii="Times New Roman" w:hAnsi="Times New Roman"/>
                <w:b/>
              </w:rPr>
              <w:t>те</w:t>
            </w:r>
            <w:r w:rsidRPr="0056642D">
              <w:rPr>
                <w:rFonts w:ascii="Times New Roman" w:hAnsi="Times New Roman"/>
                <w:b/>
              </w:rPr>
              <w:t xml:space="preserve"> модели</w:t>
            </w:r>
            <w:r w:rsidRPr="008F4433">
              <w:rPr>
                <w:rFonts w:ascii="Times New Roman" w:hAnsi="Times New Roman"/>
              </w:rPr>
              <w:t xml:space="preserve"> </w:t>
            </w:r>
            <w:r w:rsidR="0056642D">
              <w:rPr>
                <w:rFonts w:ascii="Times New Roman" w:hAnsi="Times New Roman"/>
                <w:b/>
              </w:rPr>
              <w:t>в</w:t>
            </w:r>
            <w:r w:rsidRPr="00142BA3">
              <w:rPr>
                <w:rFonts w:ascii="Times New Roman" w:hAnsi="Times New Roman"/>
                <w:b/>
              </w:rPr>
              <w:t xml:space="preserve"> </w:t>
            </w:r>
            <w:r w:rsidR="005A72AE">
              <w:rPr>
                <w:rFonts w:ascii="Times New Roman" w:hAnsi="Times New Roman"/>
                <w:b/>
              </w:rPr>
              <w:t xml:space="preserve">следните </w:t>
            </w:r>
            <w:r w:rsidRPr="00142BA3">
              <w:rPr>
                <w:rFonts w:ascii="Times New Roman" w:hAnsi="Times New Roman"/>
                <w:b/>
              </w:rPr>
              <w:t>направления</w:t>
            </w:r>
            <w:r w:rsidRPr="00EF1BBB">
              <w:rPr>
                <w:rFonts w:ascii="Times New Roman" w:hAnsi="Times New Roman"/>
                <w:b/>
              </w:rPr>
              <w:t>:</w:t>
            </w:r>
          </w:p>
          <w:p w14:paraId="2EB1304B" w14:textId="7659EA4C" w:rsidR="00BE067D" w:rsidRDefault="00BE067D" w:rsidP="00BE067D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6B07DF">
              <w:rPr>
                <w:rFonts w:ascii="Times New Roman" w:hAnsi="Times New Roman"/>
                <w:b/>
              </w:rPr>
              <w:t>1)</w:t>
            </w:r>
            <w:r w:rsidRPr="00393D34">
              <w:rPr>
                <w:rFonts w:ascii="Times New Roman" w:hAnsi="Times New Roman"/>
              </w:rPr>
              <w:t xml:space="preserve"> </w:t>
            </w:r>
            <w:r w:rsidR="00A134A4" w:rsidRPr="007C48D7">
              <w:rPr>
                <w:rFonts w:ascii="Times New Roman" w:hAnsi="Times New Roman"/>
                <w:b/>
              </w:rPr>
              <w:t xml:space="preserve">Подобряване </w:t>
            </w:r>
            <w:r w:rsidR="0079388B" w:rsidRPr="007C48D7">
              <w:rPr>
                <w:rFonts w:ascii="Times New Roman" w:hAnsi="Times New Roman"/>
                <w:b/>
              </w:rPr>
              <w:t xml:space="preserve">на </w:t>
            </w:r>
            <w:r w:rsidR="00A134A4" w:rsidRPr="007C48D7">
              <w:rPr>
                <w:rFonts w:ascii="Times New Roman" w:hAnsi="Times New Roman"/>
                <w:b/>
              </w:rPr>
              <w:t>управлението на</w:t>
            </w:r>
            <w:r w:rsidRPr="007C48D7">
              <w:rPr>
                <w:rFonts w:ascii="Times New Roman" w:hAnsi="Times New Roman"/>
                <w:b/>
              </w:rPr>
              <w:t xml:space="preserve"> отпадъци</w:t>
            </w:r>
            <w:r w:rsidR="0079388B" w:rsidRPr="007C48D7">
              <w:rPr>
                <w:rFonts w:ascii="Times New Roman" w:hAnsi="Times New Roman"/>
                <w:b/>
              </w:rPr>
              <w:t>те</w:t>
            </w:r>
            <w:r w:rsidR="00F21F25" w:rsidRPr="007C48D7">
              <w:rPr>
                <w:rFonts w:ascii="Times New Roman" w:hAnsi="Times New Roman"/>
                <w:b/>
              </w:rPr>
              <w:t>:</w:t>
            </w:r>
          </w:p>
          <w:p w14:paraId="03F9A003" w14:textId="4B8F9833" w:rsidR="006B07DF" w:rsidRDefault="00F21F25" w:rsidP="00F21F25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</w:rPr>
            </w:pPr>
            <w:r w:rsidRPr="00F21F25">
              <w:rPr>
                <w:rFonts w:ascii="Times New Roman" w:hAnsi="Times New Roman"/>
              </w:rPr>
              <w:t xml:space="preserve">- подготовка за </w:t>
            </w:r>
            <w:r w:rsidR="004149E6">
              <w:rPr>
                <w:rFonts w:ascii="Times New Roman" w:hAnsi="Times New Roman"/>
              </w:rPr>
              <w:t>повторна употреба</w:t>
            </w:r>
            <w:r>
              <w:rPr>
                <w:rFonts w:ascii="Times New Roman" w:hAnsi="Times New Roman"/>
              </w:rPr>
              <w:t xml:space="preserve"> и/или рециклиране, </w:t>
            </w:r>
            <w:r w:rsidRPr="00F21F25">
              <w:rPr>
                <w:rFonts w:ascii="Times New Roman" w:hAnsi="Times New Roman"/>
              </w:rPr>
              <w:t>и/или други дейности за преработка на отпадъци и последв</w:t>
            </w:r>
            <w:r>
              <w:rPr>
                <w:rFonts w:ascii="Times New Roman" w:hAnsi="Times New Roman"/>
              </w:rPr>
              <w:t xml:space="preserve">ащото им влагане като суровина </w:t>
            </w:r>
            <w:r w:rsidRPr="00F21F25">
              <w:rPr>
                <w:rFonts w:ascii="Times New Roman" w:hAnsi="Times New Roman"/>
              </w:rPr>
              <w:t>в производствени процеси</w:t>
            </w:r>
            <w:r>
              <w:rPr>
                <w:rFonts w:ascii="Times New Roman" w:hAnsi="Times New Roman"/>
              </w:rPr>
              <w:t>/процеси по предоставяне на услуги</w:t>
            </w:r>
            <w:r w:rsidRPr="00F21F25">
              <w:rPr>
                <w:rFonts w:ascii="Times New Roman" w:hAnsi="Times New Roman"/>
              </w:rPr>
              <w:t xml:space="preserve">, </w:t>
            </w:r>
            <w:r w:rsidRPr="00F21F25">
              <w:rPr>
                <w:rFonts w:ascii="Times New Roman" w:hAnsi="Times New Roman"/>
                <w:i/>
              </w:rPr>
              <w:t>и/или</w:t>
            </w:r>
          </w:p>
          <w:p w14:paraId="3D999D21" w14:textId="2C867471" w:rsidR="000744F0" w:rsidRDefault="006B07DF" w:rsidP="00F21F25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6B07DF">
              <w:rPr>
                <w:rFonts w:ascii="Times New Roman" w:hAnsi="Times New Roman"/>
                <w:b/>
                <w:i/>
              </w:rPr>
              <w:t xml:space="preserve">- </w:t>
            </w:r>
            <w:r w:rsidR="00F21F25" w:rsidRPr="00F21F25">
              <w:rPr>
                <w:rFonts w:ascii="Times New Roman" w:hAnsi="Times New Roman"/>
              </w:rPr>
              <w:t>намаляване на количеството образувани отпадъци при производството</w:t>
            </w:r>
            <w:r w:rsidR="00DF614A">
              <w:rPr>
                <w:rFonts w:ascii="Times New Roman" w:hAnsi="Times New Roman"/>
              </w:rPr>
              <w:t>/предоставянето</w:t>
            </w:r>
            <w:r w:rsidR="00F21F25" w:rsidRPr="00F21F25">
              <w:rPr>
                <w:rFonts w:ascii="Times New Roman" w:hAnsi="Times New Roman"/>
              </w:rPr>
              <w:t xml:space="preserve"> на единица </w:t>
            </w:r>
            <w:r w:rsidR="0043430F">
              <w:rPr>
                <w:rFonts w:ascii="Times New Roman" w:hAnsi="Times New Roman"/>
              </w:rPr>
              <w:t xml:space="preserve">съществуващ </w:t>
            </w:r>
            <w:r w:rsidR="00F21F25" w:rsidRPr="00F21F25">
              <w:rPr>
                <w:rFonts w:ascii="Times New Roman" w:hAnsi="Times New Roman"/>
              </w:rPr>
              <w:t>продукт</w:t>
            </w:r>
            <w:r w:rsidR="00F21F25">
              <w:rPr>
                <w:rFonts w:ascii="Times New Roman" w:hAnsi="Times New Roman"/>
              </w:rPr>
              <w:t>/услуга</w:t>
            </w:r>
            <w:r w:rsidR="00420057">
              <w:rPr>
                <w:rStyle w:val="FootnoteReference"/>
                <w:rFonts w:ascii="Times New Roman" w:hAnsi="Times New Roman"/>
              </w:rPr>
              <w:footnoteReference w:id="9"/>
            </w:r>
            <w:r w:rsidR="00DF4F64" w:rsidRPr="00DF4F64">
              <w:rPr>
                <w:rFonts w:ascii="Times New Roman" w:hAnsi="Times New Roman"/>
              </w:rPr>
              <w:t xml:space="preserve">, </w:t>
            </w:r>
            <w:r w:rsidR="00DF4F64" w:rsidRPr="00DF4F64">
              <w:rPr>
                <w:rFonts w:ascii="Times New Roman" w:hAnsi="Times New Roman"/>
                <w:i/>
              </w:rPr>
              <w:t>и/или</w:t>
            </w:r>
            <w:r w:rsidR="00F21F25" w:rsidRPr="00F21F25">
              <w:rPr>
                <w:rFonts w:ascii="Times New Roman" w:hAnsi="Times New Roman"/>
              </w:rPr>
              <w:t xml:space="preserve"> </w:t>
            </w:r>
          </w:p>
          <w:p w14:paraId="4202F768" w14:textId="00C7F794" w:rsidR="00F21F25" w:rsidRPr="00AE57B9" w:rsidRDefault="000744F0" w:rsidP="00A1385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5844A7">
              <w:rPr>
                <w:rFonts w:ascii="Times New Roman" w:hAnsi="Times New Roman"/>
              </w:rPr>
              <w:t xml:space="preserve">- </w:t>
            </w:r>
            <w:r w:rsidR="00A1385B" w:rsidRPr="00DF4F64">
              <w:rPr>
                <w:rFonts w:ascii="Times New Roman" w:hAnsi="Times New Roman"/>
              </w:rPr>
              <w:t>намаляване на</w:t>
            </w:r>
            <w:r w:rsidR="00073F45" w:rsidRPr="00DF4F64">
              <w:rPr>
                <w:rFonts w:ascii="Times New Roman" w:hAnsi="Times New Roman"/>
              </w:rPr>
              <w:t xml:space="preserve"> количеството</w:t>
            </w:r>
            <w:r w:rsidR="00A1385B" w:rsidRPr="00DF4F64">
              <w:rPr>
                <w:rFonts w:ascii="Times New Roman" w:hAnsi="Times New Roman"/>
              </w:rPr>
              <w:t xml:space="preserve"> отпадъчни води</w:t>
            </w:r>
            <w:r w:rsidR="005844A7" w:rsidRPr="00DF4F64">
              <w:rPr>
                <w:rFonts w:ascii="Times New Roman" w:hAnsi="Times New Roman"/>
              </w:rPr>
              <w:t xml:space="preserve"> при производството/предоставянето на единица съществуващ продукт/услуга</w:t>
            </w:r>
            <w:r w:rsidR="00A1385B" w:rsidRPr="00DF4F64">
              <w:rPr>
                <w:rFonts w:ascii="Times New Roman" w:hAnsi="Times New Roman"/>
              </w:rPr>
              <w:t>;</w:t>
            </w:r>
          </w:p>
          <w:p w14:paraId="7A680E59" w14:textId="45136BDA" w:rsidR="00BE067D" w:rsidRPr="006B07DF" w:rsidRDefault="00BE067D" w:rsidP="00BE067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6B07DF">
              <w:rPr>
                <w:rFonts w:ascii="Times New Roman" w:hAnsi="Times New Roman"/>
                <w:b/>
              </w:rPr>
              <w:t xml:space="preserve">2) </w:t>
            </w:r>
            <w:r w:rsidR="0043430F">
              <w:rPr>
                <w:rFonts w:ascii="Times New Roman" w:hAnsi="Times New Roman"/>
                <w:b/>
              </w:rPr>
              <w:t>Оптимизиране използването на</w:t>
            </w:r>
            <w:r w:rsidR="00F21F25" w:rsidRPr="006B07DF">
              <w:rPr>
                <w:rFonts w:ascii="Times New Roman" w:hAnsi="Times New Roman"/>
                <w:b/>
              </w:rPr>
              <w:t xml:space="preserve"> суровини</w:t>
            </w:r>
            <w:r w:rsidR="00073F45">
              <w:rPr>
                <w:rFonts w:ascii="Times New Roman" w:hAnsi="Times New Roman"/>
                <w:b/>
              </w:rPr>
              <w:t xml:space="preserve">, </w:t>
            </w:r>
            <w:r w:rsidR="00073F45" w:rsidRPr="00DF4F64">
              <w:rPr>
                <w:rFonts w:ascii="Times New Roman" w:hAnsi="Times New Roman"/>
                <w:b/>
              </w:rPr>
              <w:t>вкл. вода</w:t>
            </w:r>
            <w:r w:rsidR="00F21F25" w:rsidRPr="00DF4F64">
              <w:rPr>
                <w:rFonts w:ascii="Times New Roman" w:hAnsi="Times New Roman"/>
                <w:b/>
              </w:rPr>
              <w:t>:</w:t>
            </w:r>
          </w:p>
          <w:p w14:paraId="74149087" w14:textId="257C3FD6" w:rsidR="00F21F25" w:rsidRPr="00F21F25" w:rsidRDefault="00F21F25" w:rsidP="00F21F25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F21F25">
              <w:rPr>
                <w:rFonts w:ascii="Times New Roman" w:hAnsi="Times New Roman"/>
              </w:rPr>
              <w:t xml:space="preserve">- </w:t>
            </w:r>
            <w:r w:rsidR="00F52453">
              <w:rPr>
                <w:rFonts w:ascii="Times New Roman" w:hAnsi="Times New Roman"/>
              </w:rPr>
              <w:t xml:space="preserve">влагане на </w:t>
            </w:r>
            <w:r w:rsidR="00E47720">
              <w:rPr>
                <w:rFonts w:ascii="Times New Roman" w:hAnsi="Times New Roman"/>
              </w:rPr>
              <w:t xml:space="preserve">остатъчни суровини и/или </w:t>
            </w:r>
            <w:r w:rsidR="00F52453">
              <w:rPr>
                <w:rFonts w:ascii="Times New Roman" w:hAnsi="Times New Roman"/>
              </w:rPr>
              <w:t>рециклирани суровини при производството/предоставянето на продукти/услуги</w:t>
            </w:r>
            <w:r w:rsidRPr="00F21F25">
              <w:rPr>
                <w:rFonts w:ascii="Times New Roman" w:hAnsi="Times New Roman"/>
              </w:rPr>
              <w:t xml:space="preserve">, </w:t>
            </w:r>
            <w:r w:rsidRPr="00F52453">
              <w:rPr>
                <w:rFonts w:ascii="Times New Roman" w:hAnsi="Times New Roman"/>
                <w:i/>
              </w:rPr>
              <w:t>и/или</w:t>
            </w:r>
            <w:r w:rsidRPr="00F21F25">
              <w:rPr>
                <w:rFonts w:ascii="Times New Roman" w:hAnsi="Times New Roman"/>
              </w:rPr>
              <w:t xml:space="preserve"> </w:t>
            </w:r>
          </w:p>
          <w:p w14:paraId="268B0B35" w14:textId="19E083A4" w:rsidR="00F21F25" w:rsidRDefault="00F52453" w:rsidP="00F21F25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влагане на суровини</w:t>
            </w:r>
            <w:r w:rsidR="00F21F25" w:rsidRPr="00F21F25">
              <w:rPr>
                <w:rFonts w:ascii="Times New Roman" w:hAnsi="Times New Roman"/>
              </w:rPr>
              <w:t xml:space="preserve"> с биологичен произход (например заместване на синтетични материали или суровини на фосилна основа с такива с биологичен произход), </w:t>
            </w:r>
            <w:r w:rsidR="003C153A" w:rsidRPr="007C48D7">
              <w:rPr>
                <w:rFonts w:ascii="Times New Roman" w:hAnsi="Times New Roman"/>
              </w:rPr>
              <w:t xml:space="preserve">вкл. </w:t>
            </w:r>
            <w:r w:rsidR="00EB5B02" w:rsidRPr="007C48D7">
              <w:rPr>
                <w:rFonts w:ascii="Times New Roman" w:hAnsi="Times New Roman"/>
              </w:rPr>
              <w:t>производство на продукти изцяло от суровини с биологичен произход</w:t>
            </w:r>
            <w:r w:rsidR="001C5E94" w:rsidRPr="001C5E94">
              <w:rPr>
                <w:rFonts w:ascii="Times New Roman" w:hAnsi="Times New Roman"/>
              </w:rPr>
              <w:t>,</w:t>
            </w:r>
            <w:r w:rsidR="00EB5B02" w:rsidRPr="00EB5B02">
              <w:rPr>
                <w:rFonts w:ascii="Times New Roman" w:hAnsi="Times New Roman"/>
              </w:rPr>
              <w:t xml:space="preserve"> </w:t>
            </w:r>
            <w:r w:rsidR="00F21F25" w:rsidRPr="00F52453">
              <w:rPr>
                <w:rFonts w:ascii="Times New Roman" w:hAnsi="Times New Roman"/>
                <w:i/>
              </w:rPr>
              <w:t>и/или</w:t>
            </w:r>
            <w:r w:rsidR="00F21F25" w:rsidRPr="00F21F25">
              <w:rPr>
                <w:rFonts w:ascii="Times New Roman" w:hAnsi="Times New Roman"/>
              </w:rPr>
              <w:t xml:space="preserve"> </w:t>
            </w:r>
          </w:p>
          <w:p w14:paraId="0044392C" w14:textId="571EEFF3" w:rsidR="00F52453" w:rsidRPr="00F21F25" w:rsidRDefault="00F52453" w:rsidP="00F21F25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2453">
              <w:rPr>
                <w:rFonts w:ascii="Times New Roman" w:hAnsi="Times New Roman"/>
              </w:rPr>
              <w:t>намаляване на използваните суровини</w:t>
            </w:r>
            <w:r w:rsidR="00E47720">
              <w:rPr>
                <w:rFonts w:ascii="Times New Roman" w:hAnsi="Times New Roman"/>
              </w:rPr>
              <w:t xml:space="preserve"> (включително пластмаса)</w:t>
            </w:r>
            <w:r w:rsidRPr="00F52453">
              <w:rPr>
                <w:rFonts w:ascii="Times New Roman" w:hAnsi="Times New Roman"/>
              </w:rPr>
              <w:t xml:space="preserve"> за производството</w:t>
            </w:r>
            <w:r w:rsidR="00DF614A">
              <w:rPr>
                <w:rFonts w:ascii="Times New Roman" w:hAnsi="Times New Roman"/>
              </w:rPr>
              <w:t>/предоставянето</w:t>
            </w:r>
            <w:r w:rsidRPr="00F52453">
              <w:rPr>
                <w:rFonts w:ascii="Times New Roman" w:hAnsi="Times New Roman"/>
              </w:rPr>
              <w:t xml:space="preserve"> на единица </w:t>
            </w:r>
            <w:r w:rsidR="0043430F">
              <w:rPr>
                <w:rFonts w:ascii="Times New Roman" w:hAnsi="Times New Roman"/>
              </w:rPr>
              <w:t xml:space="preserve">съществуващ </w:t>
            </w:r>
            <w:r w:rsidRPr="00F52453">
              <w:rPr>
                <w:rFonts w:ascii="Times New Roman" w:hAnsi="Times New Roman"/>
              </w:rPr>
              <w:t>продукт</w:t>
            </w:r>
            <w:r w:rsidR="00DF614A">
              <w:rPr>
                <w:rFonts w:ascii="Times New Roman" w:hAnsi="Times New Roman"/>
              </w:rPr>
              <w:t>/услуга</w:t>
            </w:r>
            <w:r w:rsidRPr="00F52453">
              <w:rPr>
                <w:rFonts w:ascii="Times New Roman" w:hAnsi="Times New Roman"/>
              </w:rPr>
              <w:t xml:space="preserve"> (количеството суровини, влагани за производството</w:t>
            </w:r>
            <w:r w:rsidR="00DF614A">
              <w:rPr>
                <w:rFonts w:ascii="Times New Roman" w:hAnsi="Times New Roman"/>
              </w:rPr>
              <w:t>/предоставянето</w:t>
            </w:r>
            <w:r w:rsidRPr="00F52453">
              <w:rPr>
                <w:rFonts w:ascii="Times New Roman" w:hAnsi="Times New Roman"/>
              </w:rPr>
              <w:t xml:space="preserve"> на е</w:t>
            </w:r>
            <w:r w:rsidR="00DF614A">
              <w:rPr>
                <w:rFonts w:ascii="Times New Roman" w:hAnsi="Times New Roman"/>
              </w:rPr>
              <w:t xml:space="preserve">диница продукт/услуга), </w:t>
            </w:r>
            <w:r w:rsidR="00DF614A" w:rsidRPr="00DF614A">
              <w:rPr>
                <w:rFonts w:ascii="Times New Roman" w:hAnsi="Times New Roman"/>
                <w:i/>
              </w:rPr>
              <w:t>и/или</w:t>
            </w:r>
          </w:p>
          <w:p w14:paraId="3F72B260" w14:textId="5D80EA19" w:rsidR="00F21F25" w:rsidRDefault="00F21F25" w:rsidP="00F21F25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F21F25">
              <w:rPr>
                <w:rFonts w:ascii="Times New Roman" w:hAnsi="Times New Roman"/>
              </w:rPr>
              <w:t>- заместване или намаляване на употребата на опасни вещества</w:t>
            </w:r>
            <w:r w:rsidR="00F52453">
              <w:rPr>
                <w:rStyle w:val="FootnoteReference"/>
                <w:rFonts w:ascii="Times New Roman" w:hAnsi="Times New Roman"/>
              </w:rPr>
              <w:footnoteReference w:id="10"/>
            </w:r>
            <w:r w:rsidR="00931260" w:rsidRPr="007F37DC">
              <w:rPr>
                <w:rFonts w:ascii="Times New Roman" w:hAnsi="Times New Roman"/>
              </w:rPr>
              <w:t xml:space="preserve"> (</w:t>
            </w:r>
            <w:r w:rsidR="00931260">
              <w:rPr>
                <w:rFonts w:ascii="Times New Roman" w:hAnsi="Times New Roman"/>
              </w:rPr>
              <w:t>вкл. суровини, съдържащи опасни вещества)</w:t>
            </w:r>
            <w:r w:rsidR="000971E1">
              <w:rPr>
                <w:rFonts w:ascii="Times New Roman" w:hAnsi="Times New Roman"/>
              </w:rPr>
              <w:t>,</w:t>
            </w:r>
            <w:r w:rsidRPr="00F21F25">
              <w:rPr>
                <w:rFonts w:ascii="Times New Roman" w:hAnsi="Times New Roman"/>
              </w:rPr>
              <w:t xml:space="preserve"> чрез използването на алтернативни суровини</w:t>
            </w:r>
            <w:r w:rsidR="005844A7">
              <w:rPr>
                <w:rFonts w:ascii="Times New Roman" w:hAnsi="Times New Roman"/>
              </w:rPr>
              <w:t xml:space="preserve">, </w:t>
            </w:r>
            <w:r w:rsidR="005844A7" w:rsidRPr="00AE57B9">
              <w:rPr>
                <w:rFonts w:ascii="Times New Roman" w:hAnsi="Times New Roman"/>
                <w:i/>
              </w:rPr>
              <w:t>и/или</w:t>
            </w:r>
          </w:p>
          <w:p w14:paraId="1AD25ADC" w14:textId="12B2A879" w:rsidR="00A1385B" w:rsidRDefault="00A1385B" w:rsidP="00F21F25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C6C33" w:rsidRPr="005A7954">
              <w:rPr>
                <w:rFonts w:ascii="Times New Roman" w:hAnsi="Times New Roman"/>
              </w:rPr>
              <w:t>н</w:t>
            </w:r>
            <w:r w:rsidR="005844A7" w:rsidRPr="005A7954">
              <w:rPr>
                <w:rFonts w:ascii="Times New Roman" w:hAnsi="Times New Roman"/>
              </w:rPr>
              <w:t xml:space="preserve">амаляване </w:t>
            </w:r>
            <w:r w:rsidR="00977E37" w:rsidRPr="005A7954">
              <w:rPr>
                <w:rFonts w:ascii="Times New Roman" w:hAnsi="Times New Roman"/>
              </w:rPr>
              <w:t xml:space="preserve">на </w:t>
            </w:r>
            <w:r w:rsidR="005A7954">
              <w:rPr>
                <w:rFonts w:ascii="Times New Roman" w:hAnsi="Times New Roman"/>
              </w:rPr>
              <w:t>количеството потребявани</w:t>
            </w:r>
            <w:r w:rsidR="005844A7" w:rsidRPr="005A7954">
              <w:rPr>
                <w:rFonts w:ascii="Times New Roman" w:hAnsi="Times New Roman"/>
              </w:rPr>
              <w:t xml:space="preserve"> води</w:t>
            </w:r>
            <w:r w:rsidR="000C6C33" w:rsidRPr="005A7954">
              <w:rPr>
                <w:rFonts w:ascii="Times New Roman" w:hAnsi="Times New Roman"/>
              </w:rPr>
              <w:t xml:space="preserve"> за произ</w:t>
            </w:r>
            <w:r w:rsidR="005844A7" w:rsidRPr="005A7954">
              <w:rPr>
                <w:rFonts w:ascii="Times New Roman" w:hAnsi="Times New Roman"/>
              </w:rPr>
              <w:t>водството/предоставянето</w:t>
            </w:r>
            <w:r w:rsidR="000C6C33" w:rsidRPr="005A7954">
              <w:rPr>
                <w:rFonts w:ascii="Times New Roman" w:hAnsi="Times New Roman"/>
              </w:rPr>
              <w:t xml:space="preserve"> на единица</w:t>
            </w:r>
            <w:r w:rsidR="00977E37" w:rsidRPr="005A7954">
              <w:rPr>
                <w:rFonts w:ascii="Times New Roman" w:hAnsi="Times New Roman"/>
              </w:rPr>
              <w:t xml:space="preserve"> съществуващ</w:t>
            </w:r>
            <w:r w:rsidR="000C6C33" w:rsidRPr="005A7954">
              <w:rPr>
                <w:rFonts w:ascii="Times New Roman" w:hAnsi="Times New Roman"/>
              </w:rPr>
              <w:t xml:space="preserve"> продукт/услуга</w:t>
            </w:r>
            <w:r w:rsidR="005844A7" w:rsidRPr="005A7954">
              <w:rPr>
                <w:rFonts w:ascii="Times New Roman" w:hAnsi="Times New Roman"/>
              </w:rPr>
              <w:t>;</w:t>
            </w:r>
          </w:p>
          <w:p w14:paraId="3F873B4D" w14:textId="08836394" w:rsidR="00BE067D" w:rsidRPr="006B07DF" w:rsidRDefault="00BE067D" w:rsidP="00BE067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6B07DF">
              <w:rPr>
                <w:rFonts w:ascii="Times New Roman" w:hAnsi="Times New Roman"/>
                <w:b/>
              </w:rPr>
              <w:t>3) Ограничаване използването на опаковки</w:t>
            </w:r>
            <w:r w:rsidR="00F319AD" w:rsidRPr="006B07DF">
              <w:rPr>
                <w:rFonts w:ascii="Times New Roman" w:hAnsi="Times New Roman"/>
                <w:b/>
              </w:rPr>
              <w:t>:</w:t>
            </w:r>
          </w:p>
          <w:p w14:paraId="5434986E" w14:textId="671B9840" w:rsidR="00F319AD" w:rsidRDefault="00F319AD" w:rsidP="00F319AD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F319AD">
              <w:rPr>
                <w:rFonts w:ascii="Times New Roman" w:hAnsi="Times New Roman"/>
              </w:rPr>
              <w:t>- елиминиране</w:t>
            </w:r>
            <w:r w:rsidR="00E47720">
              <w:rPr>
                <w:rFonts w:ascii="Times New Roman" w:hAnsi="Times New Roman"/>
              </w:rPr>
              <w:t xml:space="preserve"> </w:t>
            </w:r>
            <w:r w:rsidR="00A92A4F">
              <w:rPr>
                <w:rFonts w:ascii="Times New Roman" w:hAnsi="Times New Roman"/>
              </w:rPr>
              <w:t xml:space="preserve">или намаляване </w:t>
            </w:r>
            <w:r w:rsidR="00852C9F">
              <w:rPr>
                <w:rFonts w:ascii="Times New Roman" w:hAnsi="Times New Roman"/>
              </w:rPr>
              <w:t>използване</w:t>
            </w:r>
            <w:r w:rsidR="00E47720">
              <w:rPr>
                <w:rFonts w:ascii="Times New Roman" w:hAnsi="Times New Roman"/>
              </w:rPr>
              <w:t>то</w:t>
            </w:r>
            <w:r w:rsidR="00852C9F">
              <w:rPr>
                <w:rFonts w:ascii="Times New Roman" w:hAnsi="Times New Roman"/>
              </w:rPr>
              <w:t xml:space="preserve"> на</w:t>
            </w:r>
            <w:r w:rsidRPr="00F319A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опаковки</w:t>
            </w:r>
            <w:r w:rsidR="00FE6992">
              <w:rPr>
                <w:rFonts w:ascii="Times New Roman" w:hAnsi="Times New Roman"/>
              </w:rPr>
              <w:t xml:space="preserve"> (вкл. от пластмаса</w:t>
            </w:r>
            <w:r w:rsidR="00A92A4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F319AD">
              <w:rPr>
                <w:rFonts w:ascii="Times New Roman" w:hAnsi="Times New Roman"/>
              </w:rPr>
              <w:t xml:space="preserve">или заместване </w:t>
            </w:r>
            <w:r w:rsidR="00852C9F">
              <w:rPr>
                <w:rFonts w:ascii="Times New Roman" w:hAnsi="Times New Roman"/>
              </w:rPr>
              <w:t>на опаковки</w:t>
            </w:r>
            <w:r w:rsidR="00264499">
              <w:rPr>
                <w:rFonts w:ascii="Times New Roman" w:hAnsi="Times New Roman"/>
              </w:rPr>
              <w:t>те</w:t>
            </w:r>
            <w:r w:rsidR="00A92A4F">
              <w:rPr>
                <w:rFonts w:ascii="Times New Roman" w:hAnsi="Times New Roman"/>
              </w:rPr>
              <w:t xml:space="preserve"> (вкл. </w:t>
            </w:r>
            <w:r w:rsidR="00FE6992">
              <w:rPr>
                <w:rFonts w:ascii="Times New Roman" w:hAnsi="Times New Roman"/>
              </w:rPr>
              <w:t>от пластмаса</w:t>
            </w:r>
            <w:r w:rsidR="00A92A4F">
              <w:rPr>
                <w:rFonts w:ascii="Times New Roman" w:hAnsi="Times New Roman"/>
              </w:rPr>
              <w:t>)</w:t>
            </w:r>
            <w:r w:rsidR="00852C9F">
              <w:rPr>
                <w:rFonts w:ascii="Times New Roman" w:hAnsi="Times New Roman"/>
              </w:rPr>
              <w:t xml:space="preserve"> </w:t>
            </w:r>
            <w:r w:rsidRPr="00F319AD">
              <w:rPr>
                <w:rFonts w:ascii="Times New Roman" w:hAnsi="Times New Roman"/>
              </w:rPr>
              <w:t xml:space="preserve">с по-екологични варианти (биоразградими, </w:t>
            </w:r>
            <w:r w:rsidR="00A07DDC" w:rsidRPr="00A07DDC">
              <w:rPr>
                <w:rFonts w:ascii="Times New Roman" w:hAnsi="Times New Roman"/>
              </w:rPr>
              <w:t>компостируеми</w:t>
            </w:r>
            <w:r w:rsidR="00A07DDC">
              <w:rPr>
                <w:rFonts w:ascii="Times New Roman" w:hAnsi="Times New Roman"/>
              </w:rPr>
              <w:t xml:space="preserve">, </w:t>
            </w:r>
            <w:r w:rsidRPr="00F319AD">
              <w:rPr>
                <w:rFonts w:ascii="Times New Roman" w:hAnsi="Times New Roman"/>
              </w:rPr>
              <w:t>рециклируеми</w:t>
            </w:r>
            <w:r w:rsidR="005B0CC3">
              <w:rPr>
                <w:rStyle w:val="FootnoteReference"/>
                <w:rFonts w:ascii="Times New Roman" w:hAnsi="Times New Roman"/>
              </w:rPr>
              <w:footnoteReference w:id="11"/>
            </w:r>
            <w:r w:rsidR="005B0CC3">
              <w:rPr>
                <w:rFonts w:ascii="Times New Roman" w:hAnsi="Times New Roman"/>
              </w:rPr>
              <w:t xml:space="preserve">, </w:t>
            </w:r>
            <w:r w:rsidR="00820CA9">
              <w:rPr>
                <w:rFonts w:ascii="Times New Roman" w:hAnsi="Times New Roman"/>
              </w:rPr>
              <w:t>за многократна употреба</w:t>
            </w:r>
            <w:r w:rsidR="005B0CC3">
              <w:rPr>
                <w:rFonts w:ascii="Times New Roman" w:hAnsi="Times New Roman"/>
              </w:rPr>
              <w:t xml:space="preserve"> </w:t>
            </w:r>
            <w:r w:rsidRPr="00F319AD">
              <w:rPr>
                <w:rFonts w:ascii="Times New Roman" w:hAnsi="Times New Roman"/>
              </w:rPr>
              <w:t>или друг вид „зелени” опаковки)</w:t>
            </w:r>
            <w:r w:rsidR="00FE6992">
              <w:rPr>
                <w:rFonts w:ascii="Times New Roman" w:hAnsi="Times New Roman"/>
              </w:rPr>
              <w:t>.</w:t>
            </w:r>
          </w:p>
          <w:p w14:paraId="7CEA0B35" w14:textId="14EBB886" w:rsidR="00BE067D" w:rsidRPr="006B07DF" w:rsidRDefault="00BE067D" w:rsidP="00BE067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6B07DF">
              <w:rPr>
                <w:rFonts w:ascii="Times New Roman" w:hAnsi="Times New Roman"/>
                <w:b/>
              </w:rPr>
              <w:t>4) Про</w:t>
            </w:r>
            <w:r w:rsidR="008F4433" w:rsidRPr="006B07DF">
              <w:rPr>
                <w:rFonts w:ascii="Times New Roman" w:hAnsi="Times New Roman"/>
                <w:b/>
              </w:rPr>
              <w:t>изводство</w:t>
            </w:r>
            <w:r w:rsidR="004967B5" w:rsidRPr="006B07DF">
              <w:rPr>
                <w:rFonts w:ascii="Times New Roman" w:hAnsi="Times New Roman"/>
                <w:b/>
              </w:rPr>
              <w:t>/предоставяне</w:t>
            </w:r>
            <w:r w:rsidR="008F4433" w:rsidRPr="006B07DF">
              <w:rPr>
                <w:rFonts w:ascii="Times New Roman" w:hAnsi="Times New Roman"/>
                <w:b/>
              </w:rPr>
              <w:t xml:space="preserve"> на устойчиви продукти</w:t>
            </w:r>
            <w:r w:rsidR="004967B5" w:rsidRPr="006B07DF">
              <w:rPr>
                <w:rFonts w:ascii="Times New Roman" w:hAnsi="Times New Roman"/>
                <w:b/>
              </w:rPr>
              <w:t>/услуги</w:t>
            </w:r>
            <w:r w:rsidR="00F319AD" w:rsidRPr="006B07DF">
              <w:rPr>
                <w:rFonts w:ascii="Times New Roman" w:hAnsi="Times New Roman"/>
                <w:b/>
              </w:rPr>
              <w:t>:</w:t>
            </w:r>
          </w:p>
          <w:p w14:paraId="4B9BCCF4" w14:textId="4E5A2095" w:rsidR="004967B5" w:rsidRPr="004967B5" w:rsidRDefault="004967B5" w:rsidP="004967B5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4967B5">
              <w:rPr>
                <w:rFonts w:ascii="Times New Roman" w:hAnsi="Times New Roman"/>
              </w:rPr>
              <w:t xml:space="preserve">- </w:t>
            </w:r>
            <w:r w:rsidR="00852C9F">
              <w:rPr>
                <w:rFonts w:ascii="Times New Roman" w:hAnsi="Times New Roman"/>
              </w:rPr>
              <w:t>осигуряване на възможност</w:t>
            </w:r>
            <w:r w:rsidR="00850878">
              <w:rPr>
                <w:rFonts w:ascii="Times New Roman" w:hAnsi="Times New Roman"/>
              </w:rPr>
              <w:t>и</w:t>
            </w:r>
            <w:r w:rsidR="00852C9F">
              <w:rPr>
                <w:rFonts w:ascii="Times New Roman" w:hAnsi="Times New Roman"/>
              </w:rPr>
              <w:t xml:space="preserve"> за </w:t>
            </w:r>
            <w:r w:rsidRPr="004967B5">
              <w:rPr>
                <w:rFonts w:ascii="Times New Roman" w:hAnsi="Times New Roman"/>
              </w:rPr>
              <w:t xml:space="preserve">повторна или многократна употреба на </w:t>
            </w:r>
            <w:r w:rsidR="00852C9F">
              <w:rPr>
                <w:rFonts w:ascii="Times New Roman" w:hAnsi="Times New Roman"/>
              </w:rPr>
              <w:t>продукти</w:t>
            </w:r>
            <w:r w:rsidR="003F4A40">
              <w:rPr>
                <w:rFonts w:ascii="Times New Roman" w:hAnsi="Times New Roman"/>
              </w:rPr>
              <w:t>,</w:t>
            </w:r>
            <w:r w:rsidR="00B33A63">
              <w:rPr>
                <w:rFonts w:ascii="Times New Roman" w:hAnsi="Times New Roman"/>
              </w:rPr>
              <w:t xml:space="preserve"> вкл. чрез </w:t>
            </w:r>
            <w:r w:rsidR="00B33A63" w:rsidRPr="00B33A63">
              <w:rPr>
                <w:rFonts w:ascii="Times New Roman" w:hAnsi="Times New Roman"/>
              </w:rPr>
              <w:t xml:space="preserve">пълно функционално възстановяване на </w:t>
            </w:r>
            <w:r w:rsidR="009D24B7">
              <w:rPr>
                <w:rFonts w:ascii="Times New Roman" w:hAnsi="Times New Roman"/>
              </w:rPr>
              <w:t>продукти</w:t>
            </w:r>
            <w:r w:rsidR="009D24B7" w:rsidRPr="00850878">
              <w:rPr>
                <w:rFonts w:ascii="Times New Roman" w:hAnsi="Times New Roman"/>
              </w:rPr>
              <w:t>/</w:t>
            </w:r>
            <w:r w:rsidR="00B33A63" w:rsidRPr="00B33A63">
              <w:rPr>
                <w:rFonts w:ascii="Times New Roman" w:hAnsi="Times New Roman"/>
              </w:rPr>
              <w:t>и след края на тяхната употреба</w:t>
            </w:r>
            <w:r w:rsidR="00B33A63">
              <w:rPr>
                <w:rFonts w:ascii="Times New Roman" w:hAnsi="Times New Roman"/>
              </w:rPr>
              <w:t xml:space="preserve"> или</w:t>
            </w:r>
            <w:r w:rsidR="003F4A40">
              <w:rPr>
                <w:rFonts w:ascii="Times New Roman" w:hAnsi="Times New Roman"/>
              </w:rPr>
              <w:t xml:space="preserve"> чрез </w:t>
            </w:r>
            <w:r w:rsidR="00820CA9">
              <w:rPr>
                <w:rFonts w:ascii="Times New Roman" w:hAnsi="Times New Roman"/>
              </w:rPr>
              <w:t>въвеждане</w:t>
            </w:r>
            <w:r w:rsidR="00B33A63">
              <w:rPr>
                <w:rFonts w:ascii="Times New Roman" w:hAnsi="Times New Roman"/>
              </w:rPr>
              <w:t>то</w:t>
            </w:r>
            <w:r w:rsidR="00820CA9">
              <w:rPr>
                <w:rFonts w:ascii="Times New Roman" w:hAnsi="Times New Roman"/>
              </w:rPr>
              <w:t xml:space="preserve"> на </w:t>
            </w:r>
            <w:r w:rsidR="003F4A40">
              <w:rPr>
                <w:rFonts w:ascii="Times New Roman" w:hAnsi="Times New Roman"/>
              </w:rPr>
              <w:t>модела</w:t>
            </w:r>
            <w:r w:rsidR="00961765">
              <w:rPr>
                <w:rFonts w:ascii="Times New Roman" w:hAnsi="Times New Roman"/>
              </w:rPr>
              <w:t xml:space="preserve"> „продукт като услуга</w:t>
            </w:r>
            <w:r w:rsidR="003F4A40" w:rsidRPr="00AE57B9">
              <w:rPr>
                <w:rFonts w:ascii="Times New Roman" w:hAnsi="Times New Roman"/>
              </w:rPr>
              <w:t>”</w:t>
            </w:r>
            <w:r w:rsidRPr="004967B5">
              <w:rPr>
                <w:rFonts w:ascii="Times New Roman" w:hAnsi="Times New Roman"/>
              </w:rPr>
              <w:t xml:space="preserve"> </w:t>
            </w:r>
            <w:r w:rsidR="00B33A63">
              <w:rPr>
                <w:rFonts w:ascii="Times New Roman" w:hAnsi="Times New Roman"/>
              </w:rPr>
              <w:t xml:space="preserve">и др., </w:t>
            </w:r>
            <w:r w:rsidRPr="004967B5">
              <w:rPr>
                <w:rFonts w:ascii="Times New Roman" w:hAnsi="Times New Roman"/>
                <w:i/>
              </w:rPr>
              <w:t>и/или</w:t>
            </w:r>
            <w:r w:rsidRPr="004967B5">
              <w:rPr>
                <w:rFonts w:ascii="Times New Roman" w:hAnsi="Times New Roman"/>
              </w:rPr>
              <w:t xml:space="preserve"> </w:t>
            </w:r>
          </w:p>
          <w:p w14:paraId="33128090" w14:textId="19EFBA5B" w:rsidR="004967B5" w:rsidRPr="004967B5" w:rsidRDefault="004967B5" w:rsidP="004967B5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4967B5">
              <w:rPr>
                <w:rFonts w:ascii="Times New Roman" w:hAnsi="Times New Roman"/>
              </w:rPr>
              <w:t xml:space="preserve">- осигуряване на възможности за </w:t>
            </w:r>
            <w:r w:rsidR="005E43B8">
              <w:rPr>
                <w:rFonts w:ascii="Times New Roman" w:hAnsi="Times New Roman"/>
              </w:rPr>
              <w:t xml:space="preserve">модернизация / </w:t>
            </w:r>
            <w:r w:rsidRPr="004967B5">
              <w:rPr>
                <w:rFonts w:ascii="Times New Roman" w:hAnsi="Times New Roman"/>
              </w:rPr>
              <w:t>поправка – ремонт/подмяна на повредени части и/или компоненти</w:t>
            </w:r>
            <w:r w:rsidR="000907D3">
              <w:rPr>
                <w:rFonts w:ascii="Times New Roman" w:hAnsi="Times New Roman"/>
              </w:rPr>
              <w:t xml:space="preserve">, и др. </w:t>
            </w:r>
            <w:r w:rsidRPr="004967B5">
              <w:rPr>
                <w:rFonts w:ascii="Times New Roman" w:hAnsi="Times New Roman"/>
              </w:rPr>
              <w:t>с</w:t>
            </w:r>
            <w:r w:rsidR="00A92A4F">
              <w:rPr>
                <w:rFonts w:ascii="Times New Roman" w:hAnsi="Times New Roman"/>
              </w:rPr>
              <w:t xml:space="preserve"> цел</w:t>
            </w:r>
            <w:r w:rsidRPr="004967B5">
              <w:rPr>
                <w:rFonts w:ascii="Times New Roman" w:hAnsi="Times New Roman"/>
              </w:rPr>
              <w:t xml:space="preserve"> увеличаване на дълготрайността на употреба, </w:t>
            </w:r>
            <w:r w:rsidRPr="004967B5">
              <w:rPr>
                <w:rFonts w:ascii="Times New Roman" w:hAnsi="Times New Roman"/>
                <w:i/>
              </w:rPr>
              <w:t>и/или</w:t>
            </w:r>
          </w:p>
          <w:p w14:paraId="13A73CE5" w14:textId="558D8F58" w:rsidR="004967B5" w:rsidRDefault="004967B5" w:rsidP="004967B5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4967B5">
              <w:rPr>
                <w:rFonts w:ascii="Times New Roman" w:hAnsi="Times New Roman"/>
              </w:rPr>
              <w:t xml:space="preserve">- увеличаване </w:t>
            </w:r>
            <w:r w:rsidR="00BB3F34">
              <w:rPr>
                <w:rFonts w:ascii="Times New Roman" w:hAnsi="Times New Roman"/>
              </w:rPr>
              <w:t xml:space="preserve">на </w:t>
            </w:r>
            <w:r w:rsidRPr="004967B5">
              <w:rPr>
                <w:rFonts w:ascii="Times New Roman" w:hAnsi="Times New Roman"/>
              </w:rPr>
              <w:t xml:space="preserve">възможностите за разглобяване в края на жизнения цикъл с </w:t>
            </w:r>
            <w:r w:rsidR="00BB3F34">
              <w:rPr>
                <w:rFonts w:ascii="Times New Roman" w:hAnsi="Times New Roman"/>
              </w:rPr>
              <w:t>цел</w:t>
            </w:r>
            <w:r w:rsidRPr="004967B5">
              <w:rPr>
                <w:rFonts w:ascii="Times New Roman" w:hAnsi="Times New Roman"/>
              </w:rPr>
              <w:t xml:space="preserve"> улесняване на рециклирането или </w:t>
            </w:r>
            <w:r w:rsidR="00A134A4" w:rsidRPr="007C48D7">
              <w:rPr>
                <w:rFonts w:ascii="Times New Roman" w:hAnsi="Times New Roman"/>
              </w:rPr>
              <w:t>използването</w:t>
            </w:r>
            <w:r w:rsidR="00A134A4">
              <w:rPr>
                <w:rFonts w:ascii="Times New Roman" w:hAnsi="Times New Roman"/>
              </w:rPr>
              <w:t xml:space="preserve"> </w:t>
            </w:r>
            <w:r w:rsidRPr="004967B5">
              <w:rPr>
                <w:rFonts w:ascii="Times New Roman" w:hAnsi="Times New Roman"/>
              </w:rPr>
              <w:t>на отпадъците от продуктите</w:t>
            </w:r>
            <w:r w:rsidR="00A07DDC">
              <w:rPr>
                <w:rFonts w:ascii="Times New Roman" w:hAnsi="Times New Roman"/>
              </w:rPr>
              <w:t>/услугите след преустановяване на</w:t>
            </w:r>
            <w:r w:rsidRPr="004967B5">
              <w:rPr>
                <w:rFonts w:ascii="Times New Roman" w:hAnsi="Times New Roman"/>
              </w:rPr>
              <w:t xml:space="preserve"> употреба</w:t>
            </w:r>
            <w:r w:rsidR="00A07DDC">
              <w:rPr>
                <w:rFonts w:ascii="Times New Roman" w:hAnsi="Times New Roman"/>
              </w:rPr>
              <w:t xml:space="preserve">та им, </w:t>
            </w:r>
            <w:r w:rsidR="00A07DDC" w:rsidRPr="00A07DDC">
              <w:rPr>
                <w:rFonts w:ascii="Times New Roman" w:hAnsi="Times New Roman"/>
                <w:i/>
              </w:rPr>
              <w:t>и/или</w:t>
            </w:r>
          </w:p>
          <w:p w14:paraId="726858FF" w14:textId="3A20AD94" w:rsidR="00A07BBD" w:rsidRPr="000D420D" w:rsidRDefault="00A07DDC" w:rsidP="00BE067D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</w:t>
            </w:r>
            <w:r w:rsidR="00F319AD" w:rsidRPr="00F319AD">
              <w:rPr>
                <w:rFonts w:ascii="Times New Roman" w:hAnsi="Times New Roman"/>
              </w:rPr>
              <w:t>амества</w:t>
            </w:r>
            <w:r>
              <w:rPr>
                <w:rFonts w:ascii="Times New Roman" w:hAnsi="Times New Roman"/>
              </w:rPr>
              <w:t>не на пластмасови продукти, вкл</w:t>
            </w:r>
            <w:r w:rsidR="006B07D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F319AD" w:rsidRPr="00F319AD">
              <w:rPr>
                <w:rFonts w:ascii="Times New Roman" w:hAnsi="Times New Roman"/>
              </w:rPr>
              <w:t>за еднократна употреба с алтернативни продукти</w:t>
            </w:r>
            <w:r w:rsidR="00455A8E">
              <w:rPr>
                <w:rFonts w:ascii="Times New Roman" w:hAnsi="Times New Roman"/>
              </w:rPr>
              <w:t xml:space="preserve"> (</w:t>
            </w:r>
            <w:r w:rsidR="00387439">
              <w:rPr>
                <w:rFonts w:ascii="Times New Roman" w:hAnsi="Times New Roman"/>
              </w:rPr>
              <w:t>кои</w:t>
            </w:r>
            <w:r w:rsidR="00387439" w:rsidRPr="00387439">
              <w:rPr>
                <w:rFonts w:ascii="Times New Roman" w:hAnsi="Times New Roman"/>
              </w:rPr>
              <w:t xml:space="preserve">то </w:t>
            </w:r>
            <w:r w:rsidR="00387439">
              <w:rPr>
                <w:rFonts w:ascii="Times New Roman" w:hAnsi="Times New Roman"/>
              </w:rPr>
              <w:t>н</w:t>
            </w:r>
            <w:r w:rsidR="00387439" w:rsidRPr="00387439">
              <w:rPr>
                <w:rFonts w:ascii="Times New Roman" w:hAnsi="Times New Roman"/>
              </w:rPr>
              <w:t xml:space="preserve">е </w:t>
            </w:r>
            <w:r w:rsidR="00387439">
              <w:rPr>
                <w:rFonts w:ascii="Times New Roman" w:hAnsi="Times New Roman"/>
              </w:rPr>
              <w:t xml:space="preserve">са </w:t>
            </w:r>
            <w:r w:rsidR="00387439" w:rsidRPr="00387439">
              <w:rPr>
                <w:rFonts w:ascii="Times New Roman" w:hAnsi="Times New Roman"/>
              </w:rPr>
              <w:t>направен</w:t>
            </w:r>
            <w:r w:rsidR="00387439">
              <w:rPr>
                <w:rFonts w:ascii="Times New Roman" w:hAnsi="Times New Roman"/>
              </w:rPr>
              <w:t>и</w:t>
            </w:r>
            <w:r w:rsidR="00387439" w:rsidRPr="00387439">
              <w:rPr>
                <w:rFonts w:ascii="Times New Roman" w:hAnsi="Times New Roman"/>
              </w:rPr>
              <w:t xml:space="preserve"> изцяло или отчасти от пластмаса</w:t>
            </w:r>
            <w:r w:rsidR="00455A8E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вкл.</w:t>
            </w:r>
            <w:r w:rsidR="00F319AD" w:rsidRPr="00F319AD">
              <w:rPr>
                <w:rFonts w:ascii="Times New Roman" w:hAnsi="Times New Roman"/>
              </w:rPr>
              <w:t xml:space="preserve"> за многократна употреба, биоразградими, компос</w:t>
            </w:r>
            <w:r>
              <w:rPr>
                <w:rFonts w:ascii="Times New Roman" w:hAnsi="Times New Roman"/>
              </w:rPr>
              <w:t>тируеми, биобазирани изделия.</w:t>
            </w:r>
          </w:p>
          <w:p w14:paraId="708AFA00" w14:textId="03CE5191" w:rsidR="008F4433" w:rsidRDefault="001B53A4" w:rsidP="0068399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1B53A4">
              <w:rPr>
                <w:rFonts w:ascii="Times New Roman" w:hAnsi="Times New Roman"/>
                <w:b/>
              </w:rPr>
              <w:t xml:space="preserve">Елемент </w:t>
            </w:r>
            <w:r w:rsidRPr="001B53A4">
              <w:rPr>
                <w:rFonts w:ascii="Times New Roman" w:hAnsi="Times New Roman"/>
                <w:b/>
                <w:lang w:val="en-US"/>
              </w:rPr>
              <w:t>II</w:t>
            </w:r>
            <w:r w:rsidR="00A07BBD">
              <w:rPr>
                <w:rFonts w:ascii="Times New Roman" w:hAnsi="Times New Roman"/>
                <w:b/>
              </w:rPr>
              <w:t xml:space="preserve"> (незадължителен)</w:t>
            </w:r>
            <w:r>
              <w:rPr>
                <w:rFonts w:ascii="Times New Roman" w:hAnsi="Times New Roman"/>
                <w:b/>
              </w:rPr>
              <w:t>:</w:t>
            </w:r>
            <w:r w:rsidR="0087760F">
              <w:rPr>
                <w:rFonts w:ascii="Times New Roman" w:hAnsi="Times New Roman"/>
                <w:b/>
              </w:rPr>
              <w:t xml:space="preserve"> </w:t>
            </w:r>
            <w:r w:rsidR="00696BEC">
              <w:rPr>
                <w:rFonts w:ascii="Times New Roman" w:hAnsi="Times New Roman"/>
                <w:b/>
              </w:rPr>
              <w:t xml:space="preserve">Дейност </w:t>
            </w:r>
            <w:r w:rsidR="0068399A">
              <w:rPr>
                <w:rFonts w:ascii="Times New Roman" w:hAnsi="Times New Roman"/>
                <w:b/>
              </w:rPr>
              <w:t>за постигане на съответствие с екологични стандарти</w:t>
            </w:r>
            <w:r w:rsidR="00D80A9B">
              <w:rPr>
                <w:rFonts w:ascii="Times New Roman" w:hAnsi="Times New Roman"/>
                <w:b/>
              </w:rPr>
              <w:t>, вкл.</w:t>
            </w:r>
            <w:r w:rsidR="0087760F">
              <w:rPr>
                <w:rFonts w:ascii="Times New Roman" w:hAnsi="Times New Roman"/>
                <w:b/>
              </w:rPr>
              <w:t xml:space="preserve"> </w:t>
            </w:r>
            <w:r w:rsidR="00DE4CCB">
              <w:rPr>
                <w:rFonts w:ascii="Times New Roman" w:hAnsi="Times New Roman"/>
                <w:b/>
              </w:rPr>
              <w:t>Е</w:t>
            </w:r>
            <w:r w:rsidR="0087760F">
              <w:rPr>
                <w:rFonts w:ascii="Times New Roman" w:hAnsi="Times New Roman"/>
                <w:b/>
              </w:rPr>
              <w:t>комаркировка</w:t>
            </w:r>
            <w:r w:rsidR="00DE4CCB">
              <w:rPr>
                <w:rFonts w:ascii="Times New Roman" w:hAnsi="Times New Roman"/>
                <w:b/>
              </w:rPr>
              <w:t>та на ЕС</w:t>
            </w:r>
            <w:r w:rsidR="0068399A">
              <w:rPr>
                <w:rFonts w:ascii="Times New Roman" w:hAnsi="Times New Roman"/>
                <w:b/>
              </w:rPr>
              <w:t>:</w:t>
            </w:r>
          </w:p>
          <w:p w14:paraId="7D4C22B8" w14:textId="00A0E3A7" w:rsidR="00A07DDC" w:rsidRDefault="0068399A" w:rsidP="0009731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68399A">
              <w:rPr>
                <w:rFonts w:ascii="Times New Roman" w:hAnsi="Times New Roman"/>
              </w:rPr>
              <w:t>Дейността включва въвеждане</w:t>
            </w:r>
            <w:r w:rsidR="00097310">
              <w:rPr>
                <w:rFonts w:ascii="Times New Roman" w:hAnsi="Times New Roman"/>
              </w:rPr>
              <w:t>то</w:t>
            </w:r>
            <w:r w:rsidRPr="0068399A">
              <w:rPr>
                <w:rFonts w:ascii="Times New Roman" w:hAnsi="Times New Roman"/>
              </w:rPr>
              <w:t xml:space="preserve"> на </w:t>
            </w:r>
            <w:r w:rsidR="00820CA9">
              <w:rPr>
                <w:rFonts w:ascii="Times New Roman" w:hAnsi="Times New Roman"/>
              </w:rPr>
              <w:t xml:space="preserve">следните </w:t>
            </w:r>
            <w:r w:rsidRPr="0068399A">
              <w:rPr>
                <w:rFonts w:ascii="Times New Roman" w:hAnsi="Times New Roman"/>
              </w:rPr>
              <w:t>екологични стандарти</w:t>
            </w:r>
            <w:r w:rsidR="00A07DDC">
              <w:rPr>
                <w:rFonts w:ascii="Times New Roman" w:hAnsi="Times New Roman"/>
              </w:rPr>
              <w:t>:</w:t>
            </w:r>
          </w:p>
          <w:p w14:paraId="5523FE18" w14:textId="77777777" w:rsidR="00A07DDC" w:rsidRDefault="00A07DDC" w:rsidP="0009731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8399A" w:rsidRPr="0068399A">
              <w:rPr>
                <w:rFonts w:ascii="Times New Roman" w:hAnsi="Times New Roman"/>
              </w:rPr>
              <w:t>ЕMAS (Схема на Общността за управление п</w:t>
            </w:r>
            <w:r w:rsidR="0068399A">
              <w:rPr>
                <w:rFonts w:ascii="Times New Roman" w:hAnsi="Times New Roman"/>
              </w:rPr>
              <w:t>о околна среда и одит</w:t>
            </w:r>
            <w:r>
              <w:rPr>
                <w:rFonts w:ascii="Times New Roman" w:hAnsi="Times New Roman"/>
              </w:rPr>
              <w:t>);</w:t>
            </w:r>
          </w:p>
          <w:p w14:paraId="39716604" w14:textId="37EB59B2" w:rsidR="00A07DDC" w:rsidRDefault="00A07DDC" w:rsidP="0009731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8399A" w:rsidRPr="0068399A">
              <w:rPr>
                <w:rFonts w:ascii="Times New Roman" w:hAnsi="Times New Roman"/>
              </w:rPr>
              <w:t xml:space="preserve"> БДС EN ISO 14001 (Система за </w:t>
            </w:r>
            <w:r>
              <w:rPr>
                <w:rFonts w:ascii="Times New Roman" w:hAnsi="Times New Roman"/>
              </w:rPr>
              <w:t xml:space="preserve">управление </w:t>
            </w:r>
            <w:r w:rsidR="00000648">
              <w:rPr>
                <w:rFonts w:ascii="Times New Roman" w:hAnsi="Times New Roman"/>
              </w:rPr>
              <w:t>по отношение на</w:t>
            </w:r>
            <w:r>
              <w:rPr>
                <w:rFonts w:ascii="Times New Roman" w:hAnsi="Times New Roman"/>
              </w:rPr>
              <w:t xml:space="preserve"> околната среда);</w:t>
            </w:r>
          </w:p>
          <w:p w14:paraId="0A111F13" w14:textId="48790D18" w:rsidR="00A07DDC" w:rsidRDefault="00A07DDC" w:rsidP="0009731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8399A" w:rsidRPr="0068399A">
              <w:rPr>
                <w:rFonts w:ascii="Times New Roman" w:hAnsi="Times New Roman"/>
              </w:rPr>
              <w:t>БДС EN ISO 14006 (</w:t>
            </w:r>
            <w:r w:rsidR="00000648" w:rsidRPr="00000648">
              <w:rPr>
                <w:rFonts w:ascii="Times New Roman" w:hAnsi="Times New Roman"/>
              </w:rPr>
              <w:t>Система за управление по отношение на околната среда</w:t>
            </w:r>
            <w:r w:rsidR="00000648">
              <w:rPr>
                <w:rFonts w:ascii="Times New Roman" w:hAnsi="Times New Roman"/>
              </w:rPr>
              <w:t>.</w:t>
            </w:r>
            <w:r w:rsidR="00000648" w:rsidRPr="00000648">
              <w:rPr>
                <w:rFonts w:ascii="Times New Roman" w:hAnsi="Times New Roman"/>
              </w:rPr>
              <w:t xml:space="preserve"> </w:t>
            </w:r>
            <w:r w:rsidR="00097310" w:rsidRPr="00097310">
              <w:rPr>
                <w:rFonts w:ascii="Times New Roman" w:hAnsi="Times New Roman"/>
              </w:rPr>
              <w:t>Насоки за включване на екодизайн</w:t>
            </w:r>
            <w:r w:rsidR="00CC7C42">
              <w:rPr>
                <w:rFonts w:ascii="Times New Roman" w:hAnsi="Times New Roman"/>
              </w:rPr>
              <w:t>);</w:t>
            </w:r>
          </w:p>
          <w:p w14:paraId="0A3D08A2" w14:textId="2A761697" w:rsidR="0068399A" w:rsidRPr="001B53A4" w:rsidRDefault="00A07DDC" w:rsidP="00820CA9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</w:rPr>
              <w:t>- Е</w:t>
            </w:r>
            <w:r w:rsidR="0068399A">
              <w:rPr>
                <w:rFonts w:ascii="Times New Roman" w:hAnsi="Times New Roman"/>
              </w:rPr>
              <w:t>комаркировка</w:t>
            </w:r>
            <w:r w:rsidR="003E497A">
              <w:rPr>
                <w:rFonts w:ascii="Times New Roman" w:hAnsi="Times New Roman"/>
              </w:rPr>
              <w:t>та</w:t>
            </w:r>
            <w:r w:rsidR="0068399A">
              <w:rPr>
                <w:rFonts w:ascii="Times New Roman" w:hAnsi="Times New Roman"/>
              </w:rPr>
              <w:t xml:space="preserve"> на ЕС</w:t>
            </w:r>
            <w:r w:rsidR="0031175E">
              <w:rPr>
                <w:rFonts w:ascii="Times New Roman" w:hAnsi="Times New Roman"/>
              </w:rPr>
              <w:t>.</w:t>
            </w:r>
          </w:p>
        </w:tc>
      </w:tr>
      <w:tr w:rsidR="004846C7" w:rsidRPr="00375A1E" w14:paraId="19D70B45" w14:textId="77777777" w:rsidTr="00015C76">
        <w:tc>
          <w:tcPr>
            <w:tcW w:w="2298" w:type="dxa"/>
            <w:shd w:val="clear" w:color="auto" w:fill="BFBFBF"/>
          </w:tcPr>
          <w:p w14:paraId="061E3AB1" w14:textId="77777777" w:rsidR="004846C7" w:rsidRPr="00375A1E" w:rsidRDefault="003751FB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Допустими разходи</w:t>
            </w:r>
          </w:p>
        </w:tc>
        <w:tc>
          <w:tcPr>
            <w:tcW w:w="7796" w:type="dxa"/>
            <w:shd w:val="clear" w:color="auto" w:fill="auto"/>
          </w:tcPr>
          <w:p w14:paraId="2D68622C" w14:textId="090B009D" w:rsidR="00E77BF5" w:rsidRPr="00097310" w:rsidRDefault="00E77BF5" w:rsidP="00E77BF5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097310">
              <w:rPr>
                <w:rFonts w:ascii="Times New Roman" w:eastAsia="Times New Roman" w:hAnsi="Times New Roman"/>
                <w:lang w:eastAsia="bg-BG"/>
              </w:rPr>
              <w:t>Допустими по процедура</w:t>
            </w:r>
            <w:r w:rsidR="00097310" w:rsidRPr="00097310">
              <w:rPr>
                <w:rFonts w:ascii="Times New Roman" w:eastAsia="Times New Roman" w:hAnsi="Times New Roman"/>
                <w:lang w:eastAsia="bg-BG"/>
              </w:rPr>
              <w:t>та</w:t>
            </w:r>
            <w:r w:rsidRPr="00097310">
              <w:rPr>
                <w:rFonts w:ascii="Times New Roman" w:eastAsia="Times New Roman" w:hAnsi="Times New Roman"/>
                <w:lang w:eastAsia="bg-BG"/>
              </w:rPr>
              <w:t xml:space="preserve"> са проекти, включващи следните </w:t>
            </w:r>
            <w:r w:rsidR="00E10F96" w:rsidRPr="00097310">
              <w:rPr>
                <w:rFonts w:ascii="Times New Roman" w:eastAsia="Times New Roman" w:hAnsi="Times New Roman"/>
                <w:lang w:eastAsia="bg-BG"/>
              </w:rPr>
              <w:t>разходи</w:t>
            </w:r>
            <w:r w:rsidRPr="00097310">
              <w:rPr>
                <w:rFonts w:ascii="Times New Roman" w:eastAsia="Times New Roman" w:hAnsi="Times New Roman"/>
                <w:lang w:eastAsia="bg-BG"/>
              </w:rPr>
              <w:t>:</w:t>
            </w:r>
          </w:p>
          <w:p w14:paraId="71025801" w14:textId="6B7CFBD1" w:rsidR="00D80A9B" w:rsidRPr="00097310" w:rsidRDefault="00097310" w:rsidP="00E77BF5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097310">
              <w:rPr>
                <w:rFonts w:ascii="Times New Roman" w:eastAsia="Times New Roman" w:hAnsi="Times New Roman"/>
                <w:b/>
                <w:lang w:eastAsia="bg-BG"/>
              </w:rPr>
              <w:t>По Елемент I:</w:t>
            </w:r>
          </w:p>
          <w:p w14:paraId="367DC828" w14:textId="750F517E" w:rsidR="00E77BF5" w:rsidRDefault="00E77BF5" w:rsidP="00E77BF5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E10F96">
              <w:rPr>
                <w:rFonts w:ascii="Times New Roman" w:eastAsia="Times New Roman" w:hAnsi="Times New Roman"/>
                <w:lang w:eastAsia="bg-BG"/>
              </w:rPr>
              <w:t>1) Разходи за придобиване на машини, съоръжения и оборудване, представляващи дълготрайни материални активи</w:t>
            </w:r>
            <w:r w:rsidR="00527331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527331" w:rsidRPr="000D420D">
              <w:rPr>
                <w:rFonts w:ascii="Times New Roman" w:eastAsia="Times New Roman" w:hAnsi="Times New Roman"/>
                <w:lang w:eastAsia="bg-BG"/>
              </w:rPr>
              <w:t>(</w:t>
            </w:r>
            <w:r w:rsidR="00527331">
              <w:rPr>
                <w:rFonts w:ascii="Times New Roman" w:eastAsia="Times New Roman" w:hAnsi="Times New Roman"/>
                <w:lang w:eastAsia="bg-BG"/>
              </w:rPr>
              <w:t>ДМА</w:t>
            </w:r>
            <w:r w:rsidR="00527331" w:rsidRPr="000D420D">
              <w:rPr>
                <w:rFonts w:ascii="Times New Roman" w:eastAsia="Times New Roman" w:hAnsi="Times New Roman"/>
                <w:lang w:eastAsia="bg-BG"/>
              </w:rPr>
              <w:t>)</w:t>
            </w:r>
            <w:r w:rsidR="005B0CC3" w:rsidRPr="00040A88">
              <w:rPr>
                <w:rFonts w:ascii="Times New Roman" w:eastAsia="Times New Roman" w:hAnsi="Times New Roman"/>
                <w:lang w:eastAsia="bg-BG"/>
              </w:rPr>
              <w:t xml:space="preserve">, </w:t>
            </w:r>
            <w:r w:rsidR="005B0CC3" w:rsidRPr="005B0CC3">
              <w:rPr>
                <w:rFonts w:ascii="Times New Roman" w:eastAsia="Times New Roman" w:hAnsi="Times New Roman"/>
                <w:lang w:eastAsia="bg-BG"/>
              </w:rPr>
              <w:t>необходими</w:t>
            </w:r>
            <w:r w:rsidR="005B0CC3">
              <w:rPr>
                <w:rFonts w:ascii="Times New Roman" w:eastAsia="Times New Roman" w:hAnsi="Times New Roman"/>
                <w:lang w:eastAsia="bg-BG"/>
              </w:rPr>
              <w:t xml:space="preserve"> за </w:t>
            </w:r>
            <w:r w:rsidR="005B0CC3" w:rsidRPr="005B0CC3">
              <w:rPr>
                <w:rFonts w:ascii="Times New Roman" w:eastAsia="Times New Roman" w:hAnsi="Times New Roman"/>
                <w:lang w:eastAsia="bg-BG"/>
              </w:rPr>
              <w:t>въвеждане</w:t>
            </w:r>
            <w:r w:rsidR="00387439">
              <w:rPr>
                <w:rFonts w:ascii="Times New Roman" w:eastAsia="Times New Roman" w:hAnsi="Times New Roman"/>
                <w:lang w:eastAsia="bg-BG"/>
              </w:rPr>
              <w:t>то</w:t>
            </w:r>
            <w:r w:rsidR="005B0CC3" w:rsidRPr="005B0CC3">
              <w:rPr>
                <w:rFonts w:ascii="Times New Roman" w:eastAsia="Times New Roman" w:hAnsi="Times New Roman"/>
                <w:lang w:eastAsia="bg-BG"/>
              </w:rPr>
              <w:t xml:space="preserve"> на зелени технологии за прилагане на кръгови мод</w:t>
            </w:r>
            <w:r w:rsidR="001E60AF">
              <w:rPr>
                <w:rFonts w:ascii="Times New Roman" w:eastAsia="Times New Roman" w:hAnsi="Times New Roman"/>
                <w:lang w:eastAsia="bg-BG"/>
              </w:rPr>
              <w:t>ели в предприятието</w:t>
            </w:r>
            <w:r w:rsidR="00097310">
              <w:rPr>
                <w:rFonts w:ascii="Times New Roman" w:eastAsia="Times New Roman" w:hAnsi="Times New Roman"/>
                <w:lang w:eastAsia="bg-BG"/>
              </w:rPr>
              <w:t>;</w:t>
            </w:r>
          </w:p>
          <w:p w14:paraId="7171E3EA" w14:textId="2D943629" w:rsidR="00097310" w:rsidRDefault="00E77BF5" w:rsidP="00E77BF5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E10F96">
              <w:rPr>
                <w:rFonts w:ascii="Times New Roman" w:eastAsia="Times New Roman" w:hAnsi="Times New Roman"/>
                <w:lang w:eastAsia="bg-BG"/>
              </w:rPr>
              <w:t xml:space="preserve">2) Разходи за придобиване на </w:t>
            </w:r>
            <w:r w:rsidR="00922AE9">
              <w:rPr>
                <w:rFonts w:ascii="Times New Roman" w:eastAsia="Times New Roman" w:hAnsi="Times New Roman"/>
                <w:lang w:eastAsia="bg-BG"/>
              </w:rPr>
              <w:t>дълготрайни нематериални активи (ДНА), вкл.</w:t>
            </w:r>
            <w:r w:rsidR="00097310" w:rsidRPr="00097310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88223E">
              <w:rPr>
                <w:rFonts w:ascii="Times New Roman" w:eastAsia="Times New Roman" w:hAnsi="Times New Roman"/>
                <w:lang w:eastAsia="bg-BG"/>
              </w:rPr>
              <w:t>софтуери</w:t>
            </w:r>
            <w:r w:rsidR="00097310" w:rsidRPr="00097310">
              <w:rPr>
                <w:rFonts w:ascii="Times New Roman" w:eastAsia="Times New Roman" w:hAnsi="Times New Roman"/>
                <w:lang w:eastAsia="bg-BG"/>
              </w:rPr>
              <w:t>, патенти, полез</w:t>
            </w:r>
            <w:r w:rsidR="00097310">
              <w:rPr>
                <w:rFonts w:ascii="Times New Roman" w:eastAsia="Times New Roman" w:hAnsi="Times New Roman"/>
                <w:lang w:eastAsia="bg-BG"/>
              </w:rPr>
              <w:t xml:space="preserve">ни модели, промишлени дизайни, </w:t>
            </w:r>
            <w:r w:rsidR="00097310" w:rsidRPr="00097310">
              <w:rPr>
                <w:rFonts w:ascii="Times New Roman" w:eastAsia="Times New Roman" w:hAnsi="Times New Roman"/>
                <w:lang w:eastAsia="bg-BG"/>
              </w:rPr>
              <w:t>лицензии</w:t>
            </w:r>
            <w:r w:rsidRPr="00922AE9">
              <w:rPr>
                <w:rFonts w:ascii="Times New Roman" w:eastAsia="Times New Roman" w:hAnsi="Times New Roman"/>
                <w:lang w:eastAsia="bg-BG"/>
              </w:rPr>
              <w:t>, представляващ</w:t>
            </w:r>
            <w:r w:rsidR="00097310">
              <w:rPr>
                <w:rFonts w:ascii="Times New Roman" w:eastAsia="Times New Roman" w:hAnsi="Times New Roman"/>
                <w:lang w:eastAsia="bg-BG"/>
              </w:rPr>
              <w:t>и</w:t>
            </w:r>
            <w:r w:rsidRPr="00922AE9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527331" w:rsidRPr="00922AE9">
              <w:rPr>
                <w:rFonts w:ascii="Times New Roman" w:eastAsia="Times New Roman" w:hAnsi="Times New Roman"/>
                <w:lang w:eastAsia="bg-BG"/>
              </w:rPr>
              <w:t>ДНА</w:t>
            </w:r>
            <w:r w:rsidR="00040A88" w:rsidRPr="00040A88">
              <w:rPr>
                <w:rFonts w:ascii="Times New Roman" w:eastAsia="Times New Roman" w:hAnsi="Times New Roman"/>
                <w:lang w:eastAsia="bg-BG"/>
              </w:rPr>
              <w:t>, необходими за въвеждане</w:t>
            </w:r>
            <w:r w:rsidR="00387439">
              <w:rPr>
                <w:rFonts w:ascii="Times New Roman" w:eastAsia="Times New Roman" w:hAnsi="Times New Roman"/>
                <w:lang w:eastAsia="bg-BG"/>
              </w:rPr>
              <w:t>то</w:t>
            </w:r>
            <w:r w:rsidR="00040A88" w:rsidRPr="00040A88">
              <w:rPr>
                <w:rFonts w:ascii="Times New Roman" w:eastAsia="Times New Roman" w:hAnsi="Times New Roman"/>
                <w:lang w:eastAsia="bg-BG"/>
              </w:rPr>
              <w:t xml:space="preserve"> на зелени технологии за прилагане на кръгови мод</w:t>
            </w:r>
            <w:r w:rsidR="001E60AF">
              <w:rPr>
                <w:rFonts w:ascii="Times New Roman" w:eastAsia="Times New Roman" w:hAnsi="Times New Roman"/>
                <w:lang w:eastAsia="bg-BG"/>
              </w:rPr>
              <w:t>ели в предприятието</w:t>
            </w:r>
            <w:r w:rsidR="00097310">
              <w:rPr>
                <w:rFonts w:ascii="Times New Roman" w:eastAsia="Times New Roman" w:hAnsi="Times New Roman"/>
                <w:lang w:eastAsia="bg-BG"/>
              </w:rPr>
              <w:t>.</w:t>
            </w:r>
          </w:p>
          <w:p w14:paraId="6EE25785" w14:textId="0C61120D" w:rsidR="00097310" w:rsidRPr="00097310" w:rsidRDefault="00097310" w:rsidP="00E77BF5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097310">
              <w:rPr>
                <w:rFonts w:ascii="Times New Roman" w:eastAsia="Times New Roman" w:hAnsi="Times New Roman"/>
                <w:b/>
                <w:lang w:eastAsia="bg-BG"/>
              </w:rPr>
              <w:t>По Елемент II:</w:t>
            </w:r>
          </w:p>
          <w:p w14:paraId="00500B88" w14:textId="3B21A1CD" w:rsidR="00A07BBD" w:rsidRPr="0048609E" w:rsidRDefault="00E77BF5" w:rsidP="00040A8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E10F96">
              <w:rPr>
                <w:rFonts w:ascii="Times New Roman" w:eastAsia="Times New Roman" w:hAnsi="Times New Roman"/>
                <w:lang w:eastAsia="bg-BG"/>
              </w:rPr>
              <w:t>3</w:t>
            </w:r>
            <w:r w:rsidRPr="000D420D">
              <w:rPr>
                <w:rFonts w:ascii="Times New Roman" w:eastAsia="Times New Roman" w:hAnsi="Times New Roman"/>
                <w:lang w:eastAsia="bg-BG"/>
              </w:rPr>
              <w:t>) Разходи за</w:t>
            </w:r>
            <w:r w:rsidRPr="00E10F9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="0088223E">
              <w:rPr>
                <w:rFonts w:ascii="Times New Roman" w:eastAsia="Times New Roman" w:hAnsi="Times New Roman"/>
                <w:lang w:eastAsia="bg-BG"/>
              </w:rPr>
              <w:t xml:space="preserve">услуги за постигане на съответствие </w:t>
            </w:r>
            <w:r w:rsidR="0088223E" w:rsidRPr="0088223E">
              <w:rPr>
                <w:rFonts w:ascii="Times New Roman" w:eastAsia="Times New Roman" w:hAnsi="Times New Roman"/>
                <w:lang w:eastAsia="bg-BG"/>
              </w:rPr>
              <w:t xml:space="preserve">с екологични стандарти, вкл. </w:t>
            </w:r>
            <w:r w:rsidR="00040A88">
              <w:rPr>
                <w:rFonts w:ascii="Times New Roman" w:eastAsia="Times New Roman" w:hAnsi="Times New Roman"/>
                <w:lang w:val="en-US" w:eastAsia="bg-BG"/>
              </w:rPr>
              <w:t>E</w:t>
            </w:r>
            <w:r w:rsidR="0088223E" w:rsidRPr="0088223E">
              <w:rPr>
                <w:rFonts w:ascii="Times New Roman" w:eastAsia="Times New Roman" w:hAnsi="Times New Roman"/>
                <w:lang w:eastAsia="bg-BG"/>
              </w:rPr>
              <w:t>комаркировка</w:t>
            </w:r>
            <w:r w:rsidR="00040A88">
              <w:rPr>
                <w:rFonts w:ascii="Times New Roman" w:eastAsia="Times New Roman" w:hAnsi="Times New Roman"/>
                <w:lang w:eastAsia="bg-BG"/>
              </w:rPr>
              <w:t>та</w:t>
            </w:r>
            <w:r w:rsidR="0088223E" w:rsidRPr="0088223E">
              <w:rPr>
                <w:rFonts w:ascii="Times New Roman" w:eastAsia="Times New Roman" w:hAnsi="Times New Roman"/>
                <w:lang w:eastAsia="bg-BG"/>
              </w:rPr>
              <w:t xml:space="preserve"> на </w:t>
            </w:r>
            <w:r w:rsidR="00040A88">
              <w:rPr>
                <w:rFonts w:ascii="Times New Roman" w:eastAsia="Times New Roman" w:hAnsi="Times New Roman"/>
                <w:lang w:eastAsia="bg-BG"/>
              </w:rPr>
              <w:t>ЕС</w:t>
            </w:r>
            <w:r w:rsidR="0048609E">
              <w:rPr>
                <w:rFonts w:ascii="Times New Roman" w:eastAsia="Times New Roman" w:hAnsi="Times New Roman"/>
                <w:lang w:eastAsia="bg-BG"/>
              </w:rPr>
              <w:t>.</w:t>
            </w:r>
          </w:p>
        </w:tc>
      </w:tr>
      <w:tr w:rsidR="004846C7" w:rsidRPr="00375A1E" w14:paraId="610E56EA" w14:textId="77777777" w:rsidTr="00015C76">
        <w:tc>
          <w:tcPr>
            <w:tcW w:w="2298" w:type="dxa"/>
            <w:shd w:val="clear" w:color="auto" w:fill="BFBFBF"/>
          </w:tcPr>
          <w:p w14:paraId="69D805A5" w14:textId="77777777" w:rsidR="004846C7" w:rsidRPr="00375A1E" w:rsidRDefault="00A00706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 xml:space="preserve">Минимален размер на </w:t>
            </w:r>
            <w:r w:rsidR="003416E9" w:rsidRPr="00375A1E">
              <w:rPr>
                <w:rFonts w:ascii="Times New Roman" w:hAnsi="Times New Roman"/>
              </w:rPr>
              <w:t>помощта</w:t>
            </w:r>
          </w:p>
        </w:tc>
        <w:tc>
          <w:tcPr>
            <w:tcW w:w="7796" w:type="dxa"/>
            <w:shd w:val="clear" w:color="auto" w:fill="auto"/>
          </w:tcPr>
          <w:p w14:paraId="1F5D8043" w14:textId="2C81817F" w:rsidR="003416E9" w:rsidRPr="0048609E" w:rsidRDefault="00CC7C42" w:rsidP="00E10B2D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77 000</w:t>
            </w:r>
            <w:r w:rsidR="00E77BF5">
              <w:rPr>
                <w:rFonts w:ascii="Times New Roman" w:hAnsi="Times New Roman"/>
              </w:rPr>
              <w:t xml:space="preserve"> евро</w:t>
            </w:r>
            <w:r w:rsidR="00D94F76">
              <w:rPr>
                <w:rFonts w:ascii="Times New Roman" w:hAnsi="Times New Roman"/>
              </w:rPr>
              <w:t xml:space="preserve"> </w:t>
            </w:r>
            <w:r w:rsidR="0048609E" w:rsidRPr="0048609E">
              <w:rPr>
                <w:rFonts w:ascii="Times New Roman" w:hAnsi="Times New Roman"/>
              </w:rPr>
              <w:t xml:space="preserve">- </w:t>
            </w:r>
            <w:r w:rsidR="0048609E" w:rsidRPr="0048609E">
              <w:rPr>
                <w:rFonts w:ascii="Times New Roman" w:hAnsi="Times New Roman"/>
                <w:i/>
              </w:rPr>
              <w:t>независимо от избрания режим на „минимална помощ” (de minimis) или „регионална инвестиционна помощ”</w:t>
            </w:r>
          </w:p>
        </w:tc>
      </w:tr>
      <w:tr w:rsidR="00A00706" w:rsidRPr="00375A1E" w14:paraId="6BDFAC9B" w14:textId="77777777" w:rsidTr="00015C76">
        <w:tc>
          <w:tcPr>
            <w:tcW w:w="2298" w:type="dxa"/>
            <w:shd w:val="clear" w:color="auto" w:fill="BFBFBF"/>
          </w:tcPr>
          <w:p w14:paraId="7E294145" w14:textId="77777777" w:rsidR="00A00706" w:rsidRPr="00375A1E" w:rsidRDefault="00A00706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Максимален размер на помощта</w:t>
            </w:r>
          </w:p>
        </w:tc>
        <w:tc>
          <w:tcPr>
            <w:tcW w:w="7796" w:type="dxa"/>
            <w:shd w:val="clear" w:color="auto" w:fill="auto"/>
          </w:tcPr>
          <w:p w14:paraId="4629FAE9" w14:textId="3A87ADD2" w:rsidR="004C7730" w:rsidRPr="004C7730" w:rsidRDefault="004C7730" w:rsidP="004C773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4C7730">
              <w:rPr>
                <w:rFonts w:ascii="Times New Roman" w:hAnsi="Times New Roman"/>
              </w:rPr>
              <w:t>1) Максимален размер на помощта при избран режим „минимална помощ” (de minimis) съгласно Регламент (ЕС) № 2023/2831 –</w:t>
            </w:r>
            <w:r>
              <w:rPr>
                <w:rFonts w:ascii="Times New Roman" w:hAnsi="Times New Roman"/>
              </w:rPr>
              <w:t xml:space="preserve"> </w:t>
            </w:r>
            <w:r w:rsidRPr="004C7730">
              <w:rPr>
                <w:rFonts w:ascii="Times New Roman" w:hAnsi="Times New Roman"/>
              </w:rPr>
              <w:t>300 000 евро (за всички категории предприятия).</w:t>
            </w:r>
          </w:p>
          <w:p w14:paraId="0FB9F459" w14:textId="6B14AB91" w:rsidR="00E55D62" w:rsidRPr="004C7730" w:rsidRDefault="004C7730" w:rsidP="000A172C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4C7730">
              <w:rPr>
                <w:rFonts w:ascii="Times New Roman" w:hAnsi="Times New Roman"/>
              </w:rPr>
              <w:t>2) Максимален размер на помощта при избран режим „регионална инвестиционна помощ” съгласно чл. 13 и чл. 14 от Регламент (ЕС) № 651/2014 –</w:t>
            </w:r>
            <w:r>
              <w:rPr>
                <w:rFonts w:ascii="Times New Roman" w:hAnsi="Times New Roman"/>
              </w:rPr>
              <w:t xml:space="preserve"> </w:t>
            </w:r>
            <w:r w:rsidR="000A172C">
              <w:rPr>
                <w:rFonts w:ascii="Times New Roman" w:hAnsi="Times New Roman"/>
              </w:rPr>
              <w:t>450 000</w:t>
            </w:r>
            <w:r w:rsidR="00E77BF5">
              <w:rPr>
                <w:rFonts w:ascii="Times New Roman" w:hAnsi="Times New Roman"/>
              </w:rPr>
              <w:t xml:space="preserve"> евро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846C7" w:rsidRPr="00375A1E" w14:paraId="2CC1BB85" w14:textId="77777777" w:rsidTr="00015C76">
        <w:tc>
          <w:tcPr>
            <w:tcW w:w="2298" w:type="dxa"/>
            <w:shd w:val="clear" w:color="auto" w:fill="BFBFBF"/>
          </w:tcPr>
          <w:p w14:paraId="7EEDB1F0" w14:textId="77777777" w:rsidR="004846C7" w:rsidRPr="00375A1E" w:rsidRDefault="0037629B" w:rsidP="00DC232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Интензитет на помощта</w:t>
            </w:r>
          </w:p>
        </w:tc>
        <w:tc>
          <w:tcPr>
            <w:tcW w:w="7796" w:type="dxa"/>
            <w:shd w:val="clear" w:color="auto" w:fill="auto"/>
          </w:tcPr>
          <w:p w14:paraId="183B0EB5" w14:textId="711E09BA" w:rsidR="00A07BBD" w:rsidRDefault="003D7667" w:rsidP="003D7667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3D7667">
              <w:rPr>
                <w:rFonts w:ascii="Times New Roman" w:hAnsi="Times New Roman"/>
              </w:rPr>
              <w:t>Максимален интензитет на безвъзмез</w:t>
            </w:r>
            <w:r w:rsidR="00A07BBD">
              <w:rPr>
                <w:rFonts w:ascii="Times New Roman" w:hAnsi="Times New Roman"/>
              </w:rPr>
              <w:t>дната финансова помощ – до 70 %.</w:t>
            </w:r>
          </w:p>
          <w:p w14:paraId="72331536" w14:textId="69193503" w:rsidR="00C67C04" w:rsidRPr="00375A1E" w:rsidRDefault="00A07BBD" w:rsidP="00A07BBD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Интензитетът на помощта е</w:t>
            </w:r>
            <w:r w:rsidRPr="003D7667">
              <w:rPr>
                <w:rFonts w:ascii="Times New Roman" w:hAnsi="Times New Roman"/>
              </w:rPr>
              <w:t xml:space="preserve"> в зависимост от </w:t>
            </w:r>
            <w:r>
              <w:rPr>
                <w:rFonts w:ascii="Times New Roman" w:hAnsi="Times New Roman"/>
              </w:rPr>
              <w:t xml:space="preserve">избрания режим на помощ, </w:t>
            </w:r>
            <w:r w:rsidRPr="003D7667">
              <w:rPr>
                <w:rFonts w:ascii="Times New Roman" w:hAnsi="Times New Roman"/>
              </w:rPr>
              <w:t xml:space="preserve">категорията на предприятието – кандидат и </w:t>
            </w:r>
            <w:r>
              <w:rPr>
                <w:rFonts w:ascii="Times New Roman" w:hAnsi="Times New Roman"/>
              </w:rPr>
              <w:t>мястото на изпълнение на проекта.</w:t>
            </w:r>
          </w:p>
        </w:tc>
      </w:tr>
      <w:tr w:rsidR="0037629B" w:rsidRPr="00375A1E" w14:paraId="207198E5" w14:textId="77777777" w:rsidTr="00015C76">
        <w:trPr>
          <w:trHeight w:val="821"/>
        </w:trPr>
        <w:tc>
          <w:tcPr>
            <w:tcW w:w="2298" w:type="dxa"/>
            <w:tcBorders>
              <w:bottom w:val="single" w:sz="4" w:space="0" w:color="auto"/>
            </w:tcBorders>
            <w:shd w:val="clear" w:color="auto" w:fill="BFBFBF"/>
          </w:tcPr>
          <w:p w14:paraId="1F439D62" w14:textId="77777777" w:rsidR="0037629B" w:rsidRPr="00375A1E" w:rsidRDefault="00A65D0B" w:rsidP="00DC2329">
            <w:pPr>
              <w:spacing w:before="120" w:after="6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 xml:space="preserve">Кръстосано финансиране </w:t>
            </w:r>
            <w:r w:rsidRPr="00375A1E">
              <w:rPr>
                <w:rFonts w:ascii="Times New Roman" w:hAnsi="Times New Roman"/>
                <w:i/>
              </w:rPr>
              <w:t>(ако е приложимо)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7FF977B0" w14:textId="3B3B6E66" w:rsidR="0037629B" w:rsidRPr="00375A1E" w:rsidRDefault="00466888" w:rsidP="00DC2329">
            <w:pPr>
              <w:spacing w:before="120" w:after="120" w:line="240" w:lineRule="auto"/>
              <w:rPr>
                <w:rFonts w:ascii="Times New Roman" w:hAnsi="Times New Roman"/>
                <w:highlight w:val="yellow"/>
              </w:rPr>
            </w:pPr>
            <w:r w:rsidRPr="00375A1E">
              <w:rPr>
                <w:rFonts w:ascii="Times New Roman" w:hAnsi="Times New Roman"/>
              </w:rPr>
              <w:t>Неприложимо</w:t>
            </w:r>
            <w:r w:rsidR="00822363" w:rsidRPr="00375A1E">
              <w:rPr>
                <w:rFonts w:ascii="Times New Roman" w:hAnsi="Times New Roman"/>
              </w:rPr>
              <w:t>.</w:t>
            </w:r>
          </w:p>
        </w:tc>
      </w:tr>
      <w:tr w:rsidR="00E30102" w:rsidRPr="00375A1E" w14:paraId="7106DE25" w14:textId="77777777" w:rsidTr="00371673">
        <w:trPr>
          <w:trHeight w:val="675"/>
        </w:trPr>
        <w:tc>
          <w:tcPr>
            <w:tcW w:w="2298" w:type="dxa"/>
            <w:tcBorders>
              <w:bottom w:val="single" w:sz="4" w:space="0" w:color="auto"/>
            </w:tcBorders>
            <w:shd w:val="clear" w:color="auto" w:fill="BFBFBF"/>
          </w:tcPr>
          <w:p w14:paraId="410349B4" w14:textId="77777777" w:rsidR="00E30102" w:rsidRPr="00375A1E" w:rsidRDefault="00E30102" w:rsidP="00E849C1">
            <w:pPr>
              <w:spacing w:before="120" w:after="6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 xml:space="preserve">Критерии за </w:t>
            </w:r>
            <w:r w:rsidR="00E849C1" w:rsidRPr="00375A1E">
              <w:rPr>
                <w:rFonts w:ascii="Times New Roman" w:hAnsi="Times New Roman"/>
              </w:rPr>
              <w:t>подбор</w:t>
            </w:r>
            <w:r w:rsidR="006179AC" w:rsidRPr="00375A1E">
              <w:rPr>
                <w:rFonts w:ascii="Times New Roman" w:hAnsi="Times New Roman"/>
              </w:rPr>
              <w:t>/ оценка на съответствието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01"/>
              <w:gridCol w:w="708"/>
            </w:tblGrid>
            <w:tr w:rsidR="00F92DA6" w:rsidRPr="00375A1E" w14:paraId="65728638" w14:textId="77777777" w:rsidTr="00015C76">
              <w:trPr>
                <w:trHeight w:val="520"/>
              </w:trPr>
              <w:tc>
                <w:tcPr>
                  <w:tcW w:w="6801" w:type="dxa"/>
                  <w:shd w:val="clear" w:color="auto" w:fill="DEEAF6" w:themeFill="accent1" w:themeFillTint="33"/>
                  <w:vAlign w:val="center"/>
                </w:tcPr>
                <w:p w14:paraId="362F674B" w14:textId="2E7821F5" w:rsidR="00F92DA6" w:rsidRPr="00216EEE" w:rsidRDefault="00216EEE" w:rsidP="00F92DA6">
                  <w:pPr>
                    <w:spacing w:before="120" w:after="120"/>
                    <w:jc w:val="both"/>
                    <w:rPr>
                      <w:rFonts w:ascii="Times New Roman" w:eastAsia="Times New Roman" w:hAnsi="Times New Roman"/>
                      <w:b/>
                      <w:highlight w:val="yellow"/>
                      <w:lang w:eastAsia="bg-BG"/>
                    </w:rPr>
                  </w:pPr>
                  <w:r w:rsidRPr="00216EEE">
                    <w:rPr>
                      <w:rFonts w:ascii="Times New Roman" w:eastAsia="Times New Roman" w:hAnsi="Times New Roman"/>
                      <w:b/>
                      <w:lang w:eastAsia="bg-BG"/>
                    </w:rPr>
                    <w:t>I. Ефект от изпълнението на проекта:</w:t>
                  </w:r>
                </w:p>
              </w:tc>
              <w:tc>
                <w:tcPr>
                  <w:tcW w:w="708" w:type="dxa"/>
                  <w:shd w:val="clear" w:color="auto" w:fill="DEEAF6" w:themeFill="accent1" w:themeFillTint="33"/>
                  <w:vAlign w:val="center"/>
                </w:tcPr>
                <w:p w14:paraId="539A671C" w14:textId="1306D6BD" w:rsidR="00F92DA6" w:rsidRPr="006D40C0" w:rsidRDefault="000A172C" w:rsidP="008D69F5">
                  <w:pPr>
                    <w:spacing w:before="120" w:after="120"/>
                    <w:jc w:val="center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pl-PL"/>
                    </w:rPr>
                    <w:t>20</w:t>
                  </w:r>
                </w:p>
              </w:tc>
            </w:tr>
            <w:tr w:rsidR="00216EEE" w:rsidRPr="00375A1E" w14:paraId="05E22A14" w14:textId="77777777" w:rsidTr="00262C0B">
              <w:trPr>
                <w:trHeight w:val="698"/>
              </w:trPr>
              <w:tc>
                <w:tcPr>
                  <w:tcW w:w="6801" w:type="dxa"/>
                  <w:shd w:val="clear" w:color="auto" w:fill="auto"/>
                  <w:vAlign w:val="center"/>
                </w:tcPr>
                <w:p w14:paraId="406C1C28" w14:textId="102B155E" w:rsidR="005F476F" w:rsidRPr="007C1EEE" w:rsidRDefault="007558FD" w:rsidP="0001153B">
                  <w:pPr>
                    <w:spacing w:after="60" w:line="240" w:lineRule="auto"/>
                    <w:jc w:val="both"/>
                    <w:rPr>
                      <w:rFonts w:ascii="Times New Roman" w:eastAsia="Times New Roman" w:hAnsi="Times New Roman"/>
                      <w:i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 xml:space="preserve">1. Степен на интегриране на въвежданите </w:t>
                  </w:r>
                  <w:r w:rsidR="00216EEE" w:rsidRPr="00216EEE">
                    <w:rPr>
                      <w:rFonts w:ascii="Times New Roman" w:eastAsia="Times New Roman" w:hAnsi="Times New Roman"/>
                      <w:lang w:eastAsia="pl-PL"/>
                    </w:rPr>
                    <w:t>зелени технологии в етапите от жизнен</w:t>
                  </w:r>
                  <w:r w:rsidR="00216EEE">
                    <w:rPr>
                      <w:rFonts w:ascii="Times New Roman" w:eastAsia="Times New Roman" w:hAnsi="Times New Roman"/>
                      <w:lang w:eastAsia="pl-PL"/>
                    </w:rPr>
                    <w:t>ия цикъл на продуктите/услугите</w:t>
                  </w:r>
                  <w:r w:rsidR="005F476F">
                    <w:rPr>
                      <w:rFonts w:ascii="Times New Roman" w:eastAsia="Times New Roman" w:hAnsi="Times New Roman"/>
                      <w:lang w:eastAsia="pl-PL"/>
                    </w:rPr>
                    <w:t>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0E80FFCE" w14:textId="3241503D" w:rsidR="00216EEE" w:rsidRPr="00216EEE" w:rsidRDefault="00AF646E" w:rsidP="002E3ED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val="en-US" w:eastAsia="pl-PL"/>
                    </w:rPr>
                  </w:pPr>
                  <w:r>
                    <w:rPr>
                      <w:rFonts w:ascii="Times New Roman" w:eastAsia="Times New Roman" w:hAnsi="Times New Roman"/>
                      <w:lang w:val="en-US" w:eastAsia="pl-PL"/>
                    </w:rPr>
                    <w:t>10</w:t>
                  </w:r>
                </w:p>
              </w:tc>
            </w:tr>
            <w:tr w:rsidR="00216EEE" w:rsidRPr="00375A1E" w14:paraId="29910EA1" w14:textId="77777777" w:rsidTr="00262C0B">
              <w:trPr>
                <w:trHeight w:val="551"/>
              </w:trPr>
              <w:tc>
                <w:tcPr>
                  <w:tcW w:w="6801" w:type="dxa"/>
                  <w:shd w:val="clear" w:color="auto" w:fill="auto"/>
                  <w:vAlign w:val="center"/>
                </w:tcPr>
                <w:p w14:paraId="7ED23542" w14:textId="3A23DA49" w:rsidR="007C1EEE" w:rsidRPr="00216EEE" w:rsidRDefault="005D0678" w:rsidP="0001153B">
                  <w:pPr>
                    <w:spacing w:after="60" w:line="240" w:lineRule="auto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>2. Принос на въвежданите</w:t>
                  </w:r>
                  <w:r w:rsidR="00216EEE" w:rsidRPr="00216EEE">
                    <w:rPr>
                      <w:rFonts w:ascii="Times New Roman" w:eastAsia="Times New Roman" w:hAnsi="Times New Roman"/>
                      <w:lang w:eastAsia="pl-PL"/>
                    </w:rPr>
                    <w:t xml:space="preserve"> зелени технологии към ключови области за създаване на стойност в кръговата икономика</w:t>
                  </w:r>
                  <w:r w:rsidR="005F476F">
                    <w:rPr>
                      <w:rFonts w:ascii="Times New Roman" w:eastAsia="Times New Roman" w:hAnsi="Times New Roman"/>
                      <w:lang w:eastAsia="pl-PL"/>
                    </w:rPr>
                    <w:t>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61523390" w14:textId="370B1ACF" w:rsidR="00216EEE" w:rsidRPr="00216EEE" w:rsidRDefault="00AF646E" w:rsidP="002E3ED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>5</w:t>
                  </w:r>
                </w:p>
              </w:tc>
            </w:tr>
            <w:tr w:rsidR="00216EEE" w:rsidRPr="00375A1E" w14:paraId="1036B9DE" w14:textId="77777777" w:rsidTr="00015C76">
              <w:trPr>
                <w:trHeight w:val="520"/>
              </w:trPr>
              <w:tc>
                <w:tcPr>
                  <w:tcW w:w="6801" w:type="dxa"/>
                  <w:shd w:val="clear" w:color="auto" w:fill="auto"/>
                  <w:vAlign w:val="center"/>
                </w:tcPr>
                <w:p w14:paraId="16F4C492" w14:textId="37CCD7F3" w:rsidR="008D69F5" w:rsidRPr="008D69F5" w:rsidRDefault="00216EEE" w:rsidP="0001153B">
                  <w:pPr>
                    <w:spacing w:after="60" w:line="240" w:lineRule="auto"/>
                    <w:jc w:val="both"/>
                    <w:rPr>
                      <w:rFonts w:ascii="Times New Roman" w:eastAsia="Times New Roman" w:hAnsi="Times New Roman"/>
                      <w:i/>
                      <w:color w:val="002060"/>
                      <w:lang w:eastAsia="pl-PL"/>
                    </w:rPr>
                  </w:pPr>
                  <w:r w:rsidRPr="00216EEE">
                    <w:rPr>
                      <w:rFonts w:ascii="Times New Roman" w:eastAsia="Times New Roman" w:hAnsi="Times New Roman"/>
                      <w:lang w:eastAsia="pl-PL"/>
                    </w:rPr>
                    <w:t xml:space="preserve">3. Принос на проекта за </w:t>
                  </w:r>
                  <w:r w:rsidR="00325D66" w:rsidRPr="007C48D7">
                    <w:rPr>
                      <w:rFonts w:ascii="Times New Roman" w:eastAsia="Times New Roman" w:hAnsi="Times New Roman"/>
                      <w:lang w:eastAsia="pl-PL"/>
                    </w:rPr>
                    <w:t>преработка на</w:t>
                  </w:r>
                  <w:r w:rsidR="00D125D0" w:rsidRPr="007C48D7">
                    <w:rPr>
                      <w:rFonts w:ascii="Times New Roman" w:eastAsia="Times New Roman" w:hAnsi="Times New Roman"/>
                      <w:lang w:eastAsia="pl-PL"/>
                    </w:rPr>
                    <w:t xml:space="preserve"> излезли от употреба продукти</w:t>
                  </w:r>
                  <w:r w:rsidR="005F476F" w:rsidRPr="007C48D7">
                    <w:rPr>
                      <w:rFonts w:ascii="Times New Roman" w:eastAsia="Times New Roman" w:hAnsi="Times New Roman"/>
                      <w:lang w:eastAsia="pl-PL"/>
                    </w:rPr>
                    <w:t>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4725CD03" w14:textId="0868BAD9" w:rsidR="00216EEE" w:rsidRPr="00216EEE" w:rsidRDefault="000A172C" w:rsidP="002E3ED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>5</w:t>
                  </w:r>
                </w:p>
              </w:tc>
            </w:tr>
            <w:tr w:rsidR="00216EEE" w:rsidRPr="00375A1E" w14:paraId="474D9BA3" w14:textId="77777777" w:rsidTr="00015C76">
              <w:trPr>
                <w:trHeight w:val="458"/>
              </w:trPr>
              <w:tc>
                <w:tcPr>
                  <w:tcW w:w="6801" w:type="dxa"/>
                  <w:shd w:val="clear" w:color="auto" w:fill="DEEAF6" w:themeFill="accent1" w:themeFillTint="33"/>
                  <w:vAlign w:val="center"/>
                </w:tcPr>
                <w:p w14:paraId="64CBB4A0" w14:textId="38B0E6A0" w:rsidR="00216EEE" w:rsidRPr="004E3B6C" w:rsidRDefault="00216EEE" w:rsidP="00F92DA6">
                  <w:pPr>
                    <w:spacing w:before="120" w:after="120"/>
                    <w:jc w:val="both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 w:rsidRPr="004E3B6C">
                    <w:rPr>
                      <w:rFonts w:ascii="Times New Roman" w:eastAsia="Times New Roman" w:hAnsi="Times New Roman"/>
                      <w:b/>
                      <w:lang w:eastAsia="pl-PL"/>
                    </w:rPr>
                    <w:t>I</w:t>
                  </w:r>
                  <w:r>
                    <w:rPr>
                      <w:rFonts w:ascii="Times New Roman" w:eastAsia="Times New Roman" w:hAnsi="Times New Roman"/>
                      <w:b/>
                      <w:lang w:val="en-US" w:eastAsia="pl-PL"/>
                    </w:rPr>
                    <w:t>I</w:t>
                  </w:r>
                  <w:r w:rsidRPr="004E3B6C">
                    <w:rPr>
                      <w:rFonts w:ascii="Times New Roman" w:eastAsia="Times New Roman" w:hAnsi="Times New Roman"/>
                      <w:b/>
                      <w:lang w:eastAsia="pl-PL"/>
                    </w:rPr>
                    <w:t xml:space="preserve">. </w:t>
                  </w:r>
                  <w:r w:rsidRPr="004E3B6C">
                    <w:rPr>
                      <w:rFonts w:ascii="Times New Roman" w:eastAsia="Times New Roman" w:hAnsi="Times New Roman"/>
                      <w:b/>
                      <w:lang w:eastAsia="bg-BG"/>
                    </w:rPr>
                    <w:t xml:space="preserve">Финансова стабилност </w:t>
                  </w:r>
                  <w:r w:rsidRPr="004E3B6C">
                    <w:rPr>
                      <w:rFonts w:ascii="Times New Roman" w:eastAsia="Times New Roman" w:hAnsi="Times New Roman"/>
                      <w:b/>
                      <w:lang w:eastAsia="pl-PL"/>
                    </w:rPr>
                    <w:t>на кандидата:</w:t>
                  </w:r>
                </w:p>
              </w:tc>
              <w:tc>
                <w:tcPr>
                  <w:tcW w:w="708" w:type="dxa"/>
                  <w:shd w:val="clear" w:color="auto" w:fill="DEEAF6" w:themeFill="accent1" w:themeFillTint="33"/>
                  <w:vAlign w:val="center"/>
                </w:tcPr>
                <w:p w14:paraId="75DD5688" w14:textId="34D4D46D" w:rsidR="00216EEE" w:rsidRDefault="000A172C" w:rsidP="006D40C0">
                  <w:pPr>
                    <w:spacing w:before="120" w:after="120"/>
                    <w:jc w:val="center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pl-PL"/>
                    </w:rPr>
                    <w:t>28</w:t>
                  </w:r>
                </w:p>
              </w:tc>
            </w:tr>
            <w:tr w:rsidR="00F92DA6" w:rsidRPr="00375A1E" w14:paraId="17607FD3" w14:textId="77777777" w:rsidTr="00015C76">
              <w:trPr>
                <w:trHeight w:val="518"/>
              </w:trPr>
              <w:tc>
                <w:tcPr>
                  <w:tcW w:w="6801" w:type="dxa"/>
                  <w:shd w:val="clear" w:color="auto" w:fill="auto"/>
                  <w:vAlign w:val="center"/>
                </w:tcPr>
                <w:p w14:paraId="75940581" w14:textId="48F971AA" w:rsidR="00F92DA6" w:rsidRPr="00C36A0C" w:rsidRDefault="00F92DA6" w:rsidP="002E3ED8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C36A0C">
                    <w:rPr>
                      <w:rFonts w:ascii="Times New Roman" w:eastAsia="Times New Roman" w:hAnsi="Times New Roman"/>
                      <w:lang w:eastAsia="pl-PL"/>
                    </w:rPr>
                    <w:t>1. Претеглен коефициент на рентабилност на EBITDA за 202</w:t>
                  </w:r>
                  <w:r w:rsidR="00E77BF5" w:rsidRPr="00C36A0C">
                    <w:rPr>
                      <w:rFonts w:ascii="Times New Roman" w:eastAsia="Times New Roman" w:hAnsi="Times New Roman"/>
                      <w:lang w:eastAsia="pl-PL"/>
                    </w:rPr>
                    <w:t>3</w:t>
                  </w:r>
                  <w:r w:rsidRPr="00C36A0C">
                    <w:rPr>
                      <w:rFonts w:ascii="Times New Roman" w:eastAsia="Times New Roman" w:hAnsi="Times New Roman"/>
                      <w:lang w:eastAsia="pl-PL"/>
                    </w:rPr>
                    <w:t xml:space="preserve"> г., 202</w:t>
                  </w:r>
                  <w:r w:rsidR="00E77BF5" w:rsidRPr="00C36A0C">
                    <w:rPr>
                      <w:rFonts w:ascii="Times New Roman" w:eastAsia="Times New Roman" w:hAnsi="Times New Roman"/>
                      <w:lang w:eastAsia="pl-PL"/>
                    </w:rPr>
                    <w:t>4</w:t>
                  </w:r>
                  <w:r w:rsidRPr="00C36A0C">
                    <w:rPr>
                      <w:rFonts w:ascii="Times New Roman" w:eastAsia="Times New Roman" w:hAnsi="Times New Roman"/>
                      <w:lang w:eastAsia="pl-PL"/>
                    </w:rPr>
                    <w:t xml:space="preserve"> г. и 202</w:t>
                  </w:r>
                  <w:r w:rsidR="00E77BF5" w:rsidRPr="00C36A0C">
                    <w:rPr>
                      <w:rFonts w:ascii="Times New Roman" w:eastAsia="Times New Roman" w:hAnsi="Times New Roman"/>
                      <w:lang w:eastAsia="pl-PL"/>
                    </w:rPr>
                    <w:t>5</w:t>
                  </w:r>
                  <w:r w:rsidRPr="00C36A0C">
                    <w:rPr>
                      <w:rFonts w:ascii="Times New Roman" w:eastAsia="Times New Roman" w:hAnsi="Times New Roman"/>
                      <w:lang w:eastAsia="pl-PL"/>
                    </w:rPr>
                    <w:t xml:space="preserve"> г.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4AA42D09" w14:textId="720CF5DE" w:rsidR="00F92DA6" w:rsidRPr="00375A1E" w:rsidRDefault="00AF646E" w:rsidP="002E3ED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>10</w:t>
                  </w:r>
                </w:p>
              </w:tc>
            </w:tr>
            <w:tr w:rsidR="00F92DA6" w:rsidRPr="00375A1E" w14:paraId="66B676F7" w14:textId="77777777" w:rsidTr="00015C76">
              <w:trPr>
                <w:trHeight w:val="535"/>
              </w:trPr>
              <w:tc>
                <w:tcPr>
                  <w:tcW w:w="6801" w:type="dxa"/>
                  <w:shd w:val="clear" w:color="auto" w:fill="auto"/>
                  <w:vAlign w:val="center"/>
                </w:tcPr>
                <w:p w14:paraId="6C14750D" w14:textId="453DA47E" w:rsidR="00F92DA6" w:rsidRPr="00C36A0C" w:rsidRDefault="00F92DA6" w:rsidP="002E3ED8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C36A0C">
                    <w:rPr>
                      <w:rFonts w:ascii="Times New Roman" w:eastAsia="Times New Roman" w:hAnsi="Times New Roman"/>
                      <w:lang w:eastAsia="pl-PL"/>
                    </w:rPr>
                    <w:t>2. Претеглен коефициент на брутна добавена стойност за 202</w:t>
                  </w:r>
                  <w:r w:rsidR="00E77BF5" w:rsidRPr="00C36A0C">
                    <w:rPr>
                      <w:rFonts w:ascii="Times New Roman" w:eastAsia="Times New Roman" w:hAnsi="Times New Roman"/>
                      <w:lang w:eastAsia="pl-PL"/>
                    </w:rPr>
                    <w:t>3</w:t>
                  </w:r>
                  <w:r w:rsidRPr="00C36A0C">
                    <w:rPr>
                      <w:rFonts w:ascii="Times New Roman" w:eastAsia="Times New Roman" w:hAnsi="Times New Roman"/>
                      <w:lang w:eastAsia="pl-PL"/>
                    </w:rPr>
                    <w:t xml:space="preserve"> г., 202</w:t>
                  </w:r>
                  <w:r w:rsidR="00E77BF5" w:rsidRPr="00C36A0C">
                    <w:rPr>
                      <w:rFonts w:ascii="Times New Roman" w:eastAsia="Times New Roman" w:hAnsi="Times New Roman"/>
                      <w:lang w:eastAsia="pl-PL"/>
                    </w:rPr>
                    <w:t>4</w:t>
                  </w:r>
                  <w:r w:rsidRPr="00C36A0C">
                    <w:rPr>
                      <w:rFonts w:ascii="Times New Roman" w:eastAsia="Times New Roman" w:hAnsi="Times New Roman"/>
                      <w:lang w:eastAsia="pl-PL"/>
                    </w:rPr>
                    <w:t xml:space="preserve"> г. и 202</w:t>
                  </w:r>
                  <w:r w:rsidR="00E77BF5" w:rsidRPr="00C36A0C">
                    <w:rPr>
                      <w:rFonts w:ascii="Times New Roman" w:eastAsia="Times New Roman" w:hAnsi="Times New Roman"/>
                      <w:lang w:eastAsia="pl-PL"/>
                    </w:rPr>
                    <w:t>5</w:t>
                  </w:r>
                  <w:r w:rsidRPr="00C36A0C">
                    <w:rPr>
                      <w:rFonts w:ascii="Times New Roman" w:eastAsia="Times New Roman" w:hAnsi="Times New Roman"/>
                      <w:lang w:eastAsia="pl-PL"/>
                    </w:rPr>
                    <w:t xml:space="preserve"> г.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67DB64CA" w14:textId="6DC8A761" w:rsidR="00F92DA6" w:rsidRPr="00375A1E" w:rsidRDefault="00AF646E" w:rsidP="002E3ED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>10</w:t>
                  </w:r>
                </w:p>
              </w:tc>
            </w:tr>
            <w:tr w:rsidR="00F92DA6" w:rsidRPr="00375A1E" w14:paraId="3B4BF6DA" w14:textId="77777777" w:rsidTr="00015C76">
              <w:trPr>
                <w:trHeight w:val="586"/>
              </w:trPr>
              <w:tc>
                <w:tcPr>
                  <w:tcW w:w="6801" w:type="dxa"/>
                  <w:shd w:val="clear" w:color="auto" w:fill="auto"/>
                  <w:vAlign w:val="center"/>
                </w:tcPr>
                <w:p w14:paraId="0D23A1E6" w14:textId="2D621742" w:rsidR="00F92DA6" w:rsidRPr="002E3ED8" w:rsidRDefault="00F92DA6" w:rsidP="002E3ED8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C36A0C">
                    <w:rPr>
                      <w:rFonts w:ascii="Times New Roman" w:eastAsia="Times New Roman" w:hAnsi="Times New Roman"/>
                      <w:lang w:eastAsia="pl-PL"/>
                    </w:rPr>
                    <w:t>3. Претеглен коефициент на разходите за данъци спрямо реализираните приходи за 202</w:t>
                  </w:r>
                  <w:r w:rsidR="00E77BF5" w:rsidRPr="00C36A0C">
                    <w:rPr>
                      <w:rFonts w:ascii="Times New Roman" w:eastAsia="Times New Roman" w:hAnsi="Times New Roman"/>
                      <w:lang w:eastAsia="pl-PL"/>
                    </w:rPr>
                    <w:t>3</w:t>
                  </w:r>
                  <w:r w:rsidRPr="00C36A0C">
                    <w:rPr>
                      <w:rFonts w:ascii="Times New Roman" w:eastAsia="Times New Roman" w:hAnsi="Times New Roman"/>
                      <w:lang w:eastAsia="pl-PL"/>
                    </w:rPr>
                    <w:t xml:space="preserve"> г., 202</w:t>
                  </w:r>
                  <w:r w:rsidR="00E77BF5" w:rsidRPr="00C36A0C">
                    <w:rPr>
                      <w:rFonts w:ascii="Times New Roman" w:eastAsia="Times New Roman" w:hAnsi="Times New Roman"/>
                      <w:lang w:eastAsia="pl-PL"/>
                    </w:rPr>
                    <w:t>4</w:t>
                  </w:r>
                  <w:r w:rsidRPr="00C36A0C">
                    <w:rPr>
                      <w:rFonts w:ascii="Times New Roman" w:eastAsia="Times New Roman" w:hAnsi="Times New Roman"/>
                      <w:lang w:eastAsia="pl-PL"/>
                    </w:rPr>
                    <w:t xml:space="preserve"> г. и 202</w:t>
                  </w:r>
                  <w:r w:rsidR="00E77BF5" w:rsidRPr="00C36A0C">
                    <w:rPr>
                      <w:rFonts w:ascii="Times New Roman" w:eastAsia="Times New Roman" w:hAnsi="Times New Roman"/>
                      <w:lang w:eastAsia="pl-PL"/>
                    </w:rPr>
                    <w:t>5</w:t>
                  </w:r>
                  <w:r w:rsidRPr="00C36A0C">
                    <w:rPr>
                      <w:rFonts w:ascii="Times New Roman" w:eastAsia="Times New Roman" w:hAnsi="Times New Roman"/>
                      <w:lang w:eastAsia="pl-PL"/>
                    </w:rPr>
                    <w:t xml:space="preserve"> г.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2B06B49F" w14:textId="63E618E9" w:rsidR="00F92DA6" w:rsidRPr="002E3ED8" w:rsidRDefault="000A172C" w:rsidP="002E3ED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>3</w:t>
                  </w:r>
                </w:p>
              </w:tc>
            </w:tr>
            <w:tr w:rsidR="00C36A0C" w:rsidRPr="00375A1E" w14:paraId="561D3025" w14:textId="77777777" w:rsidTr="00015C76">
              <w:trPr>
                <w:trHeight w:val="719"/>
              </w:trPr>
              <w:tc>
                <w:tcPr>
                  <w:tcW w:w="6801" w:type="dxa"/>
                  <w:shd w:val="clear" w:color="auto" w:fill="auto"/>
                  <w:vAlign w:val="center"/>
                </w:tcPr>
                <w:p w14:paraId="0C03D568" w14:textId="7A94D674" w:rsidR="00C36A0C" w:rsidRPr="00C36A0C" w:rsidRDefault="00C36A0C" w:rsidP="002E3ED8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 xml:space="preserve">4. </w:t>
                  </w:r>
                  <w:r w:rsidRPr="00C36A0C">
                    <w:rPr>
                      <w:rFonts w:ascii="Times New Roman" w:eastAsia="Times New Roman" w:hAnsi="Times New Roman"/>
                      <w:lang w:eastAsia="pl-PL"/>
                    </w:rPr>
                    <w:t>Съпоставимост между претегл</w:t>
                  </w:r>
                  <w:r>
                    <w:rPr>
                      <w:rFonts w:ascii="Times New Roman" w:eastAsia="Times New Roman" w:hAnsi="Times New Roman"/>
                      <w:lang w:eastAsia="pl-PL"/>
                    </w:rPr>
                    <w:t>ената стойност на EBITDA за 2023 г., 2024 г. и 2025</w:t>
                  </w:r>
                  <w:r w:rsidRPr="00C36A0C">
                    <w:rPr>
                      <w:rFonts w:ascii="Times New Roman" w:eastAsia="Times New Roman" w:hAnsi="Times New Roman"/>
                      <w:lang w:eastAsia="pl-PL"/>
                    </w:rPr>
                    <w:t xml:space="preserve"> г. и стойността на общите допустими разходи по проекта.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0A1EAE9B" w14:textId="5C1B4A62" w:rsidR="00C36A0C" w:rsidRPr="004E3B6C" w:rsidRDefault="00AF646E" w:rsidP="002E3ED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>5</w:t>
                  </w:r>
                </w:p>
              </w:tc>
            </w:tr>
            <w:tr w:rsidR="00F92DA6" w:rsidRPr="00375A1E" w14:paraId="0CEC0B39" w14:textId="77777777" w:rsidTr="00015C76">
              <w:trPr>
                <w:trHeight w:val="380"/>
              </w:trPr>
              <w:tc>
                <w:tcPr>
                  <w:tcW w:w="6801" w:type="dxa"/>
                  <w:shd w:val="clear" w:color="auto" w:fill="DEEAF6" w:themeFill="accent1" w:themeFillTint="33"/>
                </w:tcPr>
                <w:p w14:paraId="6C49E0C9" w14:textId="1A574797" w:rsidR="00F92DA6" w:rsidRPr="00E301BA" w:rsidRDefault="00F92DA6" w:rsidP="00F92DA6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7143D8">
                    <w:rPr>
                      <w:rFonts w:ascii="Times New Roman" w:eastAsia="Times New Roman" w:hAnsi="Times New Roman"/>
                      <w:b/>
                      <w:lang w:val="en-US" w:eastAsia="pl-PL"/>
                    </w:rPr>
                    <w:t>II</w:t>
                  </w:r>
                  <w:r w:rsidR="00216EEE">
                    <w:rPr>
                      <w:rFonts w:ascii="Times New Roman" w:eastAsia="Times New Roman" w:hAnsi="Times New Roman"/>
                      <w:b/>
                      <w:lang w:val="en-US" w:eastAsia="pl-PL"/>
                    </w:rPr>
                    <w:t>I</w:t>
                  </w:r>
                  <w:r w:rsidRPr="007143D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>.</w:t>
                  </w:r>
                  <w:r w:rsidRPr="007143D8" w:rsidDel="001948BC">
                    <w:rPr>
                      <w:rFonts w:ascii="Times New Roman" w:eastAsia="Times New Roman" w:hAnsi="Times New Roman"/>
                      <w:b/>
                      <w:lang w:eastAsia="pl-PL"/>
                    </w:rPr>
                    <w:t xml:space="preserve"> </w:t>
                  </w:r>
                  <w:r w:rsidRPr="007143D8">
                    <w:rPr>
                      <w:rFonts w:ascii="Times New Roman" w:eastAsia="Times New Roman" w:hAnsi="Times New Roman"/>
                      <w:b/>
                      <w:bCs/>
                      <w:lang w:eastAsia="pl-PL"/>
                    </w:rPr>
                    <w:t>Приоритизиране</w:t>
                  </w:r>
                  <w:r w:rsidRPr="007143D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 xml:space="preserve"> на проекти:</w:t>
                  </w:r>
                </w:p>
              </w:tc>
              <w:tc>
                <w:tcPr>
                  <w:tcW w:w="708" w:type="dxa"/>
                  <w:shd w:val="clear" w:color="auto" w:fill="DEEAF6" w:themeFill="accent1" w:themeFillTint="33"/>
                  <w:vAlign w:val="center"/>
                </w:tcPr>
                <w:p w14:paraId="694165D2" w14:textId="15DE9A28" w:rsidR="00F92DA6" w:rsidRPr="007143D8" w:rsidRDefault="00AF646E" w:rsidP="007143D8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pl-PL"/>
                    </w:rPr>
                    <w:t>20</w:t>
                  </w:r>
                </w:p>
              </w:tc>
            </w:tr>
            <w:tr w:rsidR="007143D8" w:rsidRPr="00375A1E" w14:paraId="6B8320B6" w14:textId="77777777" w:rsidTr="00F61117">
              <w:trPr>
                <w:trHeight w:val="2362"/>
              </w:trPr>
              <w:tc>
                <w:tcPr>
                  <w:tcW w:w="6801" w:type="dxa"/>
                  <w:shd w:val="clear" w:color="auto" w:fill="auto"/>
                  <w:vAlign w:val="center"/>
                </w:tcPr>
                <w:p w14:paraId="7FDCC2F2" w14:textId="0E8CB5B4" w:rsidR="00006863" w:rsidRPr="000D420D" w:rsidRDefault="007143D8" w:rsidP="00F61117">
                  <w:pPr>
                    <w:spacing w:after="120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363C3D">
                    <w:rPr>
                      <w:rFonts w:ascii="Times New Roman" w:eastAsia="Times New Roman" w:hAnsi="Times New Roman"/>
                      <w:lang w:eastAsia="pl-PL"/>
                    </w:rPr>
                    <w:t xml:space="preserve">1. </w:t>
                  </w:r>
                  <w:r w:rsidR="00B0324F">
                    <w:rPr>
                      <w:rFonts w:ascii="Times New Roman" w:eastAsia="Times New Roman" w:hAnsi="Times New Roman"/>
                      <w:lang w:eastAsia="pl-PL"/>
                    </w:rPr>
                    <w:t>Приоритизация на проектни предложения</w:t>
                  </w:r>
                  <w:r w:rsidR="00E301BA">
                    <w:rPr>
                      <w:rFonts w:ascii="Times New Roman" w:eastAsia="Times New Roman" w:hAnsi="Times New Roman"/>
                      <w:lang w:eastAsia="pl-PL"/>
                    </w:rPr>
                    <w:t xml:space="preserve">, </w:t>
                  </w:r>
                  <w:r w:rsidR="00E301BA" w:rsidRPr="00E301BA">
                    <w:rPr>
                      <w:rFonts w:ascii="Times New Roman" w:eastAsia="Times New Roman" w:hAnsi="Times New Roman"/>
                      <w:lang w:eastAsia="pl-PL"/>
                    </w:rPr>
                    <w:t xml:space="preserve">които ще се изпълняват на територията на общини с одобрени концепции за Интегрирани териториални инвестиции (ИТИ), включващи дейности по </w:t>
                  </w:r>
                  <w:r w:rsidR="00E301BA">
                    <w:rPr>
                      <w:rFonts w:ascii="Times New Roman" w:eastAsia="Times New Roman" w:hAnsi="Times New Roman"/>
                      <w:lang w:eastAsia="pl-PL"/>
                    </w:rPr>
                    <w:t xml:space="preserve">ПКИП, по </w:t>
                  </w:r>
                  <w:r w:rsidR="00E301BA" w:rsidRPr="00E301BA">
                    <w:rPr>
                      <w:rFonts w:ascii="Times New Roman" w:eastAsia="Times New Roman" w:hAnsi="Times New Roman"/>
                      <w:lang w:eastAsia="pl-PL"/>
                    </w:rPr>
                    <w:t>процедура BG16FFPR003-2.001 „Концепции за интегрирани териториални инвестиции (ИТИ)” – фаза 1 и процедура BG16FFPR003-2.003 „Концепции за интегрирани териториални инвестиции (ИТИ)” – фаза 2</w:t>
                  </w:r>
                  <w:r w:rsidR="00FE64B4">
                    <w:t xml:space="preserve"> </w:t>
                  </w:r>
                  <w:r w:rsidR="00FE64B4" w:rsidRPr="00FE64B4">
                    <w:rPr>
                      <w:rFonts w:ascii="Times New Roman" w:eastAsia="Times New Roman" w:hAnsi="Times New Roman"/>
                      <w:lang w:eastAsia="pl-PL"/>
                    </w:rPr>
                    <w:t>по Програма „Развитие на регионите” 2021 – 2027 (ПРР)</w:t>
                  </w:r>
                  <w:r w:rsidR="00FE64B4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="00E301BA">
                    <w:rPr>
                      <w:rFonts w:ascii="Times New Roman" w:eastAsia="Times New Roman" w:hAnsi="Times New Roman"/>
                      <w:lang w:eastAsia="pl-PL"/>
                    </w:rPr>
                    <w:t>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532FCAC7" w14:textId="0299E4B7" w:rsidR="007143D8" w:rsidRPr="007143D8" w:rsidRDefault="00AF646E" w:rsidP="002E3ED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>10</w:t>
                  </w:r>
                </w:p>
              </w:tc>
            </w:tr>
            <w:tr w:rsidR="00F92DA6" w:rsidRPr="00375A1E" w14:paraId="7D9FE924" w14:textId="77777777" w:rsidTr="00015C76">
              <w:trPr>
                <w:trHeight w:val="621"/>
              </w:trPr>
              <w:tc>
                <w:tcPr>
                  <w:tcW w:w="6801" w:type="dxa"/>
                  <w:shd w:val="clear" w:color="auto" w:fill="auto"/>
                  <w:vAlign w:val="center"/>
                </w:tcPr>
                <w:p w14:paraId="56774CB1" w14:textId="31681A1A" w:rsidR="00F92DA6" w:rsidRPr="00316C26" w:rsidRDefault="007143D8" w:rsidP="002E3ED8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316C26">
                    <w:rPr>
                      <w:rFonts w:ascii="Times New Roman" w:eastAsia="Times New Roman" w:hAnsi="Times New Roman"/>
                      <w:lang w:eastAsia="pl-PL"/>
                    </w:rPr>
                    <w:t>2</w:t>
                  </w:r>
                  <w:r w:rsidR="00F92DA6" w:rsidRPr="00316C26">
                    <w:rPr>
                      <w:rFonts w:ascii="Times New Roman" w:eastAsia="Times New Roman" w:hAnsi="Times New Roman"/>
                      <w:lang w:eastAsia="pl-PL"/>
                    </w:rPr>
                    <w:t xml:space="preserve">. </w:t>
                  </w:r>
                  <w:r w:rsidR="00316C26" w:rsidRPr="00316C26">
                    <w:rPr>
                      <w:rFonts w:ascii="Times New Roman" w:eastAsia="Times New Roman" w:hAnsi="Times New Roman"/>
                      <w:lang w:eastAsia="pl-PL"/>
                    </w:rPr>
                    <w:t>Приоритизация съгласно Националната стратегия за малките и средните предприятия 2021-20</w:t>
                  </w:r>
                  <w:r w:rsidR="00477056">
                    <w:rPr>
                      <w:rFonts w:ascii="Times New Roman" w:eastAsia="Times New Roman" w:hAnsi="Times New Roman"/>
                      <w:lang w:eastAsia="pl-PL"/>
                    </w:rPr>
                    <w:t>30</w:t>
                  </w:r>
                  <w:r w:rsidR="00316C26" w:rsidRPr="00316C26">
                    <w:rPr>
                      <w:rFonts w:ascii="Times New Roman" w:eastAsia="Times New Roman" w:hAnsi="Times New Roman"/>
                      <w:lang w:eastAsia="pl-PL"/>
                    </w:rPr>
                    <w:t xml:space="preserve"> г.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39C60AFA" w14:textId="0B608545" w:rsidR="00F92DA6" w:rsidRPr="00363C3D" w:rsidRDefault="00AF646E" w:rsidP="002E3ED8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>3</w:t>
                  </w:r>
                </w:p>
              </w:tc>
            </w:tr>
            <w:tr w:rsidR="006C3AE3" w:rsidRPr="00375A1E" w14:paraId="5E4ABBDF" w14:textId="77777777" w:rsidTr="00F61117">
              <w:trPr>
                <w:trHeight w:val="549"/>
              </w:trPr>
              <w:tc>
                <w:tcPr>
                  <w:tcW w:w="6801" w:type="dxa"/>
                  <w:shd w:val="clear" w:color="auto" w:fill="auto"/>
                  <w:vAlign w:val="center"/>
                </w:tcPr>
                <w:p w14:paraId="1ECD6927" w14:textId="26B64D67" w:rsidR="00553EBF" w:rsidRPr="00316C26" w:rsidRDefault="006C3AE3" w:rsidP="00F61117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 xml:space="preserve">3. Регионална приоритизация </w:t>
                  </w:r>
                  <w:r w:rsidRPr="006C3AE3">
                    <w:rPr>
                      <w:rFonts w:ascii="Times New Roman" w:eastAsia="Times New Roman" w:hAnsi="Times New Roman"/>
                      <w:lang w:eastAsia="pl-PL"/>
                    </w:rPr>
                    <w:t>на проектите според мястото на изпълнение</w:t>
                  </w:r>
                  <w:r w:rsidR="00FC11D3">
                    <w:rPr>
                      <w:rFonts w:ascii="Times New Roman" w:eastAsia="Times New Roman" w:hAnsi="Times New Roman"/>
                      <w:lang w:eastAsia="pl-PL"/>
                    </w:rPr>
                    <w:t>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4947B07E" w14:textId="3F505C83" w:rsidR="006C3AE3" w:rsidRPr="00363C3D" w:rsidRDefault="006C3AE3" w:rsidP="002E3ED8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>5</w:t>
                  </w:r>
                </w:p>
              </w:tc>
            </w:tr>
            <w:tr w:rsidR="00216EEE" w:rsidRPr="00375A1E" w14:paraId="6CFEE600" w14:textId="77777777" w:rsidTr="0001153B">
              <w:trPr>
                <w:trHeight w:val="529"/>
              </w:trPr>
              <w:tc>
                <w:tcPr>
                  <w:tcW w:w="6801" w:type="dxa"/>
                  <w:shd w:val="clear" w:color="auto" w:fill="auto"/>
                  <w:vAlign w:val="center"/>
                </w:tcPr>
                <w:p w14:paraId="435E0D45" w14:textId="2292ECBF" w:rsidR="00AC7616" w:rsidRDefault="00216EEE" w:rsidP="0001153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 xml:space="preserve">4. </w:t>
                  </w:r>
                  <w:r w:rsidRPr="00216EEE">
                    <w:rPr>
                      <w:rFonts w:ascii="Times New Roman" w:eastAsia="Times New Roman" w:hAnsi="Times New Roman"/>
                      <w:lang w:eastAsia="pl-PL"/>
                    </w:rPr>
                    <w:t xml:space="preserve">Въведени </w:t>
                  </w:r>
                  <w:r>
                    <w:rPr>
                      <w:rFonts w:ascii="Times New Roman" w:eastAsia="Times New Roman" w:hAnsi="Times New Roman"/>
                      <w:lang w:eastAsia="pl-PL"/>
                    </w:rPr>
                    <w:t>в предприятието екологични стандарти</w:t>
                  </w:r>
                  <w:r w:rsidR="00477056" w:rsidRPr="00262C0B">
                    <w:rPr>
                      <w:rFonts w:ascii="Times New Roman" w:eastAsia="Times New Roman" w:hAnsi="Times New Roman"/>
                      <w:lang w:eastAsia="pl-PL"/>
                    </w:rPr>
                    <w:t xml:space="preserve">, </w:t>
                  </w:r>
                  <w:r w:rsidR="00477056" w:rsidRPr="00477056">
                    <w:rPr>
                      <w:rFonts w:ascii="Times New Roman" w:eastAsia="Times New Roman" w:hAnsi="Times New Roman"/>
                      <w:lang w:eastAsia="pl-PL"/>
                    </w:rPr>
                    <w:t>вкл. Екомаркировката на ЕС</w:t>
                  </w:r>
                  <w:r w:rsidR="0001153B">
                    <w:rPr>
                      <w:rFonts w:ascii="Times New Roman" w:eastAsia="Times New Roman" w:hAnsi="Times New Roman"/>
                      <w:lang w:eastAsia="pl-PL"/>
                    </w:rPr>
                    <w:t>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0A2FF60C" w14:textId="3E88395B" w:rsidR="00216EEE" w:rsidRDefault="00AF646E" w:rsidP="002E3ED8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>2</w:t>
                  </w:r>
                </w:p>
              </w:tc>
            </w:tr>
            <w:tr w:rsidR="00E372C3" w:rsidRPr="00375A1E" w14:paraId="5F4C3980" w14:textId="77777777" w:rsidTr="00015C76">
              <w:trPr>
                <w:trHeight w:val="406"/>
              </w:trPr>
              <w:tc>
                <w:tcPr>
                  <w:tcW w:w="6801" w:type="dxa"/>
                  <w:shd w:val="clear" w:color="auto" w:fill="DEEAF6" w:themeFill="accent1" w:themeFillTint="33"/>
                  <w:vAlign w:val="center"/>
                </w:tcPr>
                <w:p w14:paraId="436506CB" w14:textId="1FA610F0" w:rsidR="00E372C3" w:rsidRPr="00E372C3" w:rsidRDefault="00216EEE" w:rsidP="00E372C3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lang w:eastAsia="pl-PL"/>
                    </w:rPr>
                    <w:t>I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lang w:val="en-US" w:eastAsia="pl-PL"/>
                    </w:rPr>
                    <w:t>V</w:t>
                  </w:r>
                  <w:r w:rsidR="00E372C3" w:rsidRPr="00E372C3">
                    <w:rPr>
                      <w:rFonts w:ascii="Times New Roman" w:eastAsia="Times New Roman" w:hAnsi="Times New Roman"/>
                      <w:b/>
                      <w:bCs/>
                      <w:lang w:eastAsia="pl-PL"/>
                    </w:rPr>
                    <w:t>.</w:t>
                  </w:r>
                  <w:r w:rsidR="00E372C3" w:rsidRPr="00E372C3" w:rsidDel="001948BC">
                    <w:rPr>
                      <w:rFonts w:ascii="Times New Roman" w:eastAsia="Times New Roman" w:hAnsi="Times New Roman"/>
                      <w:b/>
                      <w:bCs/>
                      <w:lang w:eastAsia="pl-PL"/>
                    </w:rPr>
                    <w:t xml:space="preserve"> </w:t>
                  </w:r>
                  <w:r w:rsidR="00E372C3" w:rsidRPr="00E372C3">
                    <w:rPr>
                      <w:rFonts w:ascii="Times New Roman" w:eastAsia="Times New Roman" w:hAnsi="Times New Roman"/>
                      <w:b/>
                      <w:bCs/>
                      <w:lang w:eastAsia="pl-PL"/>
                    </w:rPr>
                    <w:t>Бюджет на проекта</w:t>
                  </w:r>
                </w:p>
              </w:tc>
              <w:tc>
                <w:tcPr>
                  <w:tcW w:w="708" w:type="dxa"/>
                  <w:shd w:val="clear" w:color="auto" w:fill="DEEAF6" w:themeFill="accent1" w:themeFillTint="33"/>
                  <w:vAlign w:val="center"/>
                </w:tcPr>
                <w:p w14:paraId="15C26FEB" w14:textId="27055F95" w:rsidR="00E372C3" w:rsidRPr="00E372C3" w:rsidRDefault="00E372C3" w:rsidP="00E372C3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pl-PL"/>
                    </w:rPr>
                  </w:pPr>
                  <w:r w:rsidRPr="00E372C3">
                    <w:rPr>
                      <w:rFonts w:ascii="Times New Roman" w:eastAsia="Times New Roman" w:hAnsi="Times New Roman"/>
                      <w:b/>
                      <w:bCs/>
                      <w:lang w:eastAsia="pl-PL"/>
                    </w:rPr>
                    <w:t>5</w:t>
                  </w:r>
                </w:p>
              </w:tc>
            </w:tr>
            <w:tr w:rsidR="00E372C3" w:rsidRPr="00375A1E" w14:paraId="2429B40D" w14:textId="77777777" w:rsidTr="00015C76">
              <w:trPr>
                <w:trHeight w:val="357"/>
              </w:trPr>
              <w:tc>
                <w:tcPr>
                  <w:tcW w:w="6801" w:type="dxa"/>
                  <w:shd w:val="clear" w:color="auto" w:fill="auto"/>
                  <w:vAlign w:val="center"/>
                </w:tcPr>
                <w:p w14:paraId="461948D9" w14:textId="1430A761" w:rsidR="00E372C3" w:rsidRPr="00E372C3" w:rsidRDefault="00E372C3" w:rsidP="002E3ED8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372C3">
                    <w:rPr>
                      <w:rFonts w:ascii="Times New Roman" w:eastAsia="Times New Roman" w:hAnsi="Times New Roman"/>
                      <w:lang w:eastAsia="pl-PL"/>
                    </w:rPr>
                    <w:t>1. Бюджет на проекта</w:t>
                  </w:r>
                  <w:r w:rsidRPr="006D40C0">
                    <w:rPr>
                      <w:rFonts w:ascii="Times New Roman" w:eastAsia="Times New Roman" w:hAnsi="Times New Roman"/>
                      <w:lang w:eastAsia="pl-PL"/>
                    </w:rPr>
                    <w:t>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530C9129" w14:textId="2991FC52" w:rsidR="00E372C3" w:rsidRPr="00E372C3" w:rsidRDefault="00E372C3" w:rsidP="00E372C3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372C3"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0D25ED" w:rsidRPr="00375A1E" w14:paraId="3BBE2BC8" w14:textId="77777777" w:rsidTr="00015C76">
              <w:trPr>
                <w:trHeight w:val="461"/>
              </w:trPr>
              <w:tc>
                <w:tcPr>
                  <w:tcW w:w="6801" w:type="dxa"/>
                  <w:shd w:val="clear" w:color="auto" w:fill="DEEAF6" w:themeFill="accent1" w:themeFillTint="33"/>
                  <w:vAlign w:val="center"/>
                </w:tcPr>
                <w:p w14:paraId="43329575" w14:textId="2BAA26B7" w:rsidR="000D25ED" w:rsidRPr="00375A1E" w:rsidRDefault="000D25ED" w:rsidP="000D25ED">
                  <w:pPr>
                    <w:spacing w:before="60" w:after="6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4E3B6C">
                    <w:rPr>
                      <w:rFonts w:ascii="Times New Roman" w:hAnsi="Times New Roman"/>
                      <w:b/>
                    </w:rPr>
                    <w:t>Общ брой точки</w:t>
                  </w:r>
                </w:p>
              </w:tc>
              <w:tc>
                <w:tcPr>
                  <w:tcW w:w="708" w:type="dxa"/>
                  <w:shd w:val="clear" w:color="auto" w:fill="DEEAF6" w:themeFill="accent1" w:themeFillTint="33"/>
                  <w:vAlign w:val="center"/>
                </w:tcPr>
                <w:p w14:paraId="069C7842" w14:textId="0D568F25" w:rsidR="000D25ED" w:rsidRPr="0094493B" w:rsidRDefault="000A172C" w:rsidP="008D69F5">
                  <w:pPr>
                    <w:spacing w:before="60" w:after="6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pl-PL"/>
                    </w:rPr>
                    <w:t>73</w:t>
                  </w:r>
                </w:p>
              </w:tc>
            </w:tr>
          </w:tbl>
          <w:p w14:paraId="58C3F7D0" w14:textId="77777777" w:rsidR="00E30102" w:rsidRPr="002E3ED8" w:rsidRDefault="00E30102" w:rsidP="001F0100">
            <w:pPr>
              <w:spacing w:before="120" w:after="120" w:line="240" w:lineRule="auto"/>
              <w:rPr>
                <w:rFonts w:ascii="Times New Roman" w:hAnsi="Times New Roman"/>
                <w:sz w:val="4"/>
                <w:szCs w:val="4"/>
                <w:highlight w:val="yellow"/>
              </w:rPr>
            </w:pPr>
          </w:p>
        </w:tc>
      </w:tr>
      <w:tr w:rsidR="000D25ED" w:rsidRPr="00375A1E" w14:paraId="5594CB18" w14:textId="77777777" w:rsidTr="00F61117">
        <w:trPr>
          <w:trHeight w:val="392"/>
        </w:trPr>
        <w:tc>
          <w:tcPr>
            <w:tcW w:w="2298" w:type="dxa"/>
            <w:tcBorders>
              <w:bottom w:val="single" w:sz="4" w:space="0" w:color="auto"/>
            </w:tcBorders>
            <w:shd w:val="clear" w:color="auto" w:fill="BFBFBF"/>
          </w:tcPr>
          <w:p w14:paraId="2F852DC0" w14:textId="77777777" w:rsidR="000D25ED" w:rsidRPr="00375A1E" w:rsidRDefault="000D25ED" w:rsidP="000D25ED">
            <w:pPr>
              <w:spacing w:before="120" w:after="60" w:line="240" w:lineRule="auto"/>
              <w:rPr>
                <w:rFonts w:ascii="Times New Roman" w:hAnsi="Times New Roman"/>
              </w:rPr>
            </w:pPr>
            <w:r w:rsidRPr="00375A1E">
              <w:rPr>
                <w:rFonts w:ascii="Times New Roman" w:hAnsi="Times New Roman"/>
              </w:rPr>
              <w:t>Индикатори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7319DF20" w14:textId="77777777" w:rsidR="000D25ED" w:rsidRPr="004F7E6A" w:rsidRDefault="000D25ED" w:rsidP="000D25ED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E3B6C">
              <w:rPr>
                <w:rFonts w:ascii="Times New Roman" w:hAnsi="Times New Roman"/>
                <w:b/>
              </w:rPr>
              <w:t>Показатели за резултат</w:t>
            </w:r>
            <w:r w:rsidRPr="004F7E6A">
              <w:rPr>
                <w:rFonts w:ascii="Times New Roman" w:hAnsi="Times New Roman"/>
              </w:rPr>
              <w:t>:</w:t>
            </w:r>
          </w:p>
          <w:p w14:paraId="4291B846" w14:textId="2B424422" w:rsidR="000D25ED" w:rsidRPr="001E60AF" w:rsidRDefault="000D25ED" w:rsidP="001E5DA2">
            <w:pPr>
              <w:numPr>
                <w:ilvl w:val="0"/>
                <w:numId w:val="24"/>
              </w:numPr>
              <w:spacing w:after="60" w:line="240" w:lineRule="auto"/>
              <w:ind w:left="460" w:hanging="284"/>
              <w:jc w:val="both"/>
              <w:rPr>
                <w:rFonts w:ascii="Times New Roman" w:hAnsi="Times New Roman"/>
              </w:rPr>
            </w:pPr>
            <w:r w:rsidRPr="001E60AF">
              <w:rPr>
                <w:rFonts w:ascii="Times New Roman" w:hAnsi="Times New Roman"/>
              </w:rPr>
              <w:t>Частни инвестиции, допълващи публичното подпомагане (в т.ч.: безвъзмездни средства, финансови инструменти)</w:t>
            </w:r>
            <w:r w:rsidR="00BE067D" w:rsidRPr="001E60AF">
              <w:rPr>
                <w:rFonts w:ascii="Times New Roman" w:hAnsi="Times New Roman"/>
              </w:rPr>
              <w:t>;</w:t>
            </w:r>
          </w:p>
          <w:p w14:paraId="5766DD86" w14:textId="77777777" w:rsidR="001E60AF" w:rsidRPr="001E60AF" w:rsidRDefault="001E60AF" w:rsidP="001E5DA2">
            <w:pPr>
              <w:numPr>
                <w:ilvl w:val="0"/>
                <w:numId w:val="24"/>
              </w:numPr>
              <w:spacing w:after="60" w:line="240" w:lineRule="auto"/>
              <w:ind w:left="460" w:hanging="284"/>
              <w:jc w:val="both"/>
              <w:rPr>
                <w:rFonts w:ascii="Times New Roman" w:hAnsi="Times New Roman"/>
              </w:rPr>
            </w:pPr>
            <w:r w:rsidRPr="001E60AF">
              <w:rPr>
                <w:rFonts w:ascii="Times New Roman" w:hAnsi="Times New Roman"/>
              </w:rPr>
              <w:t>Предприятия, участващи в промишлена симбиоза;</w:t>
            </w:r>
          </w:p>
          <w:p w14:paraId="6A72075C" w14:textId="186BA0E8" w:rsidR="00BE067D" w:rsidRPr="001E60AF" w:rsidRDefault="00BE067D" w:rsidP="001E5DA2">
            <w:pPr>
              <w:numPr>
                <w:ilvl w:val="0"/>
                <w:numId w:val="24"/>
              </w:numPr>
              <w:spacing w:after="60" w:line="240" w:lineRule="auto"/>
              <w:ind w:left="460" w:hanging="284"/>
              <w:jc w:val="both"/>
              <w:rPr>
                <w:rFonts w:ascii="Times New Roman" w:hAnsi="Times New Roman"/>
              </w:rPr>
            </w:pPr>
            <w:r w:rsidRPr="001E60AF">
              <w:rPr>
                <w:rFonts w:ascii="Times New Roman" w:hAnsi="Times New Roman"/>
              </w:rPr>
              <w:t>МСП предприели мерки за ресурсна ефективност;</w:t>
            </w:r>
          </w:p>
          <w:p w14:paraId="7408A491" w14:textId="6BD0495A" w:rsidR="00BE067D" w:rsidRPr="001E5DA2" w:rsidRDefault="00BE067D" w:rsidP="001E5D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2" w:hanging="284"/>
              <w:jc w:val="both"/>
              <w:rPr>
                <w:rFonts w:ascii="Times New Roman" w:hAnsi="Times New Roman"/>
              </w:rPr>
            </w:pPr>
            <w:r w:rsidRPr="001E5DA2">
              <w:rPr>
                <w:rFonts w:ascii="Times New Roman" w:hAnsi="Times New Roman"/>
              </w:rPr>
              <w:t>МСП предприели мерки за подобряване управлението на отпадъците.</w:t>
            </w:r>
          </w:p>
          <w:p w14:paraId="6B5733C3" w14:textId="77777777" w:rsidR="000D25ED" w:rsidRPr="004E3B6C" w:rsidRDefault="000D25ED" w:rsidP="000D25ED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4E3B6C">
              <w:rPr>
                <w:rFonts w:ascii="Times New Roman" w:hAnsi="Times New Roman"/>
                <w:b/>
              </w:rPr>
              <w:t>Показатели за крайния продукт:</w:t>
            </w:r>
          </w:p>
          <w:p w14:paraId="0B69B3FB" w14:textId="77777777" w:rsidR="000D25ED" w:rsidRPr="004E3B6C" w:rsidRDefault="000D25ED" w:rsidP="001E5DA2">
            <w:pPr>
              <w:numPr>
                <w:ilvl w:val="0"/>
                <w:numId w:val="16"/>
              </w:numPr>
              <w:spacing w:after="60" w:line="240" w:lineRule="auto"/>
              <w:ind w:left="465" w:hanging="284"/>
              <w:jc w:val="both"/>
              <w:rPr>
                <w:rFonts w:ascii="Times New Roman" w:hAnsi="Times New Roman"/>
              </w:rPr>
            </w:pPr>
            <w:r w:rsidRPr="004E3B6C">
              <w:rPr>
                <w:rFonts w:ascii="Times New Roman" w:hAnsi="Times New Roman"/>
              </w:rPr>
              <w:t>Подпомагани предприятия (в т.ч.: микро-, малки, средни, големи предприятия);</w:t>
            </w:r>
          </w:p>
          <w:p w14:paraId="17132C3D" w14:textId="712A6CA3" w:rsidR="000D25ED" w:rsidRPr="00375A1E" w:rsidRDefault="000D25ED" w:rsidP="00393D34">
            <w:pPr>
              <w:numPr>
                <w:ilvl w:val="0"/>
                <w:numId w:val="16"/>
              </w:numPr>
              <w:spacing w:after="60" w:line="240" w:lineRule="auto"/>
              <w:ind w:left="465" w:hanging="284"/>
              <w:jc w:val="both"/>
              <w:rPr>
                <w:rFonts w:ascii="Times New Roman" w:hAnsi="Times New Roman"/>
              </w:rPr>
            </w:pPr>
            <w:r w:rsidRPr="004E3B6C">
              <w:rPr>
                <w:rFonts w:ascii="Times New Roman" w:hAnsi="Times New Roman"/>
              </w:rPr>
              <w:t>Подпомагани предприятия чрез безвъзмездни средства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62C9FEAB" w14:textId="77777777" w:rsidR="00C6183E" w:rsidRPr="001E5A52" w:rsidRDefault="00C6183E" w:rsidP="003C5ECC">
      <w:pPr>
        <w:rPr>
          <w:rFonts w:ascii="Times New Roman" w:hAnsi="Times New Roman"/>
        </w:rPr>
      </w:pPr>
      <w:bookmarkStart w:id="0" w:name="_GoBack"/>
      <w:bookmarkEnd w:id="0"/>
    </w:p>
    <w:sectPr w:rsidR="00C6183E" w:rsidRPr="001E5A52" w:rsidSect="00E72A08">
      <w:headerReference w:type="default" r:id="rId8"/>
      <w:footerReference w:type="default" r:id="rId9"/>
      <w:pgSz w:w="11906" w:h="16838"/>
      <w:pgMar w:top="1417" w:right="849" w:bottom="1276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B7CE0" w14:textId="77777777" w:rsidR="00356764" w:rsidRDefault="00356764" w:rsidP="008F4E92">
      <w:pPr>
        <w:spacing w:after="0" w:line="240" w:lineRule="auto"/>
      </w:pPr>
      <w:r>
        <w:separator/>
      </w:r>
    </w:p>
  </w:endnote>
  <w:endnote w:type="continuationSeparator" w:id="0">
    <w:p w14:paraId="068F1619" w14:textId="77777777" w:rsidR="00356764" w:rsidRDefault="00356764" w:rsidP="008F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94089" w14:textId="4ABF44AF" w:rsidR="000867C4" w:rsidRDefault="000867C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37DC">
      <w:rPr>
        <w:noProof/>
      </w:rPr>
      <w:t>8</w:t>
    </w:r>
    <w:r>
      <w:rPr>
        <w:noProof/>
      </w:rPr>
      <w:fldChar w:fldCharType="end"/>
    </w:r>
  </w:p>
  <w:p w14:paraId="5EEDC160" w14:textId="77777777" w:rsidR="000867C4" w:rsidRDefault="00086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0430C" w14:textId="77777777" w:rsidR="00356764" w:rsidRDefault="00356764" w:rsidP="008F4E92">
      <w:pPr>
        <w:spacing w:after="0" w:line="240" w:lineRule="auto"/>
      </w:pPr>
      <w:r>
        <w:separator/>
      </w:r>
    </w:p>
  </w:footnote>
  <w:footnote w:type="continuationSeparator" w:id="0">
    <w:p w14:paraId="6DB1263D" w14:textId="77777777" w:rsidR="00356764" w:rsidRDefault="00356764" w:rsidP="008F4E92">
      <w:pPr>
        <w:spacing w:after="0" w:line="240" w:lineRule="auto"/>
      </w:pPr>
      <w:r>
        <w:continuationSeparator/>
      </w:r>
    </w:p>
  </w:footnote>
  <w:footnote w:id="1">
    <w:p w14:paraId="621AAD00" w14:textId="77777777" w:rsidR="000867C4" w:rsidRPr="005A65B1" w:rsidRDefault="000867C4" w:rsidP="006567E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A65B1">
          <w:rPr>
            <w:rStyle w:val="Hyperlink"/>
          </w:rPr>
          <w:t>https://www.consilium.europa.eu/en/policies/european-green-deal/</w:t>
        </w:r>
      </w:hyperlink>
    </w:p>
  </w:footnote>
  <w:footnote w:id="2">
    <w:p w14:paraId="50D368E0" w14:textId="77777777" w:rsidR="000867C4" w:rsidRDefault="000867C4" w:rsidP="00CC78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6C6CD6">
          <w:rPr>
            <w:rStyle w:val="Hyperlink"/>
          </w:rPr>
          <w:t>https://environment.ec.europa.eu/strategy/circular-economy_en</w:t>
        </w:r>
      </w:hyperlink>
    </w:p>
  </w:footnote>
  <w:footnote w:id="3">
    <w:p w14:paraId="596B2BDF" w14:textId="77777777" w:rsidR="000867C4" w:rsidRDefault="000867C4" w:rsidP="00CC78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6C6CD6">
          <w:rPr>
            <w:rStyle w:val="Hyperlink"/>
          </w:rPr>
          <w:t>https://commission.europa.eu/topics/competitiveness/clean-industrial-deal_en</w:t>
        </w:r>
      </w:hyperlink>
    </w:p>
  </w:footnote>
  <w:footnote w:id="4">
    <w:p w14:paraId="7F7EE353" w14:textId="77777777" w:rsidR="000867C4" w:rsidRPr="00A22BE9" w:rsidRDefault="000867C4" w:rsidP="00CC7832">
      <w:pPr>
        <w:pStyle w:val="FootnoteText"/>
        <w:rPr>
          <w:rStyle w:val="Hyperlink"/>
        </w:rPr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A22BE9">
          <w:rPr>
            <w:rStyle w:val="Hyperlink"/>
          </w:rPr>
          <w:t>https://ec.europa.eu/transparency/documents-register/detail?ref=SWD(2025)302&amp;lang=en</w:t>
        </w:r>
      </w:hyperlink>
      <w:r w:rsidRPr="00A22BE9">
        <w:rPr>
          <w:rStyle w:val="Hyperlink"/>
        </w:rPr>
        <w:t xml:space="preserve"> </w:t>
      </w:r>
    </w:p>
  </w:footnote>
  <w:footnote w:id="5">
    <w:p w14:paraId="4AB640AA" w14:textId="081AB89C" w:rsidR="001178E2" w:rsidRPr="001E5A52" w:rsidRDefault="001E5A52" w:rsidP="002E0E0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Посочените процедури </w:t>
      </w:r>
      <w:r w:rsidR="002E0E01">
        <w:t>са реализирани по</w:t>
      </w:r>
      <w:r>
        <w:t xml:space="preserve"> </w:t>
      </w:r>
      <w:r w:rsidR="002E0E01">
        <w:t xml:space="preserve">ПРР, която е водеща програма при изпълнението на подхода ИТИ с </w:t>
      </w:r>
      <w:r w:rsidR="001178E2">
        <w:t>Управляв</w:t>
      </w:r>
      <w:r w:rsidR="002E0E01">
        <w:t>ащ орган -</w:t>
      </w:r>
      <w:r w:rsidR="001178E2">
        <w:t xml:space="preserve"> Главна дирекция „Стратегическо планиране и програми за регионално развитие” в Министерство на регионалното развитие и благоустройството.</w:t>
      </w:r>
    </w:p>
  </w:footnote>
  <w:footnote w:id="6">
    <w:p w14:paraId="3A2B3DD9" w14:textId="77777777" w:rsidR="000867C4" w:rsidRPr="00A07BBD" w:rsidRDefault="000867C4" w:rsidP="00A07BBD">
      <w:pPr>
        <w:pStyle w:val="FootnoteText"/>
        <w:spacing w:before="60"/>
        <w:ind w:right="-709"/>
        <w:jc w:val="both"/>
        <w:rPr>
          <w:sz w:val="18"/>
          <w:szCs w:val="18"/>
        </w:rPr>
      </w:pPr>
      <w:r w:rsidRPr="00A07BBD">
        <w:rPr>
          <w:rStyle w:val="FootnoteReference"/>
          <w:sz w:val="18"/>
          <w:szCs w:val="18"/>
        </w:rPr>
        <w:footnoteRef/>
      </w:r>
      <w:r w:rsidRPr="00A07BBD">
        <w:rPr>
          <w:sz w:val="18"/>
          <w:szCs w:val="18"/>
        </w:rPr>
        <w:t xml:space="preserve"> „По-слабо развити региони” са районите на планиране извън Югозападен район, както следва: Северозападен район (СЗР), Северен централен район (СЦР), Североизточен район (СИР), Югоизточен район (ЮИР) и Южен централен район (ЮЦР).</w:t>
      </w:r>
    </w:p>
  </w:footnote>
  <w:footnote w:id="7">
    <w:p w14:paraId="3A543AA1" w14:textId="539F5C8D" w:rsidR="000867C4" w:rsidRPr="00A07BBD" w:rsidRDefault="000867C4" w:rsidP="00A07BBD">
      <w:pPr>
        <w:pStyle w:val="FootnoteText"/>
        <w:spacing w:before="60"/>
        <w:ind w:right="-709"/>
        <w:jc w:val="both"/>
        <w:rPr>
          <w:sz w:val="18"/>
          <w:szCs w:val="18"/>
        </w:rPr>
      </w:pPr>
      <w:r w:rsidRPr="00A07BBD">
        <w:rPr>
          <w:rStyle w:val="FootnoteReference"/>
          <w:sz w:val="18"/>
          <w:szCs w:val="18"/>
        </w:rPr>
        <w:footnoteRef/>
      </w:r>
      <w:r w:rsidRPr="00A07BBD">
        <w:rPr>
          <w:sz w:val="18"/>
          <w:szCs w:val="18"/>
        </w:rPr>
        <w:t xml:space="preserve"> Максималният размер на помощта за едно и също предприятие в режим „минимална помощ” (de minimis), за която се кандидатства, заедно с другите получени минимални помощи от кандидата, не може да надхвърля 300 000 евро за период от </w:t>
      </w:r>
      <w:r>
        <w:rPr>
          <w:sz w:val="18"/>
          <w:szCs w:val="18"/>
        </w:rPr>
        <w:t>3 (</w:t>
      </w:r>
      <w:r w:rsidRPr="00A07BBD">
        <w:rPr>
          <w:sz w:val="18"/>
          <w:szCs w:val="18"/>
        </w:rPr>
        <w:t>три</w:t>
      </w:r>
      <w:r>
        <w:rPr>
          <w:sz w:val="18"/>
          <w:szCs w:val="18"/>
        </w:rPr>
        <w:t>)</w:t>
      </w:r>
      <w:r w:rsidRPr="00A07BBD">
        <w:rPr>
          <w:sz w:val="18"/>
          <w:szCs w:val="18"/>
        </w:rPr>
        <w:t xml:space="preserve"> предходни години, считано от датата на предоставяне на помощта.</w:t>
      </w:r>
    </w:p>
  </w:footnote>
  <w:footnote w:id="8">
    <w:p w14:paraId="591B193B" w14:textId="6E918DF0" w:rsidR="000867C4" w:rsidRDefault="000867C4" w:rsidP="00696BEC">
      <w:pPr>
        <w:pStyle w:val="FootnoteText"/>
        <w:ind w:right="-709"/>
        <w:jc w:val="both"/>
      </w:pPr>
      <w:r>
        <w:rPr>
          <w:rStyle w:val="FootnoteReference"/>
        </w:rPr>
        <w:footnoteRef/>
      </w:r>
      <w:r>
        <w:t xml:space="preserve"> </w:t>
      </w:r>
      <w:r w:rsidRPr="00FC07FC">
        <w:t>КИД-2025 е новата версия на Класификацията на икономи</w:t>
      </w:r>
      <w:r>
        <w:t xml:space="preserve">ческите дейности (версия 2025) </w:t>
      </w:r>
      <w:r w:rsidRPr="00FC07FC">
        <w:t>на НСИ, която заменя КИД-2008. С КИД-2025 са въведени промени в икономическите дейности на ниво сектори, раздели, групи, както и класове (четиризначни кодове на икономическите дейности) спрямо КИД-2008.</w:t>
      </w:r>
    </w:p>
  </w:footnote>
  <w:footnote w:id="9">
    <w:p w14:paraId="161373B4" w14:textId="0B075AA7" w:rsidR="00420057" w:rsidRDefault="00420057" w:rsidP="00DB43B6">
      <w:pPr>
        <w:pStyle w:val="FootnoteText"/>
        <w:spacing w:after="60"/>
        <w:ind w:right="-708"/>
        <w:jc w:val="both"/>
      </w:pPr>
      <w:r>
        <w:rPr>
          <w:rStyle w:val="FootnoteReference"/>
        </w:rPr>
        <w:footnoteRef/>
      </w:r>
      <w:r>
        <w:t xml:space="preserve"> </w:t>
      </w:r>
      <w:r w:rsidR="00AE57B9">
        <w:t>За целите на</w:t>
      </w:r>
      <w:r w:rsidR="00DB43B6">
        <w:t xml:space="preserve"> процедура</w:t>
      </w:r>
      <w:r w:rsidR="00AE57B9">
        <w:t>та</w:t>
      </w:r>
      <w:r w:rsidR="0043430F">
        <w:t xml:space="preserve"> „съществуващ</w:t>
      </w:r>
      <w:r>
        <w:t xml:space="preserve"> </w:t>
      </w:r>
      <w:r w:rsidR="0043430F">
        <w:t>продукт</w:t>
      </w:r>
      <w:r w:rsidR="00DB43B6">
        <w:t>/услуга</w:t>
      </w:r>
      <w:r w:rsidR="00DB43B6" w:rsidRPr="00DB43B6">
        <w:t>”</w:t>
      </w:r>
      <w:r w:rsidR="0043430F">
        <w:t xml:space="preserve"> е продукт/услуга, който</w:t>
      </w:r>
      <w:r w:rsidR="009F5F28">
        <w:t>/която</w:t>
      </w:r>
      <w:r w:rsidR="0043430F">
        <w:t xml:space="preserve"> </w:t>
      </w:r>
      <w:r>
        <w:t>предприятието-кандидат вече произве</w:t>
      </w:r>
      <w:r w:rsidR="0043430F">
        <w:t xml:space="preserve">жда/предоставя </w:t>
      </w:r>
      <w:r>
        <w:t xml:space="preserve">към момента </w:t>
      </w:r>
      <w:r w:rsidR="00DB43B6">
        <w:t>на кандидатстване</w:t>
      </w:r>
      <w:r>
        <w:t>.</w:t>
      </w:r>
    </w:p>
  </w:footnote>
  <w:footnote w:id="10">
    <w:p w14:paraId="72092541" w14:textId="4135011F" w:rsidR="000867C4" w:rsidRDefault="000867C4" w:rsidP="00F52453">
      <w:pPr>
        <w:pStyle w:val="FootnoteText"/>
        <w:ind w:right="-709"/>
        <w:jc w:val="both"/>
      </w:pPr>
      <w:r>
        <w:rPr>
          <w:rStyle w:val="FootnoteReference"/>
        </w:rPr>
        <w:footnoteRef/>
      </w:r>
      <w:r>
        <w:t xml:space="preserve"> </w:t>
      </w:r>
      <w:r w:rsidRPr="00F52453">
        <w:t>Вещества, за които са изпълнени критериите по отношение на физичните опасности, опасностите за здравето или опасностите за околната среда, определени в части 2-5 от Приложение I на Регламент (ЕО) № 1272/2008 на Европейския парламент и на Съвета от 16 декември 2008 г. относно класифицирането, етикетирането и опаковането на вещества и смеси.</w:t>
      </w:r>
    </w:p>
  </w:footnote>
  <w:footnote w:id="11">
    <w:p w14:paraId="6EC935F6" w14:textId="77777777" w:rsidR="005B0CC3" w:rsidRDefault="005B0CC3">
      <w:pPr>
        <w:pStyle w:val="FootnoteText"/>
      </w:pPr>
      <w:r>
        <w:rPr>
          <w:rStyle w:val="FootnoteReference"/>
        </w:rPr>
        <w:footnoteRef/>
      </w:r>
      <w:r>
        <w:t xml:space="preserve"> С изключение на опаковките от пластмаса, които също са рециклируеми.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39259" w14:textId="77777777" w:rsidR="000867C4" w:rsidRDefault="000867C4">
    <w:pPr>
      <w:pStyle w:val="Header"/>
    </w:pPr>
  </w:p>
  <w:tbl>
    <w:tblPr>
      <w:tblW w:w="9930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7"/>
      <w:gridCol w:w="1702"/>
      <w:gridCol w:w="3971"/>
      <w:gridCol w:w="1560"/>
    </w:tblGrid>
    <w:tr w:rsidR="000867C4" w:rsidRPr="00CE47A0" w14:paraId="5D47AB0C" w14:textId="77777777" w:rsidTr="00DA34DC">
      <w:trPr>
        <w:trHeight w:val="997"/>
        <w:tblHeader/>
        <w:jc w:val="center"/>
      </w:trPr>
      <w:tc>
        <w:tcPr>
          <w:tcW w:w="2697" w:type="dxa"/>
          <w:vMerge w:val="restart"/>
          <w:tcBorders>
            <w:top w:val="single" w:sz="4" w:space="0" w:color="auto"/>
            <w:left w:val="single" w:sz="2" w:space="0" w:color="000000"/>
            <w:right w:val="nil"/>
          </w:tcBorders>
          <w:vAlign w:val="center"/>
        </w:tcPr>
        <w:p w14:paraId="57F20785" w14:textId="77777777" w:rsidR="000867C4" w:rsidRPr="00CE47A0" w:rsidRDefault="000867C4" w:rsidP="00CE47A0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</w:rPr>
          </w:pPr>
          <w:r w:rsidRPr="00CE47A0">
            <w:rPr>
              <w:rFonts w:ascii="Times New Roman" w:eastAsia="HG Mincho Light J" w:hAnsi="Times New Roman"/>
              <w:b/>
              <w:color w:val="000000"/>
              <w:sz w:val="20"/>
            </w:rPr>
            <w:t xml:space="preserve">Министерство на </w:t>
          </w:r>
          <w:r w:rsidRPr="00982C49">
            <w:rPr>
              <w:rFonts w:ascii="Times New Roman" w:eastAsia="HG Mincho Light J" w:hAnsi="Times New Roman"/>
              <w:b/>
              <w:color w:val="000000"/>
              <w:sz w:val="20"/>
            </w:rPr>
            <w:t>иновациите и растежа</w:t>
          </w:r>
          <w:r w:rsidRPr="00982C49" w:rsidDel="00982C49">
            <w:rPr>
              <w:rFonts w:ascii="Times New Roman" w:eastAsia="HG Mincho Light J" w:hAnsi="Times New Roman"/>
              <w:b/>
              <w:color w:val="000000"/>
              <w:sz w:val="20"/>
            </w:rPr>
            <w:t xml:space="preserve"> </w:t>
          </w:r>
        </w:p>
        <w:p w14:paraId="7B175314" w14:textId="77777777" w:rsidR="000867C4" w:rsidRPr="00CE47A0" w:rsidRDefault="000867C4" w:rsidP="00CE47A0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  <w:r w:rsidRPr="00CE47A0">
            <w:rPr>
              <w:rFonts w:ascii="Times New Roman" w:eastAsia="HG Mincho Light J" w:hAnsi="Times New Roman"/>
              <w:b/>
              <w:color w:val="000000"/>
              <w:sz w:val="20"/>
            </w:rPr>
            <w:t xml:space="preserve">Главна дирекция “Европейски фондове за конкурентоспособност” – Управляващ орган на </w:t>
          </w:r>
          <w:r>
            <w:rPr>
              <w:rFonts w:ascii="Times New Roman" w:eastAsia="HG Mincho Light J" w:hAnsi="Times New Roman"/>
              <w:b/>
              <w:color w:val="000000"/>
              <w:sz w:val="20"/>
            </w:rPr>
            <w:t>ПКИП</w:t>
          </w:r>
        </w:p>
      </w:tc>
      <w:tc>
        <w:tcPr>
          <w:tcW w:w="5673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48DB1755" w14:textId="77777777" w:rsidR="000867C4" w:rsidRPr="00CE47A0" w:rsidRDefault="000867C4" w:rsidP="00CE47A0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  <w:r w:rsidRPr="00CE47A0">
            <w:rPr>
              <w:rFonts w:ascii="Times New Roman" w:eastAsia="HG Mincho Light J" w:hAnsi="Times New Roman"/>
              <w:b/>
              <w:color w:val="000000"/>
              <w:sz w:val="20"/>
            </w:rPr>
            <w:t xml:space="preserve">НАРЪЧНИК </w:t>
          </w:r>
          <w:r w:rsidRPr="00BC728D">
            <w:rPr>
              <w:rFonts w:ascii="Times New Roman" w:eastAsia="HG Mincho Light J" w:hAnsi="Times New Roman"/>
              <w:b/>
              <w:color w:val="000000"/>
              <w:sz w:val="20"/>
            </w:rPr>
            <w:t>ПО ПРОГРАМА „КОНКУРЕНТОСПОСОБНОСТ И ИНОВАЦИИ В ПРЕДПРИЯТИЯТА</w:t>
          </w:r>
          <w:r w:rsidRPr="00B17F51">
            <w:rPr>
              <w:rFonts w:ascii="Times New Roman" w:eastAsia="HG Mincho Light J" w:hAnsi="Times New Roman"/>
              <w:b/>
              <w:color w:val="000000"/>
              <w:sz w:val="20"/>
            </w:rPr>
            <w:t>|”</w:t>
          </w:r>
          <w:r w:rsidRPr="00BC728D">
            <w:rPr>
              <w:rFonts w:ascii="Times New Roman" w:eastAsia="HG Mincho Light J" w:hAnsi="Times New Roman"/>
              <w:b/>
              <w:color w:val="000000"/>
              <w:sz w:val="20"/>
            </w:rPr>
            <w:t xml:space="preserve"> ЗА ПЕРИОДА 2021-2027 Г. (ПКИП)</w:t>
          </w:r>
        </w:p>
      </w:tc>
      <w:tc>
        <w:tcPr>
          <w:tcW w:w="156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181AF578" w14:textId="62FBCFE6" w:rsidR="000867C4" w:rsidRPr="00E93A3D" w:rsidRDefault="000867C4" w:rsidP="000D420D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  <w:r w:rsidRPr="00CE47A0">
            <w:rPr>
              <w:rFonts w:ascii="Times New Roman" w:eastAsia="HG Mincho Light J" w:hAnsi="Times New Roman"/>
              <w:b/>
              <w:color w:val="000000"/>
              <w:sz w:val="20"/>
            </w:rPr>
            <w:t>Вариант</w:t>
          </w:r>
          <w:r>
            <w:rPr>
              <w:rFonts w:ascii="Times New Roman" w:eastAsia="HG Mincho Light J" w:hAnsi="Times New Roman"/>
              <w:b/>
              <w:color w:val="000000"/>
              <w:sz w:val="20"/>
            </w:rPr>
            <w:t xml:space="preserve"> 6</w:t>
          </w:r>
        </w:p>
      </w:tc>
    </w:tr>
    <w:tr w:rsidR="000867C4" w:rsidRPr="00CE47A0" w14:paraId="516B4CCF" w14:textId="77777777" w:rsidTr="00824D88">
      <w:trPr>
        <w:trHeight w:val="572"/>
        <w:jc w:val="center"/>
      </w:trPr>
      <w:tc>
        <w:tcPr>
          <w:tcW w:w="2697" w:type="dxa"/>
          <w:vMerge/>
          <w:tcBorders>
            <w:left w:val="single" w:sz="2" w:space="0" w:color="000000"/>
            <w:right w:val="nil"/>
          </w:tcBorders>
          <w:vAlign w:val="center"/>
          <w:hideMark/>
        </w:tcPr>
        <w:p w14:paraId="2179DCE1" w14:textId="77777777" w:rsidR="000867C4" w:rsidRPr="00CE47A0" w:rsidRDefault="000867C4" w:rsidP="00CE47A0">
          <w:pPr>
            <w:spacing w:after="0" w:line="240" w:lineRule="auto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</w:p>
      </w:tc>
      <w:tc>
        <w:tcPr>
          <w:tcW w:w="1702" w:type="dxa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5B1B5E55" w14:textId="77777777" w:rsidR="000867C4" w:rsidRPr="007E7D41" w:rsidRDefault="000867C4" w:rsidP="00DA34DC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</w:pPr>
          <w:r w:rsidRPr="007E7D41"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>Глава 4</w:t>
          </w:r>
        </w:p>
        <w:p w14:paraId="43FEBE5E" w14:textId="77777777" w:rsidR="000867C4" w:rsidRPr="007E7D41" w:rsidRDefault="000867C4" w:rsidP="00DA34DC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</w:pPr>
          <w:r w:rsidRPr="007E7D41"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>Приложение</w:t>
          </w:r>
        </w:p>
        <w:p w14:paraId="1ED9EDAC" w14:textId="77777777" w:rsidR="000867C4" w:rsidRPr="00CE47A0" w:rsidRDefault="000867C4" w:rsidP="00CE47A0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  <w:r w:rsidRPr="007E7D41"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>4.I.</w:t>
          </w:r>
          <w:r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>3</w:t>
          </w:r>
          <w:r w:rsidRPr="007E7D41"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>.</w:t>
          </w:r>
        </w:p>
      </w:tc>
      <w:tc>
        <w:tcPr>
          <w:tcW w:w="3971" w:type="dxa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297FAAF0" w14:textId="77777777" w:rsidR="000867C4" w:rsidRPr="007E7D41" w:rsidRDefault="000867C4" w:rsidP="00DA34DC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</w:pPr>
          <w:r w:rsidRPr="007E7D41"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 xml:space="preserve">ПРОЦЕДУРИ ЗА ПРЕДОСТАВЯНЕ НА БЕЗВЪЗМЕЗДНА ФИНАНСОВА ПОМОЩ </w:t>
          </w:r>
        </w:p>
        <w:p w14:paraId="21CD8FA8" w14:textId="77777777" w:rsidR="000867C4" w:rsidRPr="007E7D41" w:rsidRDefault="000867C4" w:rsidP="00DA34DC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</w:pPr>
        </w:p>
        <w:p w14:paraId="660CEB08" w14:textId="77777777" w:rsidR="000867C4" w:rsidRPr="007E7D41" w:rsidRDefault="000867C4" w:rsidP="00DA34DC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</w:pPr>
          <w:r w:rsidRPr="007E7D41"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 xml:space="preserve">Образец на </w:t>
          </w:r>
          <w:r w:rsidRPr="00080CE6"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>Методология</w:t>
          </w:r>
          <w:r w:rsidRPr="003C19A1"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>и критерии</w:t>
          </w:r>
          <w:r w:rsidRPr="007E7D41"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 xml:space="preserve"> за подбор на операции</w:t>
          </w:r>
        </w:p>
        <w:p w14:paraId="18A18B4B" w14:textId="77777777" w:rsidR="000867C4" w:rsidRPr="00CE47A0" w:rsidRDefault="000867C4" w:rsidP="00CE47A0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</w:p>
      </w:tc>
      <w:tc>
        <w:tcPr>
          <w:tcW w:w="1560" w:type="dxa"/>
          <w:tcBorders>
            <w:top w:val="nil"/>
            <w:left w:val="single" w:sz="2" w:space="0" w:color="000000"/>
            <w:bottom w:val="single" w:sz="4" w:space="0" w:color="auto"/>
            <w:right w:val="single" w:sz="2" w:space="0" w:color="000000"/>
          </w:tcBorders>
          <w:vAlign w:val="center"/>
          <w:hideMark/>
        </w:tcPr>
        <w:p w14:paraId="0869799E" w14:textId="524CB297" w:rsidR="000867C4" w:rsidRPr="00CE47A0" w:rsidRDefault="000867C4" w:rsidP="00CE47A0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  <w:r w:rsidRPr="00CE47A0">
            <w:rPr>
              <w:rFonts w:ascii="Times New Roman" w:eastAsia="Times New Roman" w:hAnsi="Times New Roman"/>
              <w:b/>
              <w:sz w:val="20"/>
              <w:szCs w:val="24"/>
              <w:lang w:eastAsia="bg-BG"/>
            </w:rPr>
            <w:t xml:space="preserve">страница: </w:t>
          </w:r>
          <w:r w:rsidRPr="00CE47A0">
            <w:rPr>
              <w:rFonts w:ascii="Times New Roman" w:eastAsia="Times New Roman" w:hAnsi="Times New Roman"/>
              <w:b/>
              <w:sz w:val="20"/>
              <w:szCs w:val="20"/>
              <w:lang w:val="pl-PL" w:eastAsia="pl-PL"/>
            </w:rPr>
            <w:fldChar w:fldCharType="begin"/>
          </w:r>
          <w:r w:rsidRPr="00CE47A0">
            <w:rPr>
              <w:rFonts w:ascii="Times New Roman" w:eastAsia="Times New Roman" w:hAnsi="Times New Roman"/>
              <w:b/>
              <w:sz w:val="20"/>
              <w:szCs w:val="20"/>
              <w:lang w:val="pl-PL" w:eastAsia="pl-PL"/>
            </w:rPr>
            <w:instrText xml:space="preserve"> PAGE </w:instrText>
          </w:r>
          <w:r w:rsidRPr="00CE47A0">
            <w:rPr>
              <w:rFonts w:ascii="Times New Roman" w:eastAsia="Times New Roman" w:hAnsi="Times New Roman"/>
              <w:b/>
              <w:sz w:val="20"/>
              <w:szCs w:val="20"/>
              <w:lang w:val="pl-PL" w:eastAsia="pl-PL"/>
            </w:rPr>
            <w:fldChar w:fldCharType="separate"/>
          </w:r>
          <w:r w:rsidR="007F37DC">
            <w:rPr>
              <w:rFonts w:ascii="Times New Roman" w:eastAsia="Times New Roman" w:hAnsi="Times New Roman"/>
              <w:b/>
              <w:noProof/>
              <w:sz w:val="20"/>
              <w:szCs w:val="20"/>
              <w:lang w:val="pl-PL" w:eastAsia="pl-PL"/>
            </w:rPr>
            <w:t>8</w:t>
          </w:r>
          <w:r w:rsidRPr="00CE47A0">
            <w:rPr>
              <w:rFonts w:ascii="Times New Roman" w:eastAsia="Times New Roman" w:hAnsi="Times New Roman"/>
              <w:b/>
              <w:sz w:val="20"/>
              <w:szCs w:val="20"/>
              <w:lang w:val="pl-PL" w:eastAsia="pl-PL"/>
            </w:rPr>
            <w:fldChar w:fldCharType="end"/>
          </w:r>
          <w:r w:rsidRPr="00CE47A0">
            <w:rPr>
              <w:rFonts w:ascii="Times New Roman" w:eastAsia="Times New Roman" w:hAnsi="Times New Roman"/>
              <w:b/>
              <w:sz w:val="20"/>
              <w:szCs w:val="20"/>
              <w:lang w:val="pl-PL" w:eastAsia="pl-PL"/>
            </w:rPr>
            <w:t>/</w:t>
          </w:r>
          <w:r w:rsidRPr="00CE47A0">
            <w:rPr>
              <w:rFonts w:ascii="Times New Roman" w:eastAsia="Times New Roman" w:hAnsi="Times New Roman"/>
              <w:b/>
              <w:sz w:val="20"/>
              <w:szCs w:val="20"/>
              <w:lang w:val="pl-PL" w:eastAsia="pl-PL"/>
            </w:rPr>
            <w:fldChar w:fldCharType="begin"/>
          </w:r>
          <w:r w:rsidRPr="00CE47A0">
            <w:rPr>
              <w:rFonts w:ascii="Times New Roman" w:eastAsia="Times New Roman" w:hAnsi="Times New Roman"/>
              <w:b/>
              <w:sz w:val="20"/>
              <w:szCs w:val="20"/>
              <w:lang w:val="pl-PL" w:eastAsia="pl-PL"/>
            </w:rPr>
            <w:instrText xml:space="preserve"> NUMPAGES </w:instrText>
          </w:r>
          <w:r w:rsidRPr="00CE47A0">
            <w:rPr>
              <w:rFonts w:ascii="Times New Roman" w:eastAsia="Times New Roman" w:hAnsi="Times New Roman"/>
              <w:b/>
              <w:sz w:val="20"/>
              <w:szCs w:val="20"/>
              <w:lang w:val="pl-PL" w:eastAsia="pl-PL"/>
            </w:rPr>
            <w:fldChar w:fldCharType="separate"/>
          </w:r>
          <w:r w:rsidR="007F37DC">
            <w:rPr>
              <w:rFonts w:ascii="Times New Roman" w:eastAsia="Times New Roman" w:hAnsi="Times New Roman"/>
              <w:b/>
              <w:noProof/>
              <w:sz w:val="20"/>
              <w:szCs w:val="20"/>
              <w:lang w:val="pl-PL" w:eastAsia="pl-PL"/>
            </w:rPr>
            <w:t>9</w:t>
          </w:r>
          <w:r w:rsidRPr="00CE47A0">
            <w:rPr>
              <w:rFonts w:ascii="Times New Roman" w:eastAsia="Times New Roman" w:hAnsi="Times New Roman"/>
              <w:b/>
              <w:sz w:val="20"/>
              <w:szCs w:val="20"/>
              <w:lang w:val="pl-PL" w:eastAsia="pl-PL"/>
            </w:rPr>
            <w:fldChar w:fldCharType="end"/>
          </w:r>
        </w:p>
      </w:tc>
    </w:tr>
    <w:tr w:rsidR="000867C4" w:rsidRPr="00CE47A0" w14:paraId="527CBEEC" w14:textId="77777777" w:rsidTr="00703CD6">
      <w:trPr>
        <w:trHeight w:val="256"/>
        <w:jc w:val="center"/>
      </w:trPr>
      <w:tc>
        <w:tcPr>
          <w:tcW w:w="2697" w:type="dxa"/>
          <w:vMerge/>
          <w:tcBorders>
            <w:left w:val="single" w:sz="2" w:space="0" w:color="000000"/>
            <w:right w:val="nil"/>
          </w:tcBorders>
          <w:vAlign w:val="center"/>
          <w:hideMark/>
        </w:tcPr>
        <w:p w14:paraId="1C6E73B3" w14:textId="77777777" w:rsidR="000867C4" w:rsidRPr="00CE47A0" w:rsidRDefault="000867C4" w:rsidP="00CE47A0">
          <w:pPr>
            <w:spacing w:after="0" w:line="240" w:lineRule="auto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</w:p>
      </w:tc>
      <w:tc>
        <w:tcPr>
          <w:tcW w:w="5673" w:type="dxa"/>
          <w:gridSpan w:val="2"/>
          <w:vMerge w:val="restart"/>
          <w:tcBorders>
            <w:top w:val="nil"/>
            <w:left w:val="single" w:sz="2" w:space="0" w:color="000000"/>
            <w:right w:val="single" w:sz="4" w:space="0" w:color="auto"/>
          </w:tcBorders>
          <w:vAlign w:val="center"/>
          <w:hideMark/>
        </w:tcPr>
        <w:p w14:paraId="54594CFA" w14:textId="77777777" w:rsidR="000867C4" w:rsidRPr="00CE47A0" w:rsidRDefault="000867C4" w:rsidP="00CE47A0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  <w:r w:rsidRPr="00CE47A0">
            <w:rPr>
              <w:rFonts w:ascii="Times New Roman" w:eastAsia="HG Mincho Light J" w:hAnsi="Times New Roman"/>
              <w:b/>
              <w:color w:val="000000"/>
              <w:sz w:val="20"/>
            </w:rPr>
            <w:t>Одобрен от: Ръководител на Управляващия орган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00EB0072" w14:textId="77777777" w:rsidR="000867C4" w:rsidRPr="002F121E" w:rsidRDefault="000867C4" w:rsidP="00703CD6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  <w:r w:rsidRPr="002F121E">
            <w:rPr>
              <w:rFonts w:ascii="Times New Roman" w:hAnsi="Times New Roman"/>
              <w:b/>
              <w:sz w:val="20"/>
            </w:rPr>
            <w:t>Дата:</w:t>
          </w:r>
        </w:p>
      </w:tc>
    </w:tr>
    <w:tr w:rsidR="000867C4" w:rsidRPr="00CE47A0" w14:paraId="28DC8CA0" w14:textId="77777777" w:rsidTr="00824D88">
      <w:trPr>
        <w:trHeight w:val="550"/>
        <w:jc w:val="center"/>
      </w:trPr>
      <w:tc>
        <w:tcPr>
          <w:tcW w:w="2697" w:type="dxa"/>
          <w:vMerge/>
          <w:tcBorders>
            <w:left w:val="single" w:sz="2" w:space="0" w:color="000000"/>
            <w:bottom w:val="single" w:sz="2" w:space="0" w:color="000000"/>
            <w:right w:val="nil"/>
          </w:tcBorders>
          <w:vAlign w:val="center"/>
        </w:tcPr>
        <w:p w14:paraId="16B555B4" w14:textId="77777777" w:rsidR="000867C4" w:rsidRPr="00CE47A0" w:rsidRDefault="000867C4" w:rsidP="00CE47A0">
          <w:pPr>
            <w:spacing w:after="0" w:line="240" w:lineRule="auto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</w:p>
      </w:tc>
      <w:tc>
        <w:tcPr>
          <w:tcW w:w="5673" w:type="dxa"/>
          <w:gridSpan w:val="2"/>
          <w:vMerge/>
          <w:tcBorders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</w:tcPr>
        <w:p w14:paraId="45A5A3E5" w14:textId="77777777" w:rsidR="000867C4" w:rsidRPr="00CE47A0" w:rsidRDefault="000867C4" w:rsidP="00CE47A0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</w:rPr>
          </w:pPr>
        </w:p>
      </w:tc>
      <w:tc>
        <w:tcPr>
          <w:tcW w:w="156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0D7209" w14:textId="3741B447" w:rsidR="000867C4" w:rsidRPr="002F121E" w:rsidRDefault="000867C4" w:rsidP="00A41C69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</w:rPr>
          </w:pPr>
          <w:r>
            <w:rPr>
              <w:rFonts w:ascii="Times New Roman" w:eastAsia="HG Mincho Light J" w:hAnsi="Times New Roman"/>
              <w:b/>
              <w:color w:val="000000"/>
              <w:sz w:val="20"/>
            </w:rPr>
            <w:t xml:space="preserve">ноември </w:t>
          </w:r>
          <w:r w:rsidRPr="002F121E">
            <w:rPr>
              <w:rFonts w:ascii="Times New Roman" w:hAnsi="Times New Roman"/>
              <w:b/>
              <w:sz w:val="20"/>
            </w:rPr>
            <w:t>20</w:t>
          </w:r>
          <w:r>
            <w:rPr>
              <w:rFonts w:ascii="Times New Roman" w:hAnsi="Times New Roman"/>
              <w:b/>
              <w:sz w:val="20"/>
            </w:rPr>
            <w:t>25</w:t>
          </w:r>
          <w:r w:rsidRPr="002F121E">
            <w:rPr>
              <w:rFonts w:ascii="Times New Roman" w:hAnsi="Times New Roman"/>
              <w:b/>
              <w:sz w:val="20"/>
            </w:rPr>
            <w:t xml:space="preserve"> г.</w:t>
          </w:r>
        </w:p>
      </w:tc>
    </w:tr>
  </w:tbl>
  <w:p w14:paraId="300BA94C" w14:textId="77777777" w:rsidR="000867C4" w:rsidRDefault="000867C4" w:rsidP="00CE47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7815"/>
    <w:multiLevelType w:val="hybridMultilevel"/>
    <w:tmpl w:val="EF94C5F0"/>
    <w:lvl w:ilvl="0" w:tplc="D87242FA">
      <w:start w:val="4"/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6F26A48"/>
    <w:multiLevelType w:val="hybridMultilevel"/>
    <w:tmpl w:val="A118BA46"/>
    <w:lvl w:ilvl="0" w:tplc="6AC2FB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28F3"/>
    <w:multiLevelType w:val="multilevel"/>
    <w:tmpl w:val="3B0A3CE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9E52AA"/>
    <w:multiLevelType w:val="hybridMultilevel"/>
    <w:tmpl w:val="06347D38"/>
    <w:lvl w:ilvl="0" w:tplc="ADCACD3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84D5B"/>
    <w:multiLevelType w:val="hybridMultilevel"/>
    <w:tmpl w:val="AF0853BE"/>
    <w:lvl w:ilvl="0" w:tplc="C18EFF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00985"/>
    <w:multiLevelType w:val="hybridMultilevel"/>
    <w:tmpl w:val="910CDC5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6E0903"/>
    <w:multiLevelType w:val="hybridMultilevel"/>
    <w:tmpl w:val="D3168EB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70C22"/>
    <w:multiLevelType w:val="multilevel"/>
    <w:tmpl w:val="0B7AB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5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8" w15:restartNumberingAfterBreak="0">
    <w:nsid w:val="320A6C66"/>
    <w:multiLevelType w:val="hybridMultilevel"/>
    <w:tmpl w:val="8DEC39CA"/>
    <w:lvl w:ilvl="0" w:tplc="C18EFF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B4174"/>
    <w:multiLevelType w:val="hybridMultilevel"/>
    <w:tmpl w:val="8BE415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10FF3"/>
    <w:multiLevelType w:val="hybridMultilevel"/>
    <w:tmpl w:val="AF0853BE"/>
    <w:lvl w:ilvl="0" w:tplc="C18EFF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50F9F"/>
    <w:multiLevelType w:val="hybridMultilevel"/>
    <w:tmpl w:val="3C1C5DBE"/>
    <w:lvl w:ilvl="0" w:tplc="CE5C3B4C">
      <w:start w:val="4"/>
      <w:numFmt w:val="bullet"/>
      <w:lvlText w:val="-"/>
      <w:lvlJc w:val="left"/>
      <w:pPr>
        <w:ind w:left="393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 w15:restartNumberingAfterBreak="0">
    <w:nsid w:val="401E736F"/>
    <w:multiLevelType w:val="hybridMultilevel"/>
    <w:tmpl w:val="7B583CB2"/>
    <w:lvl w:ilvl="0" w:tplc="A5B0C3B6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20257"/>
    <w:multiLevelType w:val="hybridMultilevel"/>
    <w:tmpl w:val="D0CCD9E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8774C"/>
    <w:multiLevelType w:val="hybridMultilevel"/>
    <w:tmpl w:val="F07098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A0F38"/>
    <w:multiLevelType w:val="multilevel"/>
    <w:tmpl w:val="12D83CB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952133A"/>
    <w:multiLevelType w:val="hybridMultilevel"/>
    <w:tmpl w:val="ACF8570C"/>
    <w:lvl w:ilvl="0" w:tplc="ADCACD3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55810"/>
    <w:multiLevelType w:val="hybridMultilevel"/>
    <w:tmpl w:val="394ECF3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129CC"/>
    <w:multiLevelType w:val="hybridMultilevel"/>
    <w:tmpl w:val="8940F88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B736E"/>
    <w:multiLevelType w:val="multilevel"/>
    <w:tmpl w:val="2F12252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FAD474F"/>
    <w:multiLevelType w:val="hybridMultilevel"/>
    <w:tmpl w:val="C1903BBC"/>
    <w:lvl w:ilvl="0" w:tplc="0402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27A4111"/>
    <w:multiLevelType w:val="multilevel"/>
    <w:tmpl w:val="B14ACF5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5647713"/>
    <w:multiLevelType w:val="hybridMultilevel"/>
    <w:tmpl w:val="F976D8CA"/>
    <w:lvl w:ilvl="0" w:tplc="E08E4D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565E3"/>
    <w:multiLevelType w:val="hybridMultilevel"/>
    <w:tmpl w:val="AF0853BE"/>
    <w:lvl w:ilvl="0" w:tplc="C18EFF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7493D"/>
    <w:multiLevelType w:val="multilevel"/>
    <w:tmpl w:val="F80EFC6E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8B3855"/>
    <w:multiLevelType w:val="hybridMultilevel"/>
    <w:tmpl w:val="9644536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A2961"/>
    <w:multiLevelType w:val="hybridMultilevel"/>
    <w:tmpl w:val="A6BABCAE"/>
    <w:lvl w:ilvl="0" w:tplc="4D18FD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7"/>
  </w:num>
  <w:num w:numId="4">
    <w:abstractNumId w:val="9"/>
  </w:num>
  <w:num w:numId="5">
    <w:abstractNumId w:val="20"/>
  </w:num>
  <w:num w:numId="6">
    <w:abstractNumId w:val="3"/>
  </w:num>
  <w:num w:numId="7">
    <w:abstractNumId w:val="11"/>
  </w:num>
  <w:num w:numId="8">
    <w:abstractNumId w:val="25"/>
  </w:num>
  <w:num w:numId="9">
    <w:abstractNumId w:val="19"/>
  </w:num>
  <w:num w:numId="10">
    <w:abstractNumId w:val="24"/>
  </w:num>
  <w:num w:numId="11">
    <w:abstractNumId w:val="21"/>
  </w:num>
  <w:num w:numId="12">
    <w:abstractNumId w:val="2"/>
  </w:num>
  <w:num w:numId="13">
    <w:abstractNumId w:val="15"/>
  </w:num>
  <w:num w:numId="14">
    <w:abstractNumId w:val="5"/>
  </w:num>
  <w:num w:numId="15">
    <w:abstractNumId w:val="6"/>
  </w:num>
  <w:num w:numId="16">
    <w:abstractNumId w:val="13"/>
  </w:num>
  <w:num w:numId="17">
    <w:abstractNumId w:val="14"/>
  </w:num>
  <w:num w:numId="18">
    <w:abstractNumId w:val="0"/>
  </w:num>
  <w:num w:numId="19">
    <w:abstractNumId w:val="12"/>
  </w:num>
  <w:num w:numId="20">
    <w:abstractNumId w:val="26"/>
  </w:num>
  <w:num w:numId="21">
    <w:abstractNumId w:val="1"/>
  </w:num>
  <w:num w:numId="22">
    <w:abstractNumId w:val="22"/>
  </w:num>
  <w:num w:numId="23">
    <w:abstractNumId w:val="17"/>
  </w:num>
  <w:num w:numId="24">
    <w:abstractNumId w:val="4"/>
  </w:num>
  <w:num w:numId="25">
    <w:abstractNumId w:val="8"/>
  </w:num>
  <w:num w:numId="26">
    <w:abstractNumId w:val="1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C7"/>
    <w:rsid w:val="00000648"/>
    <w:rsid w:val="00000C22"/>
    <w:rsid w:val="00004383"/>
    <w:rsid w:val="00004FFE"/>
    <w:rsid w:val="00006863"/>
    <w:rsid w:val="00007203"/>
    <w:rsid w:val="00010345"/>
    <w:rsid w:val="00010EA3"/>
    <w:rsid w:val="0001153B"/>
    <w:rsid w:val="00011852"/>
    <w:rsid w:val="00011C3A"/>
    <w:rsid w:val="00012165"/>
    <w:rsid w:val="00012F62"/>
    <w:rsid w:val="0001412C"/>
    <w:rsid w:val="00014EA6"/>
    <w:rsid w:val="00015C76"/>
    <w:rsid w:val="00017177"/>
    <w:rsid w:val="0002222B"/>
    <w:rsid w:val="00026B56"/>
    <w:rsid w:val="00027182"/>
    <w:rsid w:val="00027AA8"/>
    <w:rsid w:val="00027E10"/>
    <w:rsid w:val="00031296"/>
    <w:rsid w:val="000336B4"/>
    <w:rsid w:val="00033E66"/>
    <w:rsid w:val="00034DB6"/>
    <w:rsid w:val="0003552D"/>
    <w:rsid w:val="00036113"/>
    <w:rsid w:val="000363DF"/>
    <w:rsid w:val="00036973"/>
    <w:rsid w:val="00036D5F"/>
    <w:rsid w:val="00040A88"/>
    <w:rsid w:val="000427BD"/>
    <w:rsid w:val="000437DD"/>
    <w:rsid w:val="00045AA7"/>
    <w:rsid w:val="00047AF9"/>
    <w:rsid w:val="00047CF9"/>
    <w:rsid w:val="00050AAD"/>
    <w:rsid w:val="000544F4"/>
    <w:rsid w:val="00057463"/>
    <w:rsid w:val="000602CB"/>
    <w:rsid w:val="00061F19"/>
    <w:rsid w:val="0006667C"/>
    <w:rsid w:val="000676D8"/>
    <w:rsid w:val="00072302"/>
    <w:rsid w:val="000725F8"/>
    <w:rsid w:val="00073A79"/>
    <w:rsid w:val="00073F45"/>
    <w:rsid w:val="000744F0"/>
    <w:rsid w:val="00074AEC"/>
    <w:rsid w:val="00077DFC"/>
    <w:rsid w:val="00080CE6"/>
    <w:rsid w:val="00081FB6"/>
    <w:rsid w:val="00082811"/>
    <w:rsid w:val="000841D5"/>
    <w:rsid w:val="000847C1"/>
    <w:rsid w:val="00084D48"/>
    <w:rsid w:val="00084D5E"/>
    <w:rsid w:val="000867C4"/>
    <w:rsid w:val="000869D2"/>
    <w:rsid w:val="000907D3"/>
    <w:rsid w:val="00092071"/>
    <w:rsid w:val="00094455"/>
    <w:rsid w:val="00094BA3"/>
    <w:rsid w:val="00095132"/>
    <w:rsid w:val="000968E2"/>
    <w:rsid w:val="000971E1"/>
    <w:rsid w:val="00097310"/>
    <w:rsid w:val="000979A7"/>
    <w:rsid w:val="00097D8B"/>
    <w:rsid w:val="000A172C"/>
    <w:rsid w:val="000A25F3"/>
    <w:rsid w:val="000A4EEC"/>
    <w:rsid w:val="000A7618"/>
    <w:rsid w:val="000A79AA"/>
    <w:rsid w:val="000B05D9"/>
    <w:rsid w:val="000B1FF4"/>
    <w:rsid w:val="000B5BAE"/>
    <w:rsid w:val="000B6377"/>
    <w:rsid w:val="000B6B8C"/>
    <w:rsid w:val="000B71BF"/>
    <w:rsid w:val="000C3969"/>
    <w:rsid w:val="000C405D"/>
    <w:rsid w:val="000C4333"/>
    <w:rsid w:val="000C43FF"/>
    <w:rsid w:val="000C5451"/>
    <w:rsid w:val="000C5E7E"/>
    <w:rsid w:val="000C6516"/>
    <w:rsid w:val="000C6C33"/>
    <w:rsid w:val="000C7ACC"/>
    <w:rsid w:val="000D25ED"/>
    <w:rsid w:val="000D36C1"/>
    <w:rsid w:val="000D3E7C"/>
    <w:rsid w:val="000D420D"/>
    <w:rsid w:val="000D54E3"/>
    <w:rsid w:val="000D641A"/>
    <w:rsid w:val="000D69EE"/>
    <w:rsid w:val="000D76C3"/>
    <w:rsid w:val="000E2443"/>
    <w:rsid w:val="000E2C34"/>
    <w:rsid w:val="000E3810"/>
    <w:rsid w:val="000E43CB"/>
    <w:rsid w:val="000E5C92"/>
    <w:rsid w:val="000E5FA1"/>
    <w:rsid w:val="000E5FB2"/>
    <w:rsid w:val="000E66CC"/>
    <w:rsid w:val="000E79E5"/>
    <w:rsid w:val="000F04F8"/>
    <w:rsid w:val="000F15EE"/>
    <w:rsid w:val="000F33C7"/>
    <w:rsid w:val="000F3416"/>
    <w:rsid w:val="000F465B"/>
    <w:rsid w:val="000F6F67"/>
    <w:rsid w:val="000F7E5C"/>
    <w:rsid w:val="00100641"/>
    <w:rsid w:val="00102DB1"/>
    <w:rsid w:val="00102F33"/>
    <w:rsid w:val="001043A9"/>
    <w:rsid w:val="0010456D"/>
    <w:rsid w:val="00105191"/>
    <w:rsid w:val="0010687E"/>
    <w:rsid w:val="00107CE4"/>
    <w:rsid w:val="0011016C"/>
    <w:rsid w:val="00112452"/>
    <w:rsid w:val="00112F8B"/>
    <w:rsid w:val="0011489D"/>
    <w:rsid w:val="00114D6C"/>
    <w:rsid w:val="0011554A"/>
    <w:rsid w:val="00116ECA"/>
    <w:rsid w:val="0011700C"/>
    <w:rsid w:val="001178E2"/>
    <w:rsid w:val="00117D40"/>
    <w:rsid w:val="001207DA"/>
    <w:rsid w:val="00121244"/>
    <w:rsid w:val="00125D87"/>
    <w:rsid w:val="00126247"/>
    <w:rsid w:val="0012644F"/>
    <w:rsid w:val="001267D0"/>
    <w:rsid w:val="0012693D"/>
    <w:rsid w:val="00126D14"/>
    <w:rsid w:val="0013645A"/>
    <w:rsid w:val="00141505"/>
    <w:rsid w:val="00141E9B"/>
    <w:rsid w:val="00142107"/>
    <w:rsid w:val="0014252E"/>
    <w:rsid w:val="00142BA3"/>
    <w:rsid w:val="00143AEA"/>
    <w:rsid w:val="00143EC4"/>
    <w:rsid w:val="0014404C"/>
    <w:rsid w:val="001442E4"/>
    <w:rsid w:val="00145849"/>
    <w:rsid w:val="0014692E"/>
    <w:rsid w:val="00146D3F"/>
    <w:rsid w:val="00150B6F"/>
    <w:rsid w:val="001533C4"/>
    <w:rsid w:val="0015387E"/>
    <w:rsid w:val="001556C3"/>
    <w:rsid w:val="001561A9"/>
    <w:rsid w:val="00156951"/>
    <w:rsid w:val="00156C42"/>
    <w:rsid w:val="001573F9"/>
    <w:rsid w:val="00163113"/>
    <w:rsid w:val="00163325"/>
    <w:rsid w:val="001637B3"/>
    <w:rsid w:val="00164121"/>
    <w:rsid w:val="001646B2"/>
    <w:rsid w:val="00165F00"/>
    <w:rsid w:val="00166CEC"/>
    <w:rsid w:val="00170308"/>
    <w:rsid w:val="00173A5F"/>
    <w:rsid w:val="0017606B"/>
    <w:rsid w:val="001803DD"/>
    <w:rsid w:val="001811C4"/>
    <w:rsid w:val="00182A16"/>
    <w:rsid w:val="00185E1C"/>
    <w:rsid w:val="00186835"/>
    <w:rsid w:val="00190518"/>
    <w:rsid w:val="001920CE"/>
    <w:rsid w:val="00192610"/>
    <w:rsid w:val="001936E5"/>
    <w:rsid w:val="00193EDE"/>
    <w:rsid w:val="0019488B"/>
    <w:rsid w:val="001975FE"/>
    <w:rsid w:val="001A11C8"/>
    <w:rsid w:val="001A192E"/>
    <w:rsid w:val="001A3E15"/>
    <w:rsid w:val="001A4156"/>
    <w:rsid w:val="001A45F9"/>
    <w:rsid w:val="001A6E3E"/>
    <w:rsid w:val="001A7D1B"/>
    <w:rsid w:val="001B0676"/>
    <w:rsid w:val="001B0E9D"/>
    <w:rsid w:val="001B26B8"/>
    <w:rsid w:val="001B4396"/>
    <w:rsid w:val="001B53A4"/>
    <w:rsid w:val="001B5B38"/>
    <w:rsid w:val="001B6B5B"/>
    <w:rsid w:val="001B713E"/>
    <w:rsid w:val="001C5AFB"/>
    <w:rsid w:val="001C5E94"/>
    <w:rsid w:val="001C63EE"/>
    <w:rsid w:val="001C78C1"/>
    <w:rsid w:val="001D1392"/>
    <w:rsid w:val="001D3219"/>
    <w:rsid w:val="001E0ECE"/>
    <w:rsid w:val="001E1F7D"/>
    <w:rsid w:val="001E3579"/>
    <w:rsid w:val="001E36F9"/>
    <w:rsid w:val="001E4781"/>
    <w:rsid w:val="001E4EF9"/>
    <w:rsid w:val="001E5826"/>
    <w:rsid w:val="001E59E1"/>
    <w:rsid w:val="001E5A52"/>
    <w:rsid w:val="001E5DA2"/>
    <w:rsid w:val="001E60AF"/>
    <w:rsid w:val="001F0100"/>
    <w:rsid w:val="001F2ADA"/>
    <w:rsid w:val="001F34A5"/>
    <w:rsid w:val="002025B9"/>
    <w:rsid w:val="00204904"/>
    <w:rsid w:val="00205063"/>
    <w:rsid w:val="0020562A"/>
    <w:rsid w:val="00206F5B"/>
    <w:rsid w:val="0020767C"/>
    <w:rsid w:val="00210A98"/>
    <w:rsid w:val="00211AB8"/>
    <w:rsid w:val="002141AB"/>
    <w:rsid w:val="002144CE"/>
    <w:rsid w:val="00216EEE"/>
    <w:rsid w:val="002222D5"/>
    <w:rsid w:val="002249E5"/>
    <w:rsid w:val="0022684B"/>
    <w:rsid w:val="00227963"/>
    <w:rsid w:val="0022796E"/>
    <w:rsid w:val="002320BA"/>
    <w:rsid w:val="002321FA"/>
    <w:rsid w:val="002337CD"/>
    <w:rsid w:val="00233D10"/>
    <w:rsid w:val="0023731B"/>
    <w:rsid w:val="00241BD0"/>
    <w:rsid w:val="00243703"/>
    <w:rsid w:val="00243ECA"/>
    <w:rsid w:val="0024501F"/>
    <w:rsid w:val="002469E4"/>
    <w:rsid w:val="00246AC8"/>
    <w:rsid w:val="0025262A"/>
    <w:rsid w:val="00253577"/>
    <w:rsid w:val="002547AA"/>
    <w:rsid w:val="00254891"/>
    <w:rsid w:val="00254EF1"/>
    <w:rsid w:val="002571FE"/>
    <w:rsid w:val="002574FA"/>
    <w:rsid w:val="00262A8D"/>
    <w:rsid w:val="00262C0B"/>
    <w:rsid w:val="00263074"/>
    <w:rsid w:val="00264499"/>
    <w:rsid w:val="002674FF"/>
    <w:rsid w:val="00267700"/>
    <w:rsid w:val="00267F3E"/>
    <w:rsid w:val="00271344"/>
    <w:rsid w:val="00274C69"/>
    <w:rsid w:val="00274F0C"/>
    <w:rsid w:val="002769CD"/>
    <w:rsid w:val="00276B6C"/>
    <w:rsid w:val="002800FA"/>
    <w:rsid w:val="00280EE5"/>
    <w:rsid w:val="00282634"/>
    <w:rsid w:val="00286726"/>
    <w:rsid w:val="002868DE"/>
    <w:rsid w:val="002878B6"/>
    <w:rsid w:val="00287C8D"/>
    <w:rsid w:val="0029038A"/>
    <w:rsid w:val="002910A9"/>
    <w:rsid w:val="0029208F"/>
    <w:rsid w:val="00292181"/>
    <w:rsid w:val="00292FC3"/>
    <w:rsid w:val="0029322B"/>
    <w:rsid w:val="00293816"/>
    <w:rsid w:val="002A1C86"/>
    <w:rsid w:val="002A1DD2"/>
    <w:rsid w:val="002A5602"/>
    <w:rsid w:val="002A5C03"/>
    <w:rsid w:val="002A669B"/>
    <w:rsid w:val="002B23BA"/>
    <w:rsid w:val="002B2785"/>
    <w:rsid w:val="002B383A"/>
    <w:rsid w:val="002B4F23"/>
    <w:rsid w:val="002B516B"/>
    <w:rsid w:val="002C13B1"/>
    <w:rsid w:val="002C2139"/>
    <w:rsid w:val="002C2CDB"/>
    <w:rsid w:val="002C2F9F"/>
    <w:rsid w:val="002C553A"/>
    <w:rsid w:val="002C68E3"/>
    <w:rsid w:val="002C6E27"/>
    <w:rsid w:val="002D1211"/>
    <w:rsid w:val="002D163A"/>
    <w:rsid w:val="002D1C67"/>
    <w:rsid w:val="002D714B"/>
    <w:rsid w:val="002E03CD"/>
    <w:rsid w:val="002E0E01"/>
    <w:rsid w:val="002E1BBB"/>
    <w:rsid w:val="002E2C33"/>
    <w:rsid w:val="002E31E1"/>
    <w:rsid w:val="002E3ED8"/>
    <w:rsid w:val="002E3FA8"/>
    <w:rsid w:val="002E65B3"/>
    <w:rsid w:val="002E7081"/>
    <w:rsid w:val="002E75D2"/>
    <w:rsid w:val="002F121E"/>
    <w:rsid w:val="002F2C2E"/>
    <w:rsid w:val="002F350E"/>
    <w:rsid w:val="002F6DA6"/>
    <w:rsid w:val="002F6F83"/>
    <w:rsid w:val="0030318A"/>
    <w:rsid w:val="003031B9"/>
    <w:rsid w:val="00307E19"/>
    <w:rsid w:val="0031175E"/>
    <w:rsid w:val="003127D2"/>
    <w:rsid w:val="003130AD"/>
    <w:rsid w:val="00314CD7"/>
    <w:rsid w:val="00315408"/>
    <w:rsid w:val="00316C26"/>
    <w:rsid w:val="00317509"/>
    <w:rsid w:val="003208CF"/>
    <w:rsid w:val="00323030"/>
    <w:rsid w:val="00323860"/>
    <w:rsid w:val="00323A57"/>
    <w:rsid w:val="00324A77"/>
    <w:rsid w:val="00325D66"/>
    <w:rsid w:val="00326200"/>
    <w:rsid w:val="00326EAE"/>
    <w:rsid w:val="003277A0"/>
    <w:rsid w:val="00327A71"/>
    <w:rsid w:val="00330C0A"/>
    <w:rsid w:val="00331961"/>
    <w:rsid w:val="00331EE1"/>
    <w:rsid w:val="003332BB"/>
    <w:rsid w:val="00334801"/>
    <w:rsid w:val="0033721D"/>
    <w:rsid w:val="0033794F"/>
    <w:rsid w:val="00337C0D"/>
    <w:rsid w:val="003416E9"/>
    <w:rsid w:val="0034325B"/>
    <w:rsid w:val="00343E62"/>
    <w:rsid w:val="00345085"/>
    <w:rsid w:val="003506D3"/>
    <w:rsid w:val="0035291F"/>
    <w:rsid w:val="00353A92"/>
    <w:rsid w:val="00353E30"/>
    <w:rsid w:val="00353E54"/>
    <w:rsid w:val="00356764"/>
    <w:rsid w:val="00361867"/>
    <w:rsid w:val="00362A2D"/>
    <w:rsid w:val="00363C3D"/>
    <w:rsid w:val="003648DE"/>
    <w:rsid w:val="003654D7"/>
    <w:rsid w:val="00371673"/>
    <w:rsid w:val="00372219"/>
    <w:rsid w:val="00372BAB"/>
    <w:rsid w:val="00372DBD"/>
    <w:rsid w:val="00373513"/>
    <w:rsid w:val="003751FB"/>
    <w:rsid w:val="003753FE"/>
    <w:rsid w:val="003757AF"/>
    <w:rsid w:val="00375A1E"/>
    <w:rsid w:val="00375CB5"/>
    <w:rsid w:val="0037629B"/>
    <w:rsid w:val="003762C6"/>
    <w:rsid w:val="00376474"/>
    <w:rsid w:val="0037728D"/>
    <w:rsid w:val="003818BB"/>
    <w:rsid w:val="003819FD"/>
    <w:rsid w:val="00381ACB"/>
    <w:rsid w:val="00384549"/>
    <w:rsid w:val="00384E26"/>
    <w:rsid w:val="00385CD6"/>
    <w:rsid w:val="0038606B"/>
    <w:rsid w:val="00387172"/>
    <w:rsid w:val="00387439"/>
    <w:rsid w:val="00387E4E"/>
    <w:rsid w:val="00390499"/>
    <w:rsid w:val="00393951"/>
    <w:rsid w:val="00393D34"/>
    <w:rsid w:val="00394C13"/>
    <w:rsid w:val="00394DE9"/>
    <w:rsid w:val="00397E3F"/>
    <w:rsid w:val="003A3ED5"/>
    <w:rsid w:val="003A431C"/>
    <w:rsid w:val="003A4694"/>
    <w:rsid w:val="003A513F"/>
    <w:rsid w:val="003A6106"/>
    <w:rsid w:val="003A6DD1"/>
    <w:rsid w:val="003A7779"/>
    <w:rsid w:val="003B0CB9"/>
    <w:rsid w:val="003B5E7E"/>
    <w:rsid w:val="003B65D3"/>
    <w:rsid w:val="003C153A"/>
    <w:rsid w:val="003C19A1"/>
    <w:rsid w:val="003C1B4F"/>
    <w:rsid w:val="003C1FE6"/>
    <w:rsid w:val="003C33CE"/>
    <w:rsid w:val="003C34A1"/>
    <w:rsid w:val="003C3780"/>
    <w:rsid w:val="003C5EC1"/>
    <w:rsid w:val="003C5ECC"/>
    <w:rsid w:val="003C7558"/>
    <w:rsid w:val="003D21DA"/>
    <w:rsid w:val="003D3840"/>
    <w:rsid w:val="003D6EEE"/>
    <w:rsid w:val="003D7667"/>
    <w:rsid w:val="003E13FD"/>
    <w:rsid w:val="003E3556"/>
    <w:rsid w:val="003E3A7C"/>
    <w:rsid w:val="003E4185"/>
    <w:rsid w:val="003E497A"/>
    <w:rsid w:val="003E6419"/>
    <w:rsid w:val="003E6741"/>
    <w:rsid w:val="003E6F87"/>
    <w:rsid w:val="003E7709"/>
    <w:rsid w:val="003F0B51"/>
    <w:rsid w:val="003F0DF8"/>
    <w:rsid w:val="003F36C4"/>
    <w:rsid w:val="003F410D"/>
    <w:rsid w:val="003F4326"/>
    <w:rsid w:val="003F4643"/>
    <w:rsid w:val="003F4A40"/>
    <w:rsid w:val="003F5307"/>
    <w:rsid w:val="003F55AE"/>
    <w:rsid w:val="003F5FC2"/>
    <w:rsid w:val="00401898"/>
    <w:rsid w:val="00403F21"/>
    <w:rsid w:val="00405AF9"/>
    <w:rsid w:val="00413176"/>
    <w:rsid w:val="004149E6"/>
    <w:rsid w:val="00415018"/>
    <w:rsid w:val="004175C5"/>
    <w:rsid w:val="00420057"/>
    <w:rsid w:val="00420EB9"/>
    <w:rsid w:val="00421CAE"/>
    <w:rsid w:val="00423642"/>
    <w:rsid w:val="00427632"/>
    <w:rsid w:val="00430D01"/>
    <w:rsid w:val="00432B37"/>
    <w:rsid w:val="00432E6A"/>
    <w:rsid w:val="0043411C"/>
    <w:rsid w:val="0043430F"/>
    <w:rsid w:val="00434E85"/>
    <w:rsid w:val="00436A21"/>
    <w:rsid w:val="00436D4E"/>
    <w:rsid w:val="00441619"/>
    <w:rsid w:val="004459C8"/>
    <w:rsid w:val="004535D6"/>
    <w:rsid w:val="00453C2A"/>
    <w:rsid w:val="00454E7F"/>
    <w:rsid w:val="00455558"/>
    <w:rsid w:val="00455A8E"/>
    <w:rsid w:val="004567F3"/>
    <w:rsid w:val="00456B8E"/>
    <w:rsid w:val="00462AC7"/>
    <w:rsid w:val="00463236"/>
    <w:rsid w:val="004661F9"/>
    <w:rsid w:val="00466888"/>
    <w:rsid w:val="00470C4F"/>
    <w:rsid w:val="0047116A"/>
    <w:rsid w:val="00472378"/>
    <w:rsid w:val="00472753"/>
    <w:rsid w:val="00475193"/>
    <w:rsid w:val="00476137"/>
    <w:rsid w:val="00477056"/>
    <w:rsid w:val="004774EF"/>
    <w:rsid w:val="00480240"/>
    <w:rsid w:val="0048051A"/>
    <w:rsid w:val="0048177C"/>
    <w:rsid w:val="004834C7"/>
    <w:rsid w:val="004846C7"/>
    <w:rsid w:val="00485F69"/>
    <w:rsid w:val="0048609E"/>
    <w:rsid w:val="0048653A"/>
    <w:rsid w:val="00486F16"/>
    <w:rsid w:val="004906AE"/>
    <w:rsid w:val="00494A4A"/>
    <w:rsid w:val="00494B82"/>
    <w:rsid w:val="004962FD"/>
    <w:rsid w:val="004967B5"/>
    <w:rsid w:val="00496B64"/>
    <w:rsid w:val="00496F57"/>
    <w:rsid w:val="004A0E16"/>
    <w:rsid w:val="004A1D55"/>
    <w:rsid w:val="004A6FAD"/>
    <w:rsid w:val="004A7346"/>
    <w:rsid w:val="004B50AF"/>
    <w:rsid w:val="004B5212"/>
    <w:rsid w:val="004B60F4"/>
    <w:rsid w:val="004B77FD"/>
    <w:rsid w:val="004B7A2A"/>
    <w:rsid w:val="004C181A"/>
    <w:rsid w:val="004C24EB"/>
    <w:rsid w:val="004C2D7E"/>
    <w:rsid w:val="004C3EB1"/>
    <w:rsid w:val="004C7730"/>
    <w:rsid w:val="004D034D"/>
    <w:rsid w:val="004D186D"/>
    <w:rsid w:val="004D36AC"/>
    <w:rsid w:val="004D417A"/>
    <w:rsid w:val="004D4E4C"/>
    <w:rsid w:val="004D5DB7"/>
    <w:rsid w:val="004D636E"/>
    <w:rsid w:val="004D6CB6"/>
    <w:rsid w:val="004D769A"/>
    <w:rsid w:val="004E1548"/>
    <w:rsid w:val="004E1C52"/>
    <w:rsid w:val="004E23DC"/>
    <w:rsid w:val="004E25D7"/>
    <w:rsid w:val="004E27B4"/>
    <w:rsid w:val="004E28D5"/>
    <w:rsid w:val="004E29F3"/>
    <w:rsid w:val="004E406F"/>
    <w:rsid w:val="004E4884"/>
    <w:rsid w:val="004E4C18"/>
    <w:rsid w:val="004E5CA4"/>
    <w:rsid w:val="004E64FC"/>
    <w:rsid w:val="004E7641"/>
    <w:rsid w:val="004F2133"/>
    <w:rsid w:val="004F2257"/>
    <w:rsid w:val="004F2681"/>
    <w:rsid w:val="004F2954"/>
    <w:rsid w:val="004F2C09"/>
    <w:rsid w:val="004F2F7B"/>
    <w:rsid w:val="004F3EB9"/>
    <w:rsid w:val="004F48BD"/>
    <w:rsid w:val="004F5404"/>
    <w:rsid w:val="004F7E6A"/>
    <w:rsid w:val="00502C62"/>
    <w:rsid w:val="0050361B"/>
    <w:rsid w:val="0050538C"/>
    <w:rsid w:val="00505F05"/>
    <w:rsid w:val="00511A54"/>
    <w:rsid w:val="005120AB"/>
    <w:rsid w:val="0051439B"/>
    <w:rsid w:val="0051767E"/>
    <w:rsid w:val="00517A5C"/>
    <w:rsid w:val="00522D09"/>
    <w:rsid w:val="005236D7"/>
    <w:rsid w:val="005241A6"/>
    <w:rsid w:val="005249B7"/>
    <w:rsid w:val="00527331"/>
    <w:rsid w:val="00527DB1"/>
    <w:rsid w:val="0053035F"/>
    <w:rsid w:val="0053162D"/>
    <w:rsid w:val="00534376"/>
    <w:rsid w:val="00534DFF"/>
    <w:rsid w:val="00535872"/>
    <w:rsid w:val="00535BBA"/>
    <w:rsid w:val="00540ECC"/>
    <w:rsid w:val="0054283E"/>
    <w:rsid w:val="005434FF"/>
    <w:rsid w:val="00545439"/>
    <w:rsid w:val="00547F8B"/>
    <w:rsid w:val="00550D7B"/>
    <w:rsid w:val="00551722"/>
    <w:rsid w:val="005526AD"/>
    <w:rsid w:val="005536AF"/>
    <w:rsid w:val="00553EBF"/>
    <w:rsid w:val="00554494"/>
    <w:rsid w:val="00555AC4"/>
    <w:rsid w:val="005579A0"/>
    <w:rsid w:val="005623AC"/>
    <w:rsid w:val="0056240C"/>
    <w:rsid w:val="00563187"/>
    <w:rsid w:val="00563243"/>
    <w:rsid w:val="005653FD"/>
    <w:rsid w:val="0056642D"/>
    <w:rsid w:val="00566BED"/>
    <w:rsid w:val="0056702C"/>
    <w:rsid w:val="005679E3"/>
    <w:rsid w:val="00571088"/>
    <w:rsid w:val="00572947"/>
    <w:rsid w:val="00572F0B"/>
    <w:rsid w:val="00574C21"/>
    <w:rsid w:val="00576698"/>
    <w:rsid w:val="00580DAE"/>
    <w:rsid w:val="0058182E"/>
    <w:rsid w:val="00581A18"/>
    <w:rsid w:val="00583C85"/>
    <w:rsid w:val="005843A9"/>
    <w:rsid w:val="005844A7"/>
    <w:rsid w:val="00586499"/>
    <w:rsid w:val="0059012A"/>
    <w:rsid w:val="00593421"/>
    <w:rsid w:val="00595642"/>
    <w:rsid w:val="00597006"/>
    <w:rsid w:val="0059745A"/>
    <w:rsid w:val="005A1F79"/>
    <w:rsid w:val="005A2DC6"/>
    <w:rsid w:val="005A3426"/>
    <w:rsid w:val="005A3FDD"/>
    <w:rsid w:val="005A72AE"/>
    <w:rsid w:val="005A7954"/>
    <w:rsid w:val="005B00D6"/>
    <w:rsid w:val="005B0CC3"/>
    <w:rsid w:val="005B155C"/>
    <w:rsid w:val="005B1C43"/>
    <w:rsid w:val="005B2CA9"/>
    <w:rsid w:val="005C0E9E"/>
    <w:rsid w:val="005C14C4"/>
    <w:rsid w:val="005C1BAE"/>
    <w:rsid w:val="005C253B"/>
    <w:rsid w:val="005C6204"/>
    <w:rsid w:val="005C6F6F"/>
    <w:rsid w:val="005D0678"/>
    <w:rsid w:val="005D0AB8"/>
    <w:rsid w:val="005D20E0"/>
    <w:rsid w:val="005D3563"/>
    <w:rsid w:val="005D3818"/>
    <w:rsid w:val="005D38EF"/>
    <w:rsid w:val="005D6086"/>
    <w:rsid w:val="005D60E2"/>
    <w:rsid w:val="005D6C94"/>
    <w:rsid w:val="005D7497"/>
    <w:rsid w:val="005D7CC1"/>
    <w:rsid w:val="005E0650"/>
    <w:rsid w:val="005E0988"/>
    <w:rsid w:val="005E13F5"/>
    <w:rsid w:val="005E43B8"/>
    <w:rsid w:val="005E6E50"/>
    <w:rsid w:val="005E79DB"/>
    <w:rsid w:val="005F16B6"/>
    <w:rsid w:val="005F2E35"/>
    <w:rsid w:val="005F476F"/>
    <w:rsid w:val="005F71ED"/>
    <w:rsid w:val="00600A9F"/>
    <w:rsid w:val="00601A00"/>
    <w:rsid w:val="00602B64"/>
    <w:rsid w:val="00605D29"/>
    <w:rsid w:val="00612AA7"/>
    <w:rsid w:val="00613773"/>
    <w:rsid w:val="006168E3"/>
    <w:rsid w:val="006179AC"/>
    <w:rsid w:val="006232BA"/>
    <w:rsid w:val="006238F1"/>
    <w:rsid w:val="00624567"/>
    <w:rsid w:val="00624DE1"/>
    <w:rsid w:val="00626051"/>
    <w:rsid w:val="0063259F"/>
    <w:rsid w:val="0063312B"/>
    <w:rsid w:val="006334C0"/>
    <w:rsid w:val="0063470C"/>
    <w:rsid w:val="00634F0B"/>
    <w:rsid w:val="00637872"/>
    <w:rsid w:val="00640527"/>
    <w:rsid w:val="00641705"/>
    <w:rsid w:val="006422D6"/>
    <w:rsid w:val="00643E2C"/>
    <w:rsid w:val="00644E14"/>
    <w:rsid w:val="006466A1"/>
    <w:rsid w:val="006468D0"/>
    <w:rsid w:val="006505C3"/>
    <w:rsid w:val="0065133E"/>
    <w:rsid w:val="0065173C"/>
    <w:rsid w:val="00651A62"/>
    <w:rsid w:val="00652704"/>
    <w:rsid w:val="00652983"/>
    <w:rsid w:val="00652AF9"/>
    <w:rsid w:val="0065417D"/>
    <w:rsid w:val="0065449B"/>
    <w:rsid w:val="00654740"/>
    <w:rsid w:val="00654EF7"/>
    <w:rsid w:val="00655EEF"/>
    <w:rsid w:val="0065647B"/>
    <w:rsid w:val="006567E6"/>
    <w:rsid w:val="00656C7C"/>
    <w:rsid w:val="00662362"/>
    <w:rsid w:val="006628F4"/>
    <w:rsid w:val="0066340A"/>
    <w:rsid w:val="00671BF0"/>
    <w:rsid w:val="00674979"/>
    <w:rsid w:val="00675DEC"/>
    <w:rsid w:val="00677688"/>
    <w:rsid w:val="00680576"/>
    <w:rsid w:val="00683166"/>
    <w:rsid w:val="0068399A"/>
    <w:rsid w:val="006879D3"/>
    <w:rsid w:val="00687ACD"/>
    <w:rsid w:val="0069188B"/>
    <w:rsid w:val="006924FC"/>
    <w:rsid w:val="006925BD"/>
    <w:rsid w:val="006926D3"/>
    <w:rsid w:val="00694418"/>
    <w:rsid w:val="006945D9"/>
    <w:rsid w:val="00696BEC"/>
    <w:rsid w:val="006A03FF"/>
    <w:rsid w:val="006A2467"/>
    <w:rsid w:val="006A5382"/>
    <w:rsid w:val="006A55AE"/>
    <w:rsid w:val="006A7BA1"/>
    <w:rsid w:val="006B0318"/>
    <w:rsid w:val="006B07DF"/>
    <w:rsid w:val="006B156F"/>
    <w:rsid w:val="006B2020"/>
    <w:rsid w:val="006B6DDF"/>
    <w:rsid w:val="006C2974"/>
    <w:rsid w:val="006C3AE3"/>
    <w:rsid w:val="006D14E1"/>
    <w:rsid w:val="006D40C0"/>
    <w:rsid w:val="006D468F"/>
    <w:rsid w:val="006D56D6"/>
    <w:rsid w:val="006D629E"/>
    <w:rsid w:val="006D73E8"/>
    <w:rsid w:val="006E29EA"/>
    <w:rsid w:val="006E3D0D"/>
    <w:rsid w:val="006E3E3F"/>
    <w:rsid w:val="006E4E85"/>
    <w:rsid w:val="006E57B0"/>
    <w:rsid w:val="006E78F8"/>
    <w:rsid w:val="006F1AE4"/>
    <w:rsid w:val="006F33E1"/>
    <w:rsid w:val="006F3DC2"/>
    <w:rsid w:val="006F5A23"/>
    <w:rsid w:val="007008B1"/>
    <w:rsid w:val="007013E0"/>
    <w:rsid w:val="0070181B"/>
    <w:rsid w:val="00701873"/>
    <w:rsid w:val="0070241D"/>
    <w:rsid w:val="00703BD0"/>
    <w:rsid w:val="00703CD6"/>
    <w:rsid w:val="00712AA3"/>
    <w:rsid w:val="007143C8"/>
    <w:rsid w:val="007143D8"/>
    <w:rsid w:val="00714CD5"/>
    <w:rsid w:val="00715890"/>
    <w:rsid w:val="0071632A"/>
    <w:rsid w:val="007174DA"/>
    <w:rsid w:val="00717FD3"/>
    <w:rsid w:val="007202EC"/>
    <w:rsid w:val="007215E6"/>
    <w:rsid w:val="0072288E"/>
    <w:rsid w:val="00724730"/>
    <w:rsid w:val="00724CD1"/>
    <w:rsid w:val="007250DA"/>
    <w:rsid w:val="00726D42"/>
    <w:rsid w:val="00736CE7"/>
    <w:rsid w:val="00737408"/>
    <w:rsid w:val="00737A67"/>
    <w:rsid w:val="0074080E"/>
    <w:rsid w:val="00740873"/>
    <w:rsid w:val="00740FE1"/>
    <w:rsid w:val="00742181"/>
    <w:rsid w:val="00744E0D"/>
    <w:rsid w:val="00745F1F"/>
    <w:rsid w:val="00750AD3"/>
    <w:rsid w:val="007515E9"/>
    <w:rsid w:val="00751F74"/>
    <w:rsid w:val="00752DD5"/>
    <w:rsid w:val="00753A6C"/>
    <w:rsid w:val="007558FD"/>
    <w:rsid w:val="00755980"/>
    <w:rsid w:val="00756F11"/>
    <w:rsid w:val="00757371"/>
    <w:rsid w:val="00760A9D"/>
    <w:rsid w:val="00760F25"/>
    <w:rsid w:val="00760FB9"/>
    <w:rsid w:val="00761D73"/>
    <w:rsid w:val="0076282F"/>
    <w:rsid w:val="007628DE"/>
    <w:rsid w:val="00762E2F"/>
    <w:rsid w:val="00763244"/>
    <w:rsid w:val="00764EBF"/>
    <w:rsid w:val="0076643E"/>
    <w:rsid w:val="0077037B"/>
    <w:rsid w:val="00770DA4"/>
    <w:rsid w:val="007722C6"/>
    <w:rsid w:val="0077542A"/>
    <w:rsid w:val="00776BAE"/>
    <w:rsid w:val="00777D79"/>
    <w:rsid w:val="00781725"/>
    <w:rsid w:val="00781BC9"/>
    <w:rsid w:val="0078279B"/>
    <w:rsid w:val="00784039"/>
    <w:rsid w:val="00785766"/>
    <w:rsid w:val="00787041"/>
    <w:rsid w:val="007904C7"/>
    <w:rsid w:val="00790D92"/>
    <w:rsid w:val="007911DE"/>
    <w:rsid w:val="0079388B"/>
    <w:rsid w:val="00795BB0"/>
    <w:rsid w:val="007964C8"/>
    <w:rsid w:val="00796D24"/>
    <w:rsid w:val="00797738"/>
    <w:rsid w:val="007A06AE"/>
    <w:rsid w:val="007A0984"/>
    <w:rsid w:val="007A2AA1"/>
    <w:rsid w:val="007A2EA2"/>
    <w:rsid w:val="007A3D41"/>
    <w:rsid w:val="007A3EC3"/>
    <w:rsid w:val="007A6102"/>
    <w:rsid w:val="007A639B"/>
    <w:rsid w:val="007A7412"/>
    <w:rsid w:val="007A7FC1"/>
    <w:rsid w:val="007B0296"/>
    <w:rsid w:val="007B0C6C"/>
    <w:rsid w:val="007B10E4"/>
    <w:rsid w:val="007B2D94"/>
    <w:rsid w:val="007B49E9"/>
    <w:rsid w:val="007B698F"/>
    <w:rsid w:val="007B6D77"/>
    <w:rsid w:val="007B70BC"/>
    <w:rsid w:val="007C1EEE"/>
    <w:rsid w:val="007C48D7"/>
    <w:rsid w:val="007C76EA"/>
    <w:rsid w:val="007C76F6"/>
    <w:rsid w:val="007C7820"/>
    <w:rsid w:val="007D0374"/>
    <w:rsid w:val="007D25BB"/>
    <w:rsid w:val="007D3673"/>
    <w:rsid w:val="007D7131"/>
    <w:rsid w:val="007D7CF1"/>
    <w:rsid w:val="007E0AA7"/>
    <w:rsid w:val="007E7316"/>
    <w:rsid w:val="007E7707"/>
    <w:rsid w:val="007E7D41"/>
    <w:rsid w:val="007F1D66"/>
    <w:rsid w:val="007F2CA2"/>
    <w:rsid w:val="007F37DC"/>
    <w:rsid w:val="007F3CA4"/>
    <w:rsid w:val="007F50D2"/>
    <w:rsid w:val="007F5254"/>
    <w:rsid w:val="007F5261"/>
    <w:rsid w:val="007F67D7"/>
    <w:rsid w:val="007F68EA"/>
    <w:rsid w:val="00800027"/>
    <w:rsid w:val="00801569"/>
    <w:rsid w:val="00801A70"/>
    <w:rsid w:val="00802E67"/>
    <w:rsid w:val="00805F9D"/>
    <w:rsid w:val="00810702"/>
    <w:rsid w:val="00812AB7"/>
    <w:rsid w:val="00815F46"/>
    <w:rsid w:val="00816580"/>
    <w:rsid w:val="00816D3E"/>
    <w:rsid w:val="00820CA9"/>
    <w:rsid w:val="00822363"/>
    <w:rsid w:val="00824D82"/>
    <w:rsid w:val="00824D88"/>
    <w:rsid w:val="0082582D"/>
    <w:rsid w:val="008306FC"/>
    <w:rsid w:val="0083220F"/>
    <w:rsid w:val="00832311"/>
    <w:rsid w:val="0083437B"/>
    <w:rsid w:val="008344EF"/>
    <w:rsid w:val="00847234"/>
    <w:rsid w:val="0084726E"/>
    <w:rsid w:val="00847D29"/>
    <w:rsid w:val="00850288"/>
    <w:rsid w:val="00850878"/>
    <w:rsid w:val="008512EA"/>
    <w:rsid w:val="008518A6"/>
    <w:rsid w:val="00851BF6"/>
    <w:rsid w:val="008525F8"/>
    <w:rsid w:val="00852C9F"/>
    <w:rsid w:val="0085397B"/>
    <w:rsid w:val="008546FE"/>
    <w:rsid w:val="00856761"/>
    <w:rsid w:val="00860849"/>
    <w:rsid w:val="00865672"/>
    <w:rsid w:val="00865CDB"/>
    <w:rsid w:val="00871920"/>
    <w:rsid w:val="00874B4B"/>
    <w:rsid w:val="00875888"/>
    <w:rsid w:val="0087760F"/>
    <w:rsid w:val="00880D0B"/>
    <w:rsid w:val="0088103F"/>
    <w:rsid w:val="00881A92"/>
    <w:rsid w:val="0088223E"/>
    <w:rsid w:val="00885F4A"/>
    <w:rsid w:val="00887623"/>
    <w:rsid w:val="00887FA9"/>
    <w:rsid w:val="0089030C"/>
    <w:rsid w:val="0089138D"/>
    <w:rsid w:val="00892D15"/>
    <w:rsid w:val="008955A0"/>
    <w:rsid w:val="00895768"/>
    <w:rsid w:val="00895EE9"/>
    <w:rsid w:val="008A2969"/>
    <w:rsid w:val="008A39A8"/>
    <w:rsid w:val="008A65DD"/>
    <w:rsid w:val="008B0143"/>
    <w:rsid w:val="008B051B"/>
    <w:rsid w:val="008B1C55"/>
    <w:rsid w:val="008B2745"/>
    <w:rsid w:val="008B2ABD"/>
    <w:rsid w:val="008B582D"/>
    <w:rsid w:val="008B5F4C"/>
    <w:rsid w:val="008B6233"/>
    <w:rsid w:val="008C0DD6"/>
    <w:rsid w:val="008C0E73"/>
    <w:rsid w:val="008C15EC"/>
    <w:rsid w:val="008C16EE"/>
    <w:rsid w:val="008C32E4"/>
    <w:rsid w:val="008C4946"/>
    <w:rsid w:val="008C6101"/>
    <w:rsid w:val="008C7AD1"/>
    <w:rsid w:val="008D0810"/>
    <w:rsid w:val="008D1FC6"/>
    <w:rsid w:val="008D3B9B"/>
    <w:rsid w:val="008D43AB"/>
    <w:rsid w:val="008D526D"/>
    <w:rsid w:val="008D5C0E"/>
    <w:rsid w:val="008D69F5"/>
    <w:rsid w:val="008D7FC0"/>
    <w:rsid w:val="008E2445"/>
    <w:rsid w:val="008E7669"/>
    <w:rsid w:val="008F34C6"/>
    <w:rsid w:val="008F36D3"/>
    <w:rsid w:val="008F4433"/>
    <w:rsid w:val="008F4E92"/>
    <w:rsid w:val="008F5DCE"/>
    <w:rsid w:val="008F5E30"/>
    <w:rsid w:val="008F5F44"/>
    <w:rsid w:val="008F7277"/>
    <w:rsid w:val="00900763"/>
    <w:rsid w:val="009015E8"/>
    <w:rsid w:val="00902741"/>
    <w:rsid w:val="00904FF5"/>
    <w:rsid w:val="0090669F"/>
    <w:rsid w:val="00906D01"/>
    <w:rsid w:val="009070A1"/>
    <w:rsid w:val="00907BA3"/>
    <w:rsid w:val="00910A6C"/>
    <w:rsid w:val="00910E36"/>
    <w:rsid w:val="00911734"/>
    <w:rsid w:val="00916DDD"/>
    <w:rsid w:val="0092024F"/>
    <w:rsid w:val="0092141F"/>
    <w:rsid w:val="00921E7D"/>
    <w:rsid w:val="009221B0"/>
    <w:rsid w:val="00922AE9"/>
    <w:rsid w:val="009242E6"/>
    <w:rsid w:val="00924465"/>
    <w:rsid w:val="00924817"/>
    <w:rsid w:val="009262C2"/>
    <w:rsid w:val="009276A9"/>
    <w:rsid w:val="00931260"/>
    <w:rsid w:val="00931892"/>
    <w:rsid w:val="009328F5"/>
    <w:rsid w:val="00933939"/>
    <w:rsid w:val="009343DD"/>
    <w:rsid w:val="00934528"/>
    <w:rsid w:val="00935AB3"/>
    <w:rsid w:val="00937875"/>
    <w:rsid w:val="00937A6C"/>
    <w:rsid w:val="009405D3"/>
    <w:rsid w:val="00940ABF"/>
    <w:rsid w:val="009438E3"/>
    <w:rsid w:val="0094493B"/>
    <w:rsid w:val="00945CA8"/>
    <w:rsid w:val="009470E9"/>
    <w:rsid w:val="009503E5"/>
    <w:rsid w:val="009512E4"/>
    <w:rsid w:val="00951305"/>
    <w:rsid w:val="00952728"/>
    <w:rsid w:val="00952E17"/>
    <w:rsid w:val="009540BF"/>
    <w:rsid w:val="00955243"/>
    <w:rsid w:val="00955D33"/>
    <w:rsid w:val="00957F05"/>
    <w:rsid w:val="00960AB9"/>
    <w:rsid w:val="00961765"/>
    <w:rsid w:val="00963621"/>
    <w:rsid w:val="009638EF"/>
    <w:rsid w:val="009643F1"/>
    <w:rsid w:val="00965AB7"/>
    <w:rsid w:val="009660D7"/>
    <w:rsid w:val="0096695F"/>
    <w:rsid w:val="00967AB1"/>
    <w:rsid w:val="00967B28"/>
    <w:rsid w:val="00970184"/>
    <w:rsid w:val="00970E87"/>
    <w:rsid w:val="009721A4"/>
    <w:rsid w:val="00972BFA"/>
    <w:rsid w:val="0097332B"/>
    <w:rsid w:val="00974146"/>
    <w:rsid w:val="009745DC"/>
    <w:rsid w:val="00977A38"/>
    <w:rsid w:val="00977E37"/>
    <w:rsid w:val="009811E2"/>
    <w:rsid w:val="00982445"/>
    <w:rsid w:val="00982C49"/>
    <w:rsid w:val="00983B78"/>
    <w:rsid w:val="009854C1"/>
    <w:rsid w:val="0098596F"/>
    <w:rsid w:val="00986F30"/>
    <w:rsid w:val="00990C1C"/>
    <w:rsid w:val="00992507"/>
    <w:rsid w:val="00992DDB"/>
    <w:rsid w:val="0099664A"/>
    <w:rsid w:val="009971E3"/>
    <w:rsid w:val="009A2842"/>
    <w:rsid w:val="009A3257"/>
    <w:rsid w:val="009B00D8"/>
    <w:rsid w:val="009B0264"/>
    <w:rsid w:val="009B1CE6"/>
    <w:rsid w:val="009B29F6"/>
    <w:rsid w:val="009B329F"/>
    <w:rsid w:val="009B7DD1"/>
    <w:rsid w:val="009C02FC"/>
    <w:rsid w:val="009C0E08"/>
    <w:rsid w:val="009C10B6"/>
    <w:rsid w:val="009C124E"/>
    <w:rsid w:val="009C18C5"/>
    <w:rsid w:val="009C4473"/>
    <w:rsid w:val="009C6F21"/>
    <w:rsid w:val="009D02EF"/>
    <w:rsid w:val="009D24B7"/>
    <w:rsid w:val="009D2F9A"/>
    <w:rsid w:val="009D3714"/>
    <w:rsid w:val="009D566A"/>
    <w:rsid w:val="009D5A85"/>
    <w:rsid w:val="009D73AB"/>
    <w:rsid w:val="009E02B2"/>
    <w:rsid w:val="009E12BA"/>
    <w:rsid w:val="009E2781"/>
    <w:rsid w:val="009E3AE1"/>
    <w:rsid w:val="009E6621"/>
    <w:rsid w:val="009E6FA9"/>
    <w:rsid w:val="009E779F"/>
    <w:rsid w:val="009F0AE1"/>
    <w:rsid w:val="009F13C0"/>
    <w:rsid w:val="009F2B83"/>
    <w:rsid w:val="009F334C"/>
    <w:rsid w:val="009F39AA"/>
    <w:rsid w:val="009F5DF9"/>
    <w:rsid w:val="009F5F28"/>
    <w:rsid w:val="009F6287"/>
    <w:rsid w:val="009F65A2"/>
    <w:rsid w:val="009F6F68"/>
    <w:rsid w:val="00A00706"/>
    <w:rsid w:val="00A0185F"/>
    <w:rsid w:val="00A0512A"/>
    <w:rsid w:val="00A05C6D"/>
    <w:rsid w:val="00A067A0"/>
    <w:rsid w:val="00A07BBD"/>
    <w:rsid w:val="00A07DDC"/>
    <w:rsid w:val="00A119F8"/>
    <w:rsid w:val="00A11AE1"/>
    <w:rsid w:val="00A134A4"/>
    <w:rsid w:val="00A1385B"/>
    <w:rsid w:val="00A144F2"/>
    <w:rsid w:val="00A16091"/>
    <w:rsid w:val="00A171A7"/>
    <w:rsid w:val="00A171B4"/>
    <w:rsid w:val="00A214C8"/>
    <w:rsid w:val="00A21FD3"/>
    <w:rsid w:val="00A226DB"/>
    <w:rsid w:val="00A23264"/>
    <w:rsid w:val="00A2458D"/>
    <w:rsid w:val="00A258A3"/>
    <w:rsid w:val="00A265F2"/>
    <w:rsid w:val="00A36A86"/>
    <w:rsid w:val="00A36C70"/>
    <w:rsid w:val="00A36CA8"/>
    <w:rsid w:val="00A41AD2"/>
    <w:rsid w:val="00A41C3F"/>
    <w:rsid w:val="00A41C69"/>
    <w:rsid w:val="00A41D2B"/>
    <w:rsid w:val="00A4282A"/>
    <w:rsid w:val="00A42EF0"/>
    <w:rsid w:val="00A43ED8"/>
    <w:rsid w:val="00A451F6"/>
    <w:rsid w:val="00A51D1B"/>
    <w:rsid w:val="00A540C9"/>
    <w:rsid w:val="00A542FD"/>
    <w:rsid w:val="00A5542A"/>
    <w:rsid w:val="00A57673"/>
    <w:rsid w:val="00A603BF"/>
    <w:rsid w:val="00A60BAF"/>
    <w:rsid w:val="00A615AC"/>
    <w:rsid w:val="00A621EF"/>
    <w:rsid w:val="00A64D2C"/>
    <w:rsid w:val="00A652B8"/>
    <w:rsid w:val="00A65537"/>
    <w:rsid w:val="00A65D0B"/>
    <w:rsid w:val="00A66756"/>
    <w:rsid w:val="00A70219"/>
    <w:rsid w:val="00A70392"/>
    <w:rsid w:val="00A70536"/>
    <w:rsid w:val="00A722ED"/>
    <w:rsid w:val="00A737D6"/>
    <w:rsid w:val="00A73C87"/>
    <w:rsid w:val="00A73E44"/>
    <w:rsid w:val="00A74236"/>
    <w:rsid w:val="00A75A00"/>
    <w:rsid w:val="00A7717C"/>
    <w:rsid w:val="00A80170"/>
    <w:rsid w:val="00A8156B"/>
    <w:rsid w:val="00A83CA7"/>
    <w:rsid w:val="00A85158"/>
    <w:rsid w:val="00A8610F"/>
    <w:rsid w:val="00A878B0"/>
    <w:rsid w:val="00A90273"/>
    <w:rsid w:val="00A90704"/>
    <w:rsid w:val="00A90C6D"/>
    <w:rsid w:val="00A914CE"/>
    <w:rsid w:val="00A92A4F"/>
    <w:rsid w:val="00A95D62"/>
    <w:rsid w:val="00A96015"/>
    <w:rsid w:val="00AA1DC6"/>
    <w:rsid w:val="00AA2470"/>
    <w:rsid w:val="00AA4A6B"/>
    <w:rsid w:val="00AB05B1"/>
    <w:rsid w:val="00AB48FF"/>
    <w:rsid w:val="00AB499B"/>
    <w:rsid w:val="00AB4EC4"/>
    <w:rsid w:val="00AB6697"/>
    <w:rsid w:val="00AB6C31"/>
    <w:rsid w:val="00AB7171"/>
    <w:rsid w:val="00AB7F8B"/>
    <w:rsid w:val="00AC0A2E"/>
    <w:rsid w:val="00AC13E1"/>
    <w:rsid w:val="00AC214F"/>
    <w:rsid w:val="00AC25B4"/>
    <w:rsid w:val="00AC3977"/>
    <w:rsid w:val="00AC4045"/>
    <w:rsid w:val="00AC5699"/>
    <w:rsid w:val="00AC7616"/>
    <w:rsid w:val="00AD0795"/>
    <w:rsid w:val="00AD164D"/>
    <w:rsid w:val="00AD1892"/>
    <w:rsid w:val="00AD1F46"/>
    <w:rsid w:val="00AD31BD"/>
    <w:rsid w:val="00AD344E"/>
    <w:rsid w:val="00AD3DEF"/>
    <w:rsid w:val="00AD4338"/>
    <w:rsid w:val="00AD7106"/>
    <w:rsid w:val="00AD739E"/>
    <w:rsid w:val="00AD7FE8"/>
    <w:rsid w:val="00AE0BC3"/>
    <w:rsid w:val="00AE0C53"/>
    <w:rsid w:val="00AE4697"/>
    <w:rsid w:val="00AE57B9"/>
    <w:rsid w:val="00AE7FB3"/>
    <w:rsid w:val="00AF0093"/>
    <w:rsid w:val="00AF4D5A"/>
    <w:rsid w:val="00AF5537"/>
    <w:rsid w:val="00AF620E"/>
    <w:rsid w:val="00AF646E"/>
    <w:rsid w:val="00AF6D28"/>
    <w:rsid w:val="00AF7596"/>
    <w:rsid w:val="00B00533"/>
    <w:rsid w:val="00B013F9"/>
    <w:rsid w:val="00B024E5"/>
    <w:rsid w:val="00B0324F"/>
    <w:rsid w:val="00B0684B"/>
    <w:rsid w:val="00B127BC"/>
    <w:rsid w:val="00B14A20"/>
    <w:rsid w:val="00B161EE"/>
    <w:rsid w:val="00B16AFB"/>
    <w:rsid w:val="00B16B74"/>
    <w:rsid w:val="00B17F51"/>
    <w:rsid w:val="00B20200"/>
    <w:rsid w:val="00B21C6C"/>
    <w:rsid w:val="00B2330D"/>
    <w:rsid w:val="00B23E43"/>
    <w:rsid w:val="00B23E7E"/>
    <w:rsid w:val="00B24643"/>
    <w:rsid w:val="00B31F53"/>
    <w:rsid w:val="00B337CB"/>
    <w:rsid w:val="00B33A63"/>
    <w:rsid w:val="00B3400C"/>
    <w:rsid w:val="00B413F7"/>
    <w:rsid w:val="00B42B82"/>
    <w:rsid w:val="00B44C4A"/>
    <w:rsid w:val="00B55602"/>
    <w:rsid w:val="00B56DD4"/>
    <w:rsid w:val="00B61C59"/>
    <w:rsid w:val="00B62664"/>
    <w:rsid w:val="00B70A5F"/>
    <w:rsid w:val="00B70AD5"/>
    <w:rsid w:val="00B71614"/>
    <w:rsid w:val="00B7256B"/>
    <w:rsid w:val="00B75A06"/>
    <w:rsid w:val="00B763A7"/>
    <w:rsid w:val="00B77CA2"/>
    <w:rsid w:val="00B80978"/>
    <w:rsid w:val="00B814C2"/>
    <w:rsid w:val="00B848F0"/>
    <w:rsid w:val="00B857A8"/>
    <w:rsid w:val="00B875AE"/>
    <w:rsid w:val="00B912DE"/>
    <w:rsid w:val="00B91855"/>
    <w:rsid w:val="00B91EBD"/>
    <w:rsid w:val="00B92D2D"/>
    <w:rsid w:val="00BA0A37"/>
    <w:rsid w:val="00BA0C21"/>
    <w:rsid w:val="00BA19B8"/>
    <w:rsid w:val="00BA2915"/>
    <w:rsid w:val="00BA3145"/>
    <w:rsid w:val="00BA5068"/>
    <w:rsid w:val="00BA639D"/>
    <w:rsid w:val="00BA7140"/>
    <w:rsid w:val="00BB0B02"/>
    <w:rsid w:val="00BB0C2B"/>
    <w:rsid w:val="00BB28E7"/>
    <w:rsid w:val="00BB3F34"/>
    <w:rsid w:val="00BB43DD"/>
    <w:rsid w:val="00BB53B2"/>
    <w:rsid w:val="00BB5433"/>
    <w:rsid w:val="00BB6546"/>
    <w:rsid w:val="00BC16A2"/>
    <w:rsid w:val="00BC3A86"/>
    <w:rsid w:val="00BC728D"/>
    <w:rsid w:val="00BD53FC"/>
    <w:rsid w:val="00BD63A1"/>
    <w:rsid w:val="00BE041F"/>
    <w:rsid w:val="00BE067D"/>
    <w:rsid w:val="00BE2D0B"/>
    <w:rsid w:val="00BE5800"/>
    <w:rsid w:val="00BF3BA6"/>
    <w:rsid w:val="00C04C57"/>
    <w:rsid w:val="00C0784F"/>
    <w:rsid w:val="00C12549"/>
    <w:rsid w:val="00C14BE7"/>
    <w:rsid w:val="00C1711D"/>
    <w:rsid w:val="00C1790C"/>
    <w:rsid w:val="00C204F7"/>
    <w:rsid w:val="00C21A99"/>
    <w:rsid w:val="00C23C55"/>
    <w:rsid w:val="00C248B2"/>
    <w:rsid w:val="00C24C6F"/>
    <w:rsid w:val="00C2541A"/>
    <w:rsid w:val="00C25F18"/>
    <w:rsid w:val="00C27226"/>
    <w:rsid w:val="00C27272"/>
    <w:rsid w:val="00C331A5"/>
    <w:rsid w:val="00C35EDC"/>
    <w:rsid w:val="00C3629B"/>
    <w:rsid w:val="00C36A0C"/>
    <w:rsid w:val="00C40B8E"/>
    <w:rsid w:val="00C430B2"/>
    <w:rsid w:val="00C45ECD"/>
    <w:rsid w:val="00C463B1"/>
    <w:rsid w:val="00C46842"/>
    <w:rsid w:val="00C4781E"/>
    <w:rsid w:val="00C51FC5"/>
    <w:rsid w:val="00C52693"/>
    <w:rsid w:val="00C52DE5"/>
    <w:rsid w:val="00C52E38"/>
    <w:rsid w:val="00C533F0"/>
    <w:rsid w:val="00C54787"/>
    <w:rsid w:val="00C56C3D"/>
    <w:rsid w:val="00C6066D"/>
    <w:rsid w:val="00C6183E"/>
    <w:rsid w:val="00C618D7"/>
    <w:rsid w:val="00C67C04"/>
    <w:rsid w:val="00C72823"/>
    <w:rsid w:val="00C72D28"/>
    <w:rsid w:val="00C7544C"/>
    <w:rsid w:val="00C779C3"/>
    <w:rsid w:val="00C8063F"/>
    <w:rsid w:val="00C815F7"/>
    <w:rsid w:val="00C832EA"/>
    <w:rsid w:val="00C8668E"/>
    <w:rsid w:val="00C87EEC"/>
    <w:rsid w:val="00C91364"/>
    <w:rsid w:val="00C915B7"/>
    <w:rsid w:val="00C92712"/>
    <w:rsid w:val="00C932D0"/>
    <w:rsid w:val="00C934C7"/>
    <w:rsid w:val="00C9393C"/>
    <w:rsid w:val="00C95700"/>
    <w:rsid w:val="00C97D39"/>
    <w:rsid w:val="00CA59B8"/>
    <w:rsid w:val="00CA5EBF"/>
    <w:rsid w:val="00CA6C42"/>
    <w:rsid w:val="00CB0CE2"/>
    <w:rsid w:val="00CB0E2D"/>
    <w:rsid w:val="00CB1423"/>
    <w:rsid w:val="00CB1D7A"/>
    <w:rsid w:val="00CB3367"/>
    <w:rsid w:val="00CB5B2F"/>
    <w:rsid w:val="00CB606E"/>
    <w:rsid w:val="00CB6BFB"/>
    <w:rsid w:val="00CB7084"/>
    <w:rsid w:val="00CC06B7"/>
    <w:rsid w:val="00CC0E46"/>
    <w:rsid w:val="00CC0E93"/>
    <w:rsid w:val="00CC2BEE"/>
    <w:rsid w:val="00CC4D36"/>
    <w:rsid w:val="00CC720E"/>
    <w:rsid w:val="00CC7832"/>
    <w:rsid w:val="00CC7C42"/>
    <w:rsid w:val="00CD140B"/>
    <w:rsid w:val="00CD25B3"/>
    <w:rsid w:val="00CD339A"/>
    <w:rsid w:val="00CD4266"/>
    <w:rsid w:val="00CD5BC6"/>
    <w:rsid w:val="00CD7BC1"/>
    <w:rsid w:val="00CE1C81"/>
    <w:rsid w:val="00CE3388"/>
    <w:rsid w:val="00CE39DB"/>
    <w:rsid w:val="00CE3FD4"/>
    <w:rsid w:val="00CE45C3"/>
    <w:rsid w:val="00CE47A0"/>
    <w:rsid w:val="00CE4963"/>
    <w:rsid w:val="00CE7BEF"/>
    <w:rsid w:val="00CF0AB1"/>
    <w:rsid w:val="00CF0BF3"/>
    <w:rsid w:val="00CF1AD1"/>
    <w:rsid w:val="00CF1E41"/>
    <w:rsid w:val="00CF5328"/>
    <w:rsid w:val="00CF5F9C"/>
    <w:rsid w:val="00CF6376"/>
    <w:rsid w:val="00CF7F93"/>
    <w:rsid w:val="00D00A37"/>
    <w:rsid w:val="00D00B49"/>
    <w:rsid w:val="00D00DBD"/>
    <w:rsid w:val="00D01762"/>
    <w:rsid w:val="00D05AC6"/>
    <w:rsid w:val="00D06A0C"/>
    <w:rsid w:val="00D100E6"/>
    <w:rsid w:val="00D10565"/>
    <w:rsid w:val="00D1098C"/>
    <w:rsid w:val="00D11BDB"/>
    <w:rsid w:val="00D125D0"/>
    <w:rsid w:val="00D1377A"/>
    <w:rsid w:val="00D13EAB"/>
    <w:rsid w:val="00D158C6"/>
    <w:rsid w:val="00D15AAC"/>
    <w:rsid w:val="00D17EDD"/>
    <w:rsid w:val="00D20302"/>
    <w:rsid w:val="00D20CBA"/>
    <w:rsid w:val="00D21637"/>
    <w:rsid w:val="00D24A66"/>
    <w:rsid w:val="00D24F03"/>
    <w:rsid w:val="00D272A0"/>
    <w:rsid w:val="00D31286"/>
    <w:rsid w:val="00D319BC"/>
    <w:rsid w:val="00D31D3D"/>
    <w:rsid w:val="00D3201D"/>
    <w:rsid w:val="00D32265"/>
    <w:rsid w:val="00D3401A"/>
    <w:rsid w:val="00D354B2"/>
    <w:rsid w:val="00D37BD5"/>
    <w:rsid w:val="00D41ACE"/>
    <w:rsid w:val="00D41E2E"/>
    <w:rsid w:val="00D4211C"/>
    <w:rsid w:val="00D428C7"/>
    <w:rsid w:val="00D45592"/>
    <w:rsid w:val="00D50378"/>
    <w:rsid w:val="00D51FD7"/>
    <w:rsid w:val="00D57ED4"/>
    <w:rsid w:val="00D6255C"/>
    <w:rsid w:val="00D633B0"/>
    <w:rsid w:val="00D6660B"/>
    <w:rsid w:val="00D6711F"/>
    <w:rsid w:val="00D67AF7"/>
    <w:rsid w:val="00D738DA"/>
    <w:rsid w:val="00D7451B"/>
    <w:rsid w:val="00D7485E"/>
    <w:rsid w:val="00D7775B"/>
    <w:rsid w:val="00D77C85"/>
    <w:rsid w:val="00D80A9B"/>
    <w:rsid w:val="00D80C1C"/>
    <w:rsid w:val="00D8393A"/>
    <w:rsid w:val="00D83FDF"/>
    <w:rsid w:val="00D860C0"/>
    <w:rsid w:val="00D8650C"/>
    <w:rsid w:val="00D91564"/>
    <w:rsid w:val="00D91ED2"/>
    <w:rsid w:val="00D922B2"/>
    <w:rsid w:val="00D92819"/>
    <w:rsid w:val="00D94433"/>
    <w:rsid w:val="00D948A3"/>
    <w:rsid w:val="00D94F76"/>
    <w:rsid w:val="00D97419"/>
    <w:rsid w:val="00DA099D"/>
    <w:rsid w:val="00DA0AFB"/>
    <w:rsid w:val="00DA265C"/>
    <w:rsid w:val="00DA27B2"/>
    <w:rsid w:val="00DA34DC"/>
    <w:rsid w:val="00DA5309"/>
    <w:rsid w:val="00DA57D8"/>
    <w:rsid w:val="00DA594E"/>
    <w:rsid w:val="00DA61DA"/>
    <w:rsid w:val="00DB2128"/>
    <w:rsid w:val="00DB3FBA"/>
    <w:rsid w:val="00DB43B6"/>
    <w:rsid w:val="00DB5538"/>
    <w:rsid w:val="00DB654E"/>
    <w:rsid w:val="00DB6C54"/>
    <w:rsid w:val="00DB7A02"/>
    <w:rsid w:val="00DB7BA1"/>
    <w:rsid w:val="00DC1FC8"/>
    <w:rsid w:val="00DC2329"/>
    <w:rsid w:val="00DC3246"/>
    <w:rsid w:val="00DC36DD"/>
    <w:rsid w:val="00DC4DD0"/>
    <w:rsid w:val="00DC5534"/>
    <w:rsid w:val="00DD37A0"/>
    <w:rsid w:val="00DD3BD5"/>
    <w:rsid w:val="00DD3E47"/>
    <w:rsid w:val="00DD41C4"/>
    <w:rsid w:val="00DD43AF"/>
    <w:rsid w:val="00DD6D7F"/>
    <w:rsid w:val="00DD7A3D"/>
    <w:rsid w:val="00DD7C05"/>
    <w:rsid w:val="00DE27BB"/>
    <w:rsid w:val="00DE33C7"/>
    <w:rsid w:val="00DE3CE1"/>
    <w:rsid w:val="00DE4CCB"/>
    <w:rsid w:val="00DE6395"/>
    <w:rsid w:val="00DF1726"/>
    <w:rsid w:val="00DF429E"/>
    <w:rsid w:val="00DF4F64"/>
    <w:rsid w:val="00DF614A"/>
    <w:rsid w:val="00DF68CC"/>
    <w:rsid w:val="00E0348E"/>
    <w:rsid w:val="00E04DB6"/>
    <w:rsid w:val="00E07130"/>
    <w:rsid w:val="00E10B2D"/>
    <w:rsid w:val="00E10F96"/>
    <w:rsid w:val="00E11D48"/>
    <w:rsid w:val="00E14171"/>
    <w:rsid w:val="00E14286"/>
    <w:rsid w:val="00E170E4"/>
    <w:rsid w:val="00E17FC6"/>
    <w:rsid w:val="00E20B83"/>
    <w:rsid w:val="00E250B3"/>
    <w:rsid w:val="00E25153"/>
    <w:rsid w:val="00E260F6"/>
    <w:rsid w:val="00E27ED1"/>
    <w:rsid w:val="00E30102"/>
    <w:rsid w:val="00E301BA"/>
    <w:rsid w:val="00E301D6"/>
    <w:rsid w:val="00E301E8"/>
    <w:rsid w:val="00E310D3"/>
    <w:rsid w:val="00E33AD6"/>
    <w:rsid w:val="00E33AE2"/>
    <w:rsid w:val="00E34542"/>
    <w:rsid w:val="00E351B3"/>
    <w:rsid w:val="00E36AC9"/>
    <w:rsid w:val="00E372C3"/>
    <w:rsid w:val="00E40F32"/>
    <w:rsid w:val="00E41D78"/>
    <w:rsid w:val="00E44179"/>
    <w:rsid w:val="00E46405"/>
    <w:rsid w:val="00E464A1"/>
    <w:rsid w:val="00E473C5"/>
    <w:rsid w:val="00E47720"/>
    <w:rsid w:val="00E47EBC"/>
    <w:rsid w:val="00E52032"/>
    <w:rsid w:val="00E52BC4"/>
    <w:rsid w:val="00E5565D"/>
    <w:rsid w:val="00E55D62"/>
    <w:rsid w:val="00E56F73"/>
    <w:rsid w:val="00E6125D"/>
    <w:rsid w:val="00E62FDE"/>
    <w:rsid w:val="00E66235"/>
    <w:rsid w:val="00E71D6B"/>
    <w:rsid w:val="00E72A08"/>
    <w:rsid w:val="00E73D89"/>
    <w:rsid w:val="00E748AF"/>
    <w:rsid w:val="00E76A63"/>
    <w:rsid w:val="00E76BF8"/>
    <w:rsid w:val="00E77497"/>
    <w:rsid w:val="00E77BF5"/>
    <w:rsid w:val="00E8379A"/>
    <w:rsid w:val="00E83E8D"/>
    <w:rsid w:val="00E849C1"/>
    <w:rsid w:val="00E85294"/>
    <w:rsid w:val="00E86CDC"/>
    <w:rsid w:val="00E906F7"/>
    <w:rsid w:val="00E932B8"/>
    <w:rsid w:val="00E9379E"/>
    <w:rsid w:val="00E93A3D"/>
    <w:rsid w:val="00E952D5"/>
    <w:rsid w:val="00E95DAC"/>
    <w:rsid w:val="00E965E7"/>
    <w:rsid w:val="00E96C29"/>
    <w:rsid w:val="00EA01D1"/>
    <w:rsid w:val="00EA0C57"/>
    <w:rsid w:val="00EA0DFB"/>
    <w:rsid w:val="00EA2D30"/>
    <w:rsid w:val="00EA726B"/>
    <w:rsid w:val="00EA7444"/>
    <w:rsid w:val="00EB22D5"/>
    <w:rsid w:val="00EB409E"/>
    <w:rsid w:val="00EB5B02"/>
    <w:rsid w:val="00EB6F8E"/>
    <w:rsid w:val="00EB7504"/>
    <w:rsid w:val="00EC0314"/>
    <w:rsid w:val="00EC05DB"/>
    <w:rsid w:val="00EC06EB"/>
    <w:rsid w:val="00EC0AD9"/>
    <w:rsid w:val="00EC299B"/>
    <w:rsid w:val="00EC29F6"/>
    <w:rsid w:val="00EC3060"/>
    <w:rsid w:val="00EC386D"/>
    <w:rsid w:val="00EC5607"/>
    <w:rsid w:val="00EC7F7F"/>
    <w:rsid w:val="00ED0B45"/>
    <w:rsid w:val="00ED1909"/>
    <w:rsid w:val="00ED4337"/>
    <w:rsid w:val="00ED4B9B"/>
    <w:rsid w:val="00ED4C3A"/>
    <w:rsid w:val="00ED53D3"/>
    <w:rsid w:val="00ED5C23"/>
    <w:rsid w:val="00ED60CA"/>
    <w:rsid w:val="00ED76AA"/>
    <w:rsid w:val="00ED7A88"/>
    <w:rsid w:val="00EE2B2B"/>
    <w:rsid w:val="00EE3859"/>
    <w:rsid w:val="00EE5582"/>
    <w:rsid w:val="00EE7231"/>
    <w:rsid w:val="00EF1BBB"/>
    <w:rsid w:val="00EF2F46"/>
    <w:rsid w:val="00EF3235"/>
    <w:rsid w:val="00EF4176"/>
    <w:rsid w:val="00EF4703"/>
    <w:rsid w:val="00EF4E77"/>
    <w:rsid w:val="00EF7393"/>
    <w:rsid w:val="00F0158A"/>
    <w:rsid w:val="00F02410"/>
    <w:rsid w:val="00F03D86"/>
    <w:rsid w:val="00F131CA"/>
    <w:rsid w:val="00F13AB5"/>
    <w:rsid w:val="00F16DE4"/>
    <w:rsid w:val="00F17B97"/>
    <w:rsid w:val="00F201AE"/>
    <w:rsid w:val="00F2070E"/>
    <w:rsid w:val="00F21DA2"/>
    <w:rsid w:val="00F21F25"/>
    <w:rsid w:val="00F22CA6"/>
    <w:rsid w:val="00F243CE"/>
    <w:rsid w:val="00F2476F"/>
    <w:rsid w:val="00F24B63"/>
    <w:rsid w:val="00F24BF4"/>
    <w:rsid w:val="00F252F5"/>
    <w:rsid w:val="00F26770"/>
    <w:rsid w:val="00F319AD"/>
    <w:rsid w:val="00F32695"/>
    <w:rsid w:val="00F34E28"/>
    <w:rsid w:val="00F36592"/>
    <w:rsid w:val="00F42D3D"/>
    <w:rsid w:val="00F43194"/>
    <w:rsid w:val="00F435B8"/>
    <w:rsid w:val="00F43BA4"/>
    <w:rsid w:val="00F4699A"/>
    <w:rsid w:val="00F474E8"/>
    <w:rsid w:val="00F476BE"/>
    <w:rsid w:val="00F507E3"/>
    <w:rsid w:val="00F52453"/>
    <w:rsid w:val="00F52582"/>
    <w:rsid w:val="00F54096"/>
    <w:rsid w:val="00F5540A"/>
    <w:rsid w:val="00F56F2D"/>
    <w:rsid w:val="00F60C00"/>
    <w:rsid w:val="00F61117"/>
    <w:rsid w:val="00F64C62"/>
    <w:rsid w:val="00F651A8"/>
    <w:rsid w:val="00F65941"/>
    <w:rsid w:val="00F66068"/>
    <w:rsid w:val="00F6656F"/>
    <w:rsid w:val="00F665EB"/>
    <w:rsid w:val="00F66706"/>
    <w:rsid w:val="00F71EE4"/>
    <w:rsid w:val="00F77603"/>
    <w:rsid w:val="00F8166E"/>
    <w:rsid w:val="00F8235E"/>
    <w:rsid w:val="00F82566"/>
    <w:rsid w:val="00F826C1"/>
    <w:rsid w:val="00F838B0"/>
    <w:rsid w:val="00F86E33"/>
    <w:rsid w:val="00F90F4E"/>
    <w:rsid w:val="00F922B2"/>
    <w:rsid w:val="00F92DA6"/>
    <w:rsid w:val="00F939FE"/>
    <w:rsid w:val="00F95B05"/>
    <w:rsid w:val="00FA0A2D"/>
    <w:rsid w:val="00FA0B2F"/>
    <w:rsid w:val="00FA1D83"/>
    <w:rsid w:val="00FA47EE"/>
    <w:rsid w:val="00FA52B7"/>
    <w:rsid w:val="00FA548A"/>
    <w:rsid w:val="00FB001D"/>
    <w:rsid w:val="00FB4094"/>
    <w:rsid w:val="00FC07FC"/>
    <w:rsid w:val="00FC11D3"/>
    <w:rsid w:val="00FC1F79"/>
    <w:rsid w:val="00FC3126"/>
    <w:rsid w:val="00FC3D24"/>
    <w:rsid w:val="00FC470D"/>
    <w:rsid w:val="00FC4EF6"/>
    <w:rsid w:val="00FC55D7"/>
    <w:rsid w:val="00FC5D56"/>
    <w:rsid w:val="00FC69F4"/>
    <w:rsid w:val="00FC733A"/>
    <w:rsid w:val="00FC7710"/>
    <w:rsid w:val="00FD1D25"/>
    <w:rsid w:val="00FD2343"/>
    <w:rsid w:val="00FD34A4"/>
    <w:rsid w:val="00FD4100"/>
    <w:rsid w:val="00FD4246"/>
    <w:rsid w:val="00FD577C"/>
    <w:rsid w:val="00FE065C"/>
    <w:rsid w:val="00FE4164"/>
    <w:rsid w:val="00FE6142"/>
    <w:rsid w:val="00FE64B4"/>
    <w:rsid w:val="00FE6992"/>
    <w:rsid w:val="00FF262A"/>
    <w:rsid w:val="00FF413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547D36A"/>
  <w15:docId w15:val="{0659A216-A344-4299-912A-663FE1FA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AF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6C7"/>
    <w:pPr>
      <w:ind w:left="720"/>
      <w:contextualSpacing/>
    </w:pPr>
  </w:style>
  <w:style w:type="paragraph" w:styleId="FootnoteText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pa,Footno"/>
    <w:basedOn w:val="Normal"/>
    <w:link w:val="FootnoteTextChar"/>
    <w:uiPriority w:val="99"/>
    <w:qFormat/>
    <w:rsid w:val="008F4E9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FootnoteTextChar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link w:val="FootnoteText"/>
    <w:uiPriority w:val="99"/>
    <w:rsid w:val="008F4E92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ootnotes refss,Fussnot"/>
    <w:uiPriority w:val="99"/>
    <w:qFormat/>
    <w:rsid w:val="008F4E92"/>
    <w:rPr>
      <w:vertAlign w:val="superscript"/>
    </w:rPr>
  </w:style>
  <w:style w:type="paragraph" w:customStyle="1" w:styleId="Default">
    <w:name w:val="Default"/>
    <w:rsid w:val="00B16A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24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567"/>
  </w:style>
  <w:style w:type="paragraph" w:styleId="Footer">
    <w:name w:val="footer"/>
    <w:basedOn w:val="Normal"/>
    <w:link w:val="FooterChar"/>
    <w:uiPriority w:val="99"/>
    <w:unhideWhenUsed/>
    <w:rsid w:val="00624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567"/>
  </w:style>
  <w:style w:type="paragraph" w:styleId="BalloonText">
    <w:name w:val="Balloon Text"/>
    <w:basedOn w:val="Normal"/>
    <w:link w:val="BalloonTextChar"/>
    <w:uiPriority w:val="99"/>
    <w:semiHidden/>
    <w:unhideWhenUsed/>
    <w:rsid w:val="0062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456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B606E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C25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F1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25F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F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5F18"/>
    <w:rPr>
      <w:b/>
      <w:bCs/>
      <w:lang w:eastAsia="en-US"/>
    </w:rPr>
  </w:style>
  <w:style w:type="character" w:styleId="Hyperlink">
    <w:name w:val="Hyperlink"/>
    <w:uiPriority w:val="99"/>
    <w:unhideWhenUsed/>
    <w:rsid w:val="00687ACD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E14286"/>
    <w:rPr>
      <w:color w:val="954F72"/>
      <w:u w:val="single"/>
    </w:rPr>
  </w:style>
  <w:style w:type="character" w:customStyle="1" w:styleId="newdocreference">
    <w:name w:val="newdocreference"/>
    <w:basedOn w:val="DefaultParagraphFont"/>
    <w:rsid w:val="00FA52B7"/>
  </w:style>
  <w:style w:type="character" w:customStyle="1" w:styleId="samedocreference">
    <w:name w:val="samedocreference"/>
    <w:basedOn w:val="DefaultParagraphFont"/>
    <w:rsid w:val="00205063"/>
  </w:style>
  <w:style w:type="paragraph" w:styleId="NormalWeb">
    <w:name w:val="Normal (Web)"/>
    <w:basedOn w:val="Normal"/>
    <w:uiPriority w:val="99"/>
    <w:semiHidden/>
    <w:unhideWhenUsed/>
    <w:rsid w:val="00D77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ldef">
    <w:name w:val="ldef"/>
    <w:basedOn w:val="DefaultParagraphFont"/>
    <w:rsid w:val="00DC5534"/>
  </w:style>
  <w:style w:type="character" w:styleId="Strong">
    <w:name w:val="Strong"/>
    <w:basedOn w:val="DefaultParagraphFont"/>
    <w:uiPriority w:val="22"/>
    <w:qFormat/>
    <w:rsid w:val="00DC5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ommission.europa.eu/topics/competitiveness/clean-industrial-deal_en" TargetMode="External"/><Relationship Id="rId2" Type="http://schemas.openxmlformats.org/officeDocument/2006/relationships/hyperlink" Target="https://environment.ec.europa.eu/strategy/circular-economy_en" TargetMode="External"/><Relationship Id="rId1" Type="http://schemas.openxmlformats.org/officeDocument/2006/relationships/hyperlink" Target="https://www.consilium.europa.eu/en/policies/european-green-deal/" TargetMode="External"/><Relationship Id="rId4" Type="http://schemas.openxmlformats.org/officeDocument/2006/relationships/hyperlink" Target="https://ec.europa.eu/transparency/documents-register/detail?ref=SWD(2025)302&amp;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EDF0-1618-47B2-B1AE-75C23484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9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16875</CharactersWithSpaces>
  <SharedDoc>false</SharedDoc>
  <HLinks>
    <vt:vector size="6" baseType="variant">
      <vt:variant>
        <vt:i4>3604531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https://ec.europa.eu/assets/rtd/eis/2022/ec_rtd_eis-country-profile-bg.pdf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</dc:creator>
  <cp:keywords/>
  <cp:lastModifiedBy>Albena Ignatova</cp:lastModifiedBy>
  <cp:revision>47</cp:revision>
  <cp:lastPrinted>2023-10-27T14:01:00Z</cp:lastPrinted>
  <dcterms:created xsi:type="dcterms:W3CDTF">2026-03-31T14:37:00Z</dcterms:created>
  <dcterms:modified xsi:type="dcterms:W3CDTF">2026-04-30T09:11:00Z</dcterms:modified>
</cp:coreProperties>
</file>