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8D7ED" w14:textId="77777777" w:rsidR="00F43194" w:rsidRPr="00C1711D" w:rsidRDefault="00A258A3" w:rsidP="000D69EE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C1711D">
        <w:rPr>
          <w:rFonts w:ascii="Times New Roman" w:hAnsi="Times New Roman"/>
          <w:b/>
          <w:sz w:val="24"/>
          <w:szCs w:val="24"/>
        </w:rPr>
        <w:t>МЕТОДОЛОГИЯ</w:t>
      </w:r>
      <w:r w:rsidR="00955243" w:rsidRPr="00C1711D">
        <w:rPr>
          <w:rFonts w:ascii="Times New Roman" w:hAnsi="Times New Roman"/>
          <w:b/>
          <w:sz w:val="24"/>
          <w:szCs w:val="24"/>
        </w:rPr>
        <w:t xml:space="preserve"> И КРИТЕРИИ</w:t>
      </w:r>
      <w:r w:rsidRPr="00C1711D">
        <w:rPr>
          <w:rFonts w:ascii="Times New Roman" w:hAnsi="Times New Roman"/>
          <w:b/>
          <w:sz w:val="24"/>
          <w:szCs w:val="24"/>
        </w:rPr>
        <w:t xml:space="preserve"> </w:t>
      </w:r>
      <w:r w:rsidR="00801569" w:rsidRPr="00C1711D">
        <w:rPr>
          <w:rFonts w:ascii="Times New Roman" w:hAnsi="Times New Roman"/>
          <w:b/>
          <w:sz w:val="24"/>
          <w:szCs w:val="24"/>
        </w:rPr>
        <w:t>ЗА ПОДБОР НА ОПЕРАЦИИ</w:t>
      </w: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9"/>
        <w:gridCol w:w="8090"/>
      </w:tblGrid>
      <w:tr w:rsidR="004846C7" w:rsidRPr="002021AD" w14:paraId="63E64418" w14:textId="77777777" w:rsidTr="00C9168C">
        <w:tc>
          <w:tcPr>
            <w:tcW w:w="10519" w:type="dxa"/>
            <w:gridSpan w:val="2"/>
            <w:shd w:val="clear" w:color="auto" w:fill="BFBFBF"/>
          </w:tcPr>
          <w:p w14:paraId="00309C3B" w14:textId="77777777" w:rsidR="004846C7" w:rsidRPr="00F40165" w:rsidRDefault="00D7775B" w:rsidP="00620B2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40165">
              <w:rPr>
                <w:rFonts w:ascii="Times New Roman" w:hAnsi="Times New Roman"/>
                <w:sz w:val="20"/>
                <w:szCs w:val="20"/>
              </w:rPr>
              <w:t>1. Основни параметри</w:t>
            </w:r>
          </w:p>
        </w:tc>
      </w:tr>
      <w:tr w:rsidR="00E30102" w:rsidRPr="002021AD" w14:paraId="3C625DDF" w14:textId="77777777" w:rsidTr="00C9168C">
        <w:tc>
          <w:tcPr>
            <w:tcW w:w="2429" w:type="dxa"/>
            <w:shd w:val="clear" w:color="auto" w:fill="BFBFBF"/>
          </w:tcPr>
          <w:p w14:paraId="13CF438F" w14:textId="77777777" w:rsidR="00E30102" w:rsidRPr="002021AD" w:rsidRDefault="00E30102" w:rsidP="00DC232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1AD">
              <w:rPr>
                <w:rFonts w:ascii="Times New Roman" w:hAnsi="Times New Roman"/>
                <w:sz w:val="20"/>
                <w:szCs w:val="20"/>
              </w:rPr>
              <w:t>Управляващ орган</w:t>
            </w:r>
          </w:p>
        </w:tc>
        <w:tc>
          <w:tcPr>
            <w:tcW w:w="8090" w:type="dxa"/>
            <w:shd w:val="clear" w:color="auto" w:fill="auto"/>
          </w:tcPr>
          <w:p w14:paraId="115F89F6" w14:textId="77777777" w:rsidR="00DC3246" w:rsidRPr="002021AD" w:rsidRDefault="00790D92" w:rsidP="007A06AE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21AD">
              <w:rPr>
                <w:rFonts w:ascii="Times New Roman" w:hAnsi="Times New Roman"/>
                <w:sz w:val="20"/>
                <w:szCs w:val="20"/>
              </w:rPr>
              <w:t>Главна дирекция „Европейски фондове за конкурентоспособност”,</w:t>
            </w:r>
          </w:p>
          <w:p w14:paraId="193C6103" w14:textId="77777777" w:rsidR="00E30102" w:rsidRPr="002021AD" w:rsidRDefault="00790D92" w:rsidP="00DC232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21AD">
              <w:rPr>
                <w:rFonts w:ascii="Times New Roman" w:hAnsi="Times New Roman"/>
                <w:sz w:val="20"/>
                <w:szCs w:val="20"/>
              </w:rPr>
              <w:t>Министерство на иновациите и растежа</w:t>
            </w:r>
          </w:p>
        </w:tc>
      </w:tr>
      <w:tr w:rsidR="004846C7" w:rsidRPr="002021AD" w14:paraId="43BDA606" w14:textId="77777777" w:rsidTr="00C9168C">
        <w:tc>
          <w:tcPr>
            <w:tcW w:w="2429" w:type="dxa"/>
            <w:shd w:val="clear" w:color="auto" w:fill="BFBFBF"/>
          </w:tcPr>
          <w:p w14:paraId="24B80D2E" w14:textId="77777777" w:rsidR="004846C7" w:rsidRPr="002021AD" w:rsidRDefault="00C25F18" w:rsidP="00DC232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1AD">
              <w:rPr>
                <w:rFonts w:ascii="Times New Roman" w:hAnsi="Times New Roman"/>
                <w:sz w:val="20"/>
                <w:szCs w:val="20"/>
              </w:rPr>
              <w:t>П</w:t>
            </w:r>
            <w:r w:rsidR="00955243" w:rsidRPr="002021AD">
              <w:rPr>
                <w:rFonts w:ascii="Times New Roman" w:hAnsi="Times New Roman"/>
                <w:sz w:val="20"/>
                <w:szCs w:val="20"/>
              </w:rPr>
              <w:t>рограма</w:t>
            </w:r>
          </w:p>
        </w:tc>
        <w:tc>
          <w:tcPr>
            <w:tcW w:w="8090" w:type="dxa"/>
            <w:shd w:val="clear" w:color="auto" w:fill="auto"/>
          </w:tcPr>
          <w:p w14:paraId="43DE5708" w14:textId="77777777" w:rsidR="004846C7" w:rsidRPr="002021AD" w:rsidRDefault="00790D92" w:rsidP="00DC232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1AD">
              <w:rPr>
                <w:rFonts w:ascii="Times New Roman" w:hAnsi="Times New Roman"/>
                <w:sz w:val="20"/>
                <w:szCs w:val="20"/>
              </w:rPr>
              <w:t>Програма „Конкурентоспособност и иновации в предприятията“ 2021-2027</w:t>
            </w:r>
            <w:r w:rsidR="00C52693" w:rsidRPr="002021AD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="0094265F" w:rsidRPr="002021AD">
              <w:rPr>
                <w:rFonts w:ascii="Times New Roman" w:hAnsi="Times New Roman"/>
                <w:sz w:val="20"/>
                <w:szCs w:val="20"/>
              </w:rPr>
              <w:t xml:space="preserve"> (ПКИП)</w:t>
            </w:r>
          </w:p>
        </w:tc>
      </w:tr>
      <w:tr w:rsidR="00D31D3D" w:rsidRPr="002021AD" w14:paraId="6394C125" w14:textId="77777777" w:rsidTr="00C9168C">
        <w:tc>
          <w:tcPr>
            <w:tcW w:w="2429" w:type="dxa"/>
            <w:shd w:val="clear" w:color="auto" w:fill="BFBFBF"/>
          </w:tcPr>
          <w:p w14:paraId="5D96FF08" w14:textId="77777777" w:rsidR="00D31D3D" w:rsidRPr="002021AD" w:rsidRDefault="00D31D3D" w:rsidP="00DC232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1AD">
              <w:rPr>
                <w:rFonts w:ascii="Times New Roman" w:hAnsi="Times New Roman"/>
                <w:sz w:val="20"/>
                <w:szCs w:val="20"/>
              </w:rPr>
              <w:t>Приоритет</w:t>
            </w:r>
          </w:p>
        </w:tc>
        <w:tc>
          <w:tcPr>
            <w:tcW w:w="8090" w:type="dxa"/>
            <w:shd w:val="clear" w:color="auto" w:fill="auto"/>
          </w:tcPr>
          <w:p w14:paraId="04C2C15B" w14:textId="77777777" w:rsidR="00967AB1" w:rsidRPr="002021AD" w:rsidRDefault="00967AB1" w:rsidP="00967AB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1AD">
              <w:rPr>
                <w:rFonts w:ascii="Times New Roman" w:hAnsi="Times New Roman"/>
                <w:sz w:val="20"/>
                <w:szCs w:val="20"/>
              </w:rPr>
              <w:t>Приоритет: 1. Иновации и растеж</w:t>
            </w:r>
          </w:p>
          <w:p w14:paraId="3E8085AB" w14:textId="77777777" w:rsidR="00D31D3D" w:rsidRPr="002021AD" w:rsidRDefault="00967AB1" w:rsidP="00967AB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1AD">
              <w:rPr>
                <w:rFonts w:ascii="Times New Roman" w:hAnsi="Times New Roman"/>
                <w:sz w:val="20"/>
                <w:szCs w:val="20"/>
              </w:rPr>
              <w:t>Приоритет: 2. Кръгова икономика</w:t>
            </w:r>
          </w:p>
        </w:tc>
      </w:tr>
      <w:tr w:rsidR="004846C7" w:rsidRPr="002021AD" w14:paraId="4FE8C632" w14:textId="77777777" w:rsidTr="00C9168C">
        <w:tc>
          <w:tcPr>
            <w:tcW w:w="2429" w:type="dxa"/>
            <w:shd w:val="clear" w:color="auto" w:fill="BFBFBF"/>
          </w:tcPr>
          <w:p w14:paraId="5CC281FB" w14:textId="77777777" w:rsidR="004846C7" w:rsidRPr="002021AD" w:rsidRDefault="00C25F18" w:rsidP="00DC232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21AD">
              <w:rPr>
                <w:rFonts w:ascii="Times New Roman" w:hAnsi="Times New Roman"/>
                <w:sz w:val="20"/>
                <w:szCs w:val="20"/>
              </w:rPr>
              <w:t>Специфична цел</w:t>
            </w:r>
            <w:r w:rsidR="0099664A" w:rsidRPr="002021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090" w:type="dxa"/>
            <w:shd w:val="clear" w:color="auto" w:fill="auto"/>
          </w:tcPr>
          <w:p w14:paraId="2D015659" w14:textId="77777777" w:rsidR="00967AB1" w:rsidRPr="002021AD" w:rsidRDefault="00DC3246" w:rsidP="00637872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21AD">
              <w:rPr>
                <w:rFonts w:ascii="Times New Roman" w:hAnsi="Times New Roman"/>
                <w:sz w:val="20"/>
                <w:szCs w:val="20"/>
              </w:rPr>
              <w:t>Специфична цел: RSO1.1. Развитие и засилване на капацитета за научни изследвания и иновации и на внедряването на модерни технологии</w:t>
            </w:r>
            <w:r w:rsidRPr="002021A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21AD">
              <w:rPr>
                <w:rFonts w:ascii="Times New Roman" w:hAnsi="Times New Roman"/>
                <w:sz w:val="20"/>
                <w:szCs w:val="20"/>
              </w:rPr>
              <w:t>(ЕФРР)</w:t>
            </w:r>
          </w:p>
          <w:p w14:paraId="275A57D8" w14:textId="77777777" w:rsidR="004846C7" w:rsidRPr="002021AD" w:rsidRDefault="00967AB1" w:rsidP="00637872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21AD">
              <w:rPr>
                <w:rFonts w:ascii="Times New Roman" w:hAnsi="Times New Roman"/>
                <w:sz w:val="20"/>
                <w:szCs w:val="20"/>
              </w:rPr>
              <w:t>Специфична цел: RSO2.6. Насърчаване на прехода към кръгова и основаваща се на ефективно използване на ресурсите икономика</w:t>
            </w:r>
            <w:r w:rsidR="00637872" w:rsidRPr="00F401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7872" w:rsidRPr="002021AD">
              <w:rPr>
                <w:rFonts w:ascii="Times New Roman" w:hAnsi="Times New Roman"/>
                <w:sz w:val="20"/>
                <w:szCs w:val="20"/>
              </w:rPr>
              <w:t>(ЕФРР)</w:t>
            </w:r>
          </w:p>
        </w:tc>
      </w:tr>
      <w:tr w:rsidR="004846C7" w:rsidRPr="00C1711D" w14:paraId="67C140A8" w14:textId="77777777" w:rsidTr="00C9168C">
        <w:tc>
          <w:tcPr>
            <w:tcW w:w="2429" w:type="dxa"/>
            <w:shd w:val="clear" w:color="auto" w:fill="BFBFBF"/>
          </w:tcPr>
          <w:p w14:paraId="30084601" w14:textId="77777777" w:rsidR="004846C7" w:rsidRPr="00C1711D" w:rsidRDefault="0059012A" w:rsidP="00DC232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711D">
              <w:rPr>
                <w:rFonts w:ascii="Times New Roman" w:hAnsi="Times New Roman"/>
                <w:sz w:val="20"/>
                <w:szCs w:val="20"/>
              </w:rPr>
              <w:t>Наименование на процедурата</w:t>
            </w:r>
            <w:r w:rsidR="003B5E7E" w:rsidRPr="00C1711D">
              <w:rPr>
                <w:rFonts w:ascii="Times New Roman" w:hAnsi="Times New Roman"/>
                <w:sz w:val="20"/>
                <w:szCs w:val="20"/>
              </w:rPr>
              <w:t>/процедурите</w:t>
            </w:r>
          </w:p>
        </w:tc>
        <w:tc>
          <w:tcPr>
            <w:tcW w:w="8090" w:type="dxa"/>
            <w:shd w:val="clear" w:color="auto" w:fill="auto"/>
          </w:tcPr>
          <w:p w14:paraId="48726609" w14:textId="2BE990FE" w:rsidR="004846C7" w:rsidRPr="00C1711D" w:rsidRDefault="00967AB1" w:rsidP="00A53D65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1711D">
              <w:rPr>
                <w:rFonts w:ascii="Times New Roman" w:hAnsi="Times New Roman"/>
                <w:b/>
                <w:sz w:val="20"/>
                <w:szCs w:val="20"/>
              </w:rPr>
              <w:t>„</w:t>
            </w:r>
            <w:r w:rsidR="00A53D65" w:rsidRPr="00A53D65">
              <w:rPr>
                <w:rFonts w:ascii="Times New Roman" w:hAnsi="Times New Roman"/>
                <w:b/>
                <w:sz w:val="20"/>
                <w:szCs w:val="20"/>
              </w:rPr>
              <w:t>Внедряване на иновации в МСП на територията на местни инициативни групи (МИГ)</w:t>
            </w:r>
            <w:r w:rsidRPr="00C1711D">
              <w:rPr>
                <w:rFonts w:ascii="Times New Roman" w:hAnsi="Times New Roman"/>
                <w:b/>
                <w:sz w:val="20"/>
                <w:szCs w:val="20"/>
              </w:rPr>
              <w:t>“</w:t>
            </w:r>
          </w:p>
        </w:tc>
      </w:tr>
      <w:tr w:rsidR="004846C7" w:rsidRPr="00C1711D" w14:paraId="400A8E37" w14:textId="77777777" w:rsidTr="00C9168C">
        <w:tc>
          <w:tcPr>
            <w:tcW w:w="2429" w:type="dxa"/>
            <w:shd w:val="clear" w:color="auto" w:fill="BFBFBF"/>
          </w:tcPr>
          <w:p w14:paraId="7BDA619E" w14:textId="77777777" w:rsidR="004846C7" w:rsidRPr="00C1711D" w:rsidRDefault="00A878B0" w:rsidP="00DC232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711D">
              <w:rPr>
                <w:rFonts w:ascii="Times New Roman" w:hAnsi="Times New Roman"/>
                <w:sz w:val="20"/>
                <w:szCs w:val="20"/>
              </w:rPr>
              <w:t>Цел</w:t>
            </w:r>
          </w:p>
        </w:tc>
        <w:tc>
          <w:tcPr>
            <w:tcW w:w="8090" w:type="dxa"/>
            <w:shd w:val="clear" w:color="auto" w:fill="auto"/>
          </w:tcPr>
          <w:p w14:paraId="03DFDC85" w14:textId="6C2D2C2D" w:rsidR="0097222B" w:rsidRPr="0097222B" w:rsidRDefault="0097222B" w:rsidP="0097222B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222B">
              <w:rPr>
                <w:rFonts w:ascii="Times New Roman" w:hAnsi="Times New Roman"/>
                <w:sz w:val="20"/>
                <w:szCs w:val="20"/>
              </w:rPr>
              <w:t xml:space="preserve">Основната цел </w:t>
            </w:r>
            <w:r w:rsidR="005579D6">
              <w:rPr>
                <w:rFonts w:ascii="Times New Roman" w:hAnsi="Times New Roman"/>
                <w:sz w:val="20"/>
                <w:szCs w:val="20"/>
              </w:rPr>
              <w:t xml:space="preserve">на процедурата </w:t>
            </w:r>
            <w:r w:rsidRPr="0097222B">
              <w:rPr>
                <w:rFonts w:ascii="Times New Roman" w:hAnsi="Times New Roman"/>
                <w:sz w:val="20"/>
                <w:szCs w:val="20"/>
              </w:rPr>
              <w:t>е предоставяне на подкрепа на МСП на териториите на МИГ с одобрено допълващо финансиране по ПКИП</w:t>
            </w:r>
            <w:r w:rsidR="000034DB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1"/>
            </w:r>
            <w:r w:rsidRPr="0097222B">
              <w:rPr>
                <w:rFonts w:ascii="Times New Roman" w:hAnsi="Times New Roman"/>
                <w:sz w:val="20"/>
                <w:szCs w:val="20"/>
              </w:rPr>
              <w:t xml:space="preserve"> за </w:t>
            </w:r>
            <w:r w:rsidRPr="0097222B">
              <w:rPr>
                <w:rFonts w:ascii="Times New Roman" w:hAnsi="Times New Roman"/>
                <w:b/>
                <w:sz w:val="20"/>
                <w:szCs w:val="20"/>
              </w:rPr>
              <w:t xml:space="preserve">внедряване на иновации, базирани на нови или подобрени продукти и/или  </w:t>
            </w:r>
            <w:r w:rsidR="00330204">
              <w:rPr>
                <w:rFonts w:ascii="Times New Roman" w:hAnsi="Times New Roman"/>
                <w:b/>
                <w:sz w:val="20"/>
                <w:szCs w:val="20"/>
              </w:rPr>
              <w:t xml:space="preserve">бизнес </w:t>
            </w:r>
            <w:r w:rsidRPr="0097222B">
              <w:rPr>
                <w:rFonts w:ascii="Times New Roman" w:hAnsi="Times New Roman"/>
                <w:b/>
                <w:sz w:val="20"/>
                <w:szCs w:val="20"/>
              </w:rPr>
              <w:t>процеси</w:t>
            </w:r>
            <w:r w:rsidRPr="0097222B">
              <w:rPr>
                <w:rFonts w:ascii="Times New Roman" w:hAnsi="Times New Roman"/>
                <w:sz w:val="20"/>
                <w:szCs w:val="20"/>
              </w:rPr>
              <w:t>, с което да се повиши иновационната им дейност и конкурентоспособност.</w:t>
            </w:r>
          </w:p>
          <w:p w14:paraId="3E1B8001" w14:textId="2800D800" w:rsidR="00D934C9" w:rsidRPr="00DC06A2" w:rsidRDefault="0097222B" w:rsidP="00D05232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6AFB">
              <w:rPr>
                <w:rFonts w:ascii="Times New Roman" w:hAnsi="Times New Roman"/>
                <w:sz w:val="20"/>
                <w:szCs w:val="20"/>
              </w:rPr>
              <w:t xml:space="preserve">Подкрепата по ПКИП </w:t>
            </w:r>
            <w:r w:rsidR="00606AFB" w:rsidRPr="00606AFB">
              <w:rPr>
                <w:rFonts w:ascii="Times New Roman" w:hAnsi="Times New Roman"/>
                <w:sz w:val="20"/>
                <w:szCs w:val="20"/>
              </w:rPr>
              <w:t>цели да допринесе</w:t>
            </w:r>
            <w:r w:rsidR="00D05232" w:rsidRPr="00042F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6AFB">
              <w:rPr>
                <w:rFonts w:ascii="Times New Roman" w:hAnsi="Times New Roman"/>
                <w:sz w:val="20"/>
                <w:szCs w:val="20"/>
              </w:rPr>
              <w:t xml:space="preserve">за постигането на целите на подхода </w:t>
            </w:r>
            <w:r w:rsidR="000D71F9" w:rsidRPr="00606AFB">
              <w:rPr>
                <w:rFonts w:ascii="Times New Roman" w:hAnsi="Times New Roman"/>
                <w:sz w:val="20"/>
                <w:szCs w:val="20"/>
              </w:rPr>
              <w:t>Водено от общностите местно развитие (ВОМР)</w:t>
            </w:r>
            <w:r w:rsidR="00606AFB" w:rsidRPr="00606AF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C06A2">
              <w:rPr>
                <w:rFonts w:ascii="Times New Roman" w:hAnsi="Times New Roman"/>
                <w:sz w:val="20"/>
                <w:szCs w:val="20"/>
              </w:rPr>
              <w:t>свързани с</w:t>
            </w:r>
            <w:r w:rsidR="00606AFB" w:rsidRPr="00606AFB">
              <w:rPr>
                <w:rFonts w:ascii="Times New Roman" w:hAnsi="Times New Roman"/>
                <w:sz w:val="20"/>
                <w:szCs w:val="20"/>
              </w:rPr>
              <w:t xml:space="preserve"> подобряване на условията на живот на териториите на местните общности, създаване на динамична жизнена среда и подобряване качеството на живот</w:t>
            </w:r>
            <w:r w:rsidR="00606AFB" w:rsidRPr="005579D6">
              <w:rPr>
                <w:rFonts w:ascii="Times New Roman" w:hAnsi="Times New Roman"/>
                <w:sz w:val="20"/>
                <w:szCs w:val="20"/>
              </w:rPr>
              <w:t>, п</w:t>
            </w:r>
            <w:r w:rsidR="00606AFB" w:rsidRPr="00606AFB">
              <w:rPr>
                <w:rFonts w:ascii="Times New Roman" w:hAnsi="Times New Roman"/>
                <w:sz w:val="20"/>
                <w:szCs w:val="20"/>
              </w:rPr>
              <w:t xml:space="preserve">овишаване на конкурентоспособността на местните икономики и възможности за </w:t>
            </w:r>
            <w:r w:rsidR="00DF7932">
              <w:rPr>
                <w:rFonts w:ascii="Times New Roman" w:hAnsi="Times New Roman"/>
                <w:sz w:val="20"/>
                <w:szCs w:val="20"/>
              </w:rPr>
              <w:t>развитие</w:t>
            </w:r>
            <w:r w:rsidR="00606AFB" w:rsidRPr="00606AFB">
              <w:rPr>
                <w:rFonts w:ascii="Times New Roman" w:hAnsi="Times New Roman"/>
                <w:sz w:val="20"/>
                <w:szCs w:val="20"/>
              </w:rPr>
              <w:t xml:space="preserve"> на местен бизнес. Въ</w:t>
            </w:r>
            <w:r w:rsidR="00606AFB" w:rsidRPr="009C0BEA">
              <w:rPr>
                <w:rFonts w:ascii="Times New Roman" w:hAnsi="Times New Roman"/>
                <w:sz w:val="20"/>
                <w:szCs w:val="20"/>
              </w:rPr>
              <w:t xml:space="preserve">веждането на модерните технологии и иновациите от страна на предприятията </w:t>
            </w:r>
            <w:r w:rsidR="00606AFB">
              <w:rPr>
                <w:rFonts w:ascii="Times New Roman" w:hAnsi="Times New Roman"/>
                <w:sz w:val="20"/>
                <w:szCs w:val="20"/>
              </w:rPr>
              <w:t xml:space="preserve">на местно ниво </w:t>
            </w:r>
            <w:r w:rsidR="00606AFB" w:rsidRPr="00606AFB">
              <w:rPr>
                <w:rFonts w:ascii="Times New Roman" w:hAnsi="Times New Roman"/>
                <w:sz w:val="20"/>
                <w:szCs w:val="20"/>
              </w:rPr>
              <w:t>имат ключова роля за постигането на тези цели.</w:t>
            </w:r>
          </w:p>
        </w:tc>
      </w:tr>
      <w:tr w:rsidR="00992507" w:rsidRPr="00C1711D" w14:paraId="29078B37" w14:textId="77777777" w:rsidTr="00C9168C">
        <w:tc>
          <w:tcPr>
            <w:tcW w:w="2429" w:type="dxa"/>
            <w:shd w:val="clear" w:color="auto" w:fill="BFBFBF"/>
          </w:tcPr>
          <w:p w14:paraId="6FFEA460" w14:textId="77777777" w:rsidR="00992507" w:rsidRPr="00C1711D" w:rsidRDefault="00992507" w:rsidP="00DC232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711D">
              <w:rPr>
                <w:rFonts w:ascii="Times New Roman" w:hAnsi="Times New Roman"/>
                <w:sz w:val="20"/>
                <w:szCs w:val="20"/>
              </w:rPr>
              <w:t>Обосновка</w:t>
            </w:r>
          </w:p>
        </w:tc>
        <w:tc>
          <w:tcPr>
            <w:tcW w:w="8090" w:type="dxa"/>
            <w:shd w:val="clear" w:color="auto" w:fill="auto"/>
          </w:tcPr>
          <w:p w14:paraId="16F4F342" w14:textId="567E4141" w:rsidR="0097222B" w:rsidRPr="0097222B" w:rsidRDefault="0097222B" w:rsidP="0097222B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222B">
              <w:rPr>
                <w:rFonts w:ascii="Times New Roman" w:hAnsi="Times New Roman"/>
                <w:sz w:val="20"/>
                <w:szCs w:val="20"/>
              </w:rPr>
              <w:t xml:space="preserve">Съгласно Споразумението за партньорство, по линия на Европейския фонд за регионално развитие (ЕФРР), е предвиден финансов ресурс в размер на 2% </w:t>
            </w:r>
            <w:r w:rsidR="000D71F9">
              <w:rPr>
                <w:rFonts w:ascii="Times New Roman" w:hAnsi="Times New Roman"/>
                <w:sz w:val="20"/>
                <w:szCs w:val="20"/>
              </w:rPr>
              <w:t>за</w:t>
            </w:r>
            <w:r w:rsidRPr="0097222B">
              <w:rPr>
                <w:rFonts w:ascii="Times New Roman" w:hAnsi="Times New Roman"/>
                <w:sz w:val="20"/>
                <w:szCs w:val="20"/>
              </w:rPr>
              <w:t xml:space="preserve"> изпълнение на подхода ВОМР</w:t>
            </w:r>
            <w:r w:rsidR="00474514">
              <w:rPr>
                <w:rFonts w:ascii="Times New Roman" w:hAnsi="Times New Roman"/>
                <w:sz w:val="20"/>
                <w:szCs w:val="20"/>
              </w:rPr>
              <w:t>, в т.ч. и от ПКИП</w:t>
            </w:r>
            <w:r w:rsidRPr="0097222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E24F288" w14:textId="6EF4801C" w:rsidR="0097222B" w:rsidRPr="0097222B" w:rsidRDefault="0097222B" w:rsidP="0097222B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222B">
              <w:rPr>
                <w:rFonts w:ascii="Times New Roman" w:hAnsi="Times New Roman"/>
                <w:sz w:val="20"/>
                <w:szCs w:val="20"/>
              </w:rPr>
              <w:t>През програмен период 2021-2027 подходът ВОМР се прилага еднофондово, с финансиране от Европейския земеделски фонд за развитие на селските райони (EЗФРСР)</w:t>
            </w:r>
            <w:r w:rsidR="00251884">
              <w:rPr>
                <w:rFonts w:ascii="Times New Roman" w:hAnsi="Times New Roman"/>
                <w:sz w:val="20"/>
                <w:szCs w:val="20"/>
              </w:rPr>
              <w:t xml:space="preserve"> чрез </w:t>
            </w:r>
            <w:r w:rsidR="00251884" w:rsidRPr="000D71F9">
              <w:rPr>
                <w:rFonts w:ascii="Times New Roman" w:hAnsi="Times New Roman"/>
                <w:sz w:val="20"/>
                <w:szCs w:val="20"/>
              </w:rPr>
              <w:t>Стратегическия план за развитие на земеделието и селските райони за периода 2023–2027 г.</w:t>
            </w:r>
            <w:r w:rsidR="00251884">
              <w:rPr>
                <w:rFonts w:ascii="Times New Roman" w:hAnsi="Times New Roman"/>
                <w:sz w:val="20"/>
                <w:szCs w:val="20"/>
              </w:rPr>
              <w:t xml:space="preserve"> (СПРЗСР)</w:t>
            </w:r>
            <w:r w:rsidRPr="0097222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FD3F0D" w:rsidRPr="0097222B">
              <w:rPr>
                <w:rFonts w:ascii="Times New Roman" w:hAnsi="Times New Roman"/>
                <w:sz w:val="20"/>
                <w:szCs w:val="20"/>
              </w:rPr>
              <w:t>ПКИП</w:t>
            </w:r>
            <w:r w:rsidR="00FD3F0D">
              <w:rPr>
                <w:rFonts w:ascii="Times New Roman" w:hAnsi="Times New Roman"/>
                <w:sz w:val="20"/>
                <w:szCs w:val="20"/>
              </w:rPr>
              <w:t>,</w:t>
            </w:r>
            <w:r w:rsidR="00FD3F0D" w:rsidRPr="009722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4514">
              <w:rPr>
                <w:rFonts w:ascii="Times New Roman" w:hAnsi="Times New Roman"/>
                <w:sz w:val="20"/>
                <w:szCs w:val="20"/>
              </w:rPr>
              <w:t>П</w:t>
            </w:r>
            <w:r w:rsidRPr="0097222B">
              <w:rPr>
                <w:rFonts w:ascii="Times New Roman" w:hAnsi="Times New Roman"/>
                <w:sz w:val="20"/>
                <w:szCs w:val="20"/>
              </w:rPr>
              <w:t xml:space="preserve">рограма „Околна среда” (ПОС), </w:t>
            </w:r>
            <w:r w:rsidR="00474514">
              <w:rPr>
                <w:rFonts w:ascii="Times New Roman" w:hAnsi="Times New Roman"/>
                <w:sz w:val="20"/>
                <w:szCs w:val="20"/>
              </w:rPr>
              <w:t>П</w:t>
            </w:r>
            <w:r w:rsidRPr="0097222B">
              <w:rPr>
                <w:rFonts w:ascii="Times New Roman" w:hAnsi="Times New Roman"/>
                <w:sz w:val="20"/>
                <w:szCs w:val="20"/>
              </w:rPr>
              <w:t>рограма „Развитие на човешките ресурси” (ПРЧР)</w:t>
            </w:r>
            <w:r w:rsidR="00FD3F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222B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="00474514">
              <w:rPr>
                <w:rFonts w:ascii="Times New Roman" w:hAnsi="Times New Roman"/>
                <w:sz w:val="20"/>
                <w:szCs w:val="20"/>
              </w:rPr>
              <w:t>П</w:t>
            </w:r>
            <w:r w:rsidRPr="0097222B">
              <w:rPr>
                <w:rFonts w:ascii="Times New Roman" w:hAnsi="Times New Roman"/>
                <w:sz w:val="20"/>
                <w:szCs w:val="20"/>
              </w:rPr>
              <w:t xml:space="preserve">рограма „Образование“ (ПО) ще предоставят </w:t>
            </w:r>
            <w:r w:rsidRPr="000D71F9">
              <w:rPr>
                <w:rFonts w:ascii="Times New Roman" w:hAnsi="Times New Roman"/>
                <w:b/>
                <w:sz w:val="20"/>
                <w:szCs w:val="20"/>
              </w:rPr>
              <w:t xml:space="preserve">допълващо финансиране </w:t>
            </w:r>
            <w:r w:rsidRPr="000D71F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под формата на безвъзмездна финансова помощ</w:t>
            </w:r>
            <w:r w:rsidRPr="0097222B">
              <w:rPr>
                <w:rFonts w:ascii="Times New Roman" w:hAnsi="Times New Roman"/>
                <w:sz w:val="20"/>
                <w:szCs w:val="20"/>
              </w:rPr>
              <w:t xml:space="preserve"> на допустими бенефициенти </w:t>
            </w:r>
            <w:r w:rsidRPr="00DF14E1">
              <w:rPr>
                <w:rFonts w:ascii="Times New Roman" w:hAnsi="Times New Roman"/>
                <w:b/>
                <w:sz w:val="20"/>
                <w:szCs w:val="20"/>
              </w:rPr>
              <w:t>на териториите</w:t>
            </w:r>
            <w:r w:rsidRPr="0097222B">
              <w:rPr>
                <w:rFonts w:ascii="Times New Roman" w:hAnsi="Times New Roman"/>
                <w:sz w:val="20"/>
                <w:szCs w:val="20"/>
              </w:rPr>
              <w:t xml:space="preserve"> на МИГ в рамките на одобрения бюджет.</w:t>
            </w:r>
          </w:p>
          <w:p w14:paraId="09F94762" w14:textId="77777777" w:rsidR="007A6FEB" w:rsidRDefault="00091E98" w:rsidP="00091E98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Доколкото новите технологии, иновациите и устойчивото развитие имат </w:t>
            </w:r>
            <w:r w:rsidRPr="00091E98">
              <w:rPr>
                <w:rFonts w:ascii="Times New Roman" w:hAnsi="Times New Roman"/>
                <w:sz w:val="20"/>
                <w:szCs w:val="20"/>
              </w:rPr>
              <w:t>трансформираща роля в развит</w:t>
            </w:r>
            <w:r>
              <w:rPr>
                <w:rFonts w:ascii="Times New Roman" w:hAnsi="Times New Roman"/>
                <w:sz w:val="20"/>
                <w:szCs w:val="20"/>
              </w:rPr>
              <w:t>ието на съвременния бизнес и</w:t>
            </w:r>
            <w:r w:rsidRPr="00091E98">
              <w:rPr>
                <w:rFonts w:ascii="Times New Roman" w:hAnsi="Times New Roman"/>
                <w:sz w:val="20"/>
                <w:szCs w:val="20"/>
              </w:rPr>
              <w:t xml:space="preserve"> действат </w:t>
            </w:r>
            <w:r>
              <w:rPr>
                <w:rFonts w:ascii="Times New Roman" w:hAnsi="Times New Roman"/>
                <w:sz w:val="20"/>
                <w:szCs w:val="20"/>
              </w:rPr>
              <w:t>като основен двигател за растеж и</w:t>
            </w:r>
            <w:r w:rsidRPr="00091E98">
              <w:rPr>
                <w:rFonts w:ascii="Times New Roman" w:hAnsi="Times New Roman"/>
                <w:sz w:val="20"/>
                <w:szCs w:val="20"/>
              </w:rPr>
              <w:t xml:space="preserve"> ко</w:t>
            </w:r>
            <w:r>
              <w:rPr>
                <w:rFonts w:ascii="Times New Roman" w:hAnsi="Times New Roman"/>
                <w:sz w:val="20"/>
                <w:szCs w:val="20"/>
              </w:rPr>
              <w:t>нкурентоспособност, допълващото финансиране по линия на ПКИП е насочено именно в тази посока</w:t>
            </w:r>
            <w:r w:rsidRPr="00091E9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1E98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3BF0F8AC" w14:textId="1F1D04F9" w:rsidR="00A84D0D" w:rsidRPr="00566499" w:rsidRDefault="00A84D0D" w:rsidP="00A84D0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499">
              <w:rPr>
                <w:rFonts w:ascii="Times New Roman" w:hAnsi="Times New Roman"/>
                <w:sz w:val="20"/>
                <w:szCs w:val="20"/>
              </w:rPr>
              <w:t>Според класацията Европейско табло за иновации (European Innovation Scoreboard 2025) през 2025 г. България продължава да попада в групата на страните „нововъзникващи иноватори“ с обобще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 иновационен индекс от 45,8%. </w:t>
            </w:r>
            <w:r w:rsidRPr="00566499">
              <w:rPr>
                <w:rFonts w:ascii="Times New Roman" w:hAnsi="Times New Roman"/>
                <w:sz w:val="20"/>
                <w:szCs w:val="20"/>
              </w:rPr>
              <w:t>Иновационният пейзаж на България разкрива поляризирана структура, с относително нисък дял на фирмите, които активно внедряват иновации, като същевременно близо половината (49,6%) от тях попадат в категорията на неиноваторите, без склонност към иновации, което е значително над средното за ЕС - 30,6%.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Данните относно производителността на ресурсите и </w:t>
            </w:r>
            <w:r w:rsidRPr="002411BF">
              <w:rPr>
                <w:rFonts w:ascii="Times New Roman" w:hAnsi="Times New Roman"/>
                <w:sz w:val="20"/>
                <w:szCs w:val="20"/>
              </w:rPr>
              <w:t>процентът на кръгово използване на материалите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съгласно </w:t>
            </w:r>
            <w:r w:rsidRPr="00A84D0D">
              <w:rPr>
                <w:rFonts w:ascii="Times New Roman" w:hAnsi="Times New Roman"/>
                <w:i/>
                <w:sz w:val="20"/>
                <w:szCs w:val="20"/>
              </w:rPr>
              <w:t>Доклада за България относно изпълнението на политиките на ЕС в областта на околната среда за 2025 г.</w:t>
            </w:r>
            <w:r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2"/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също поставят България в дъното на класацията по държави членки.  </w:t>
            </w:r>
          </w:p>
          <w:p w14:paraId="37A393E8" w14:textId="39E4115A" w:rsidR="00091E98" w:rsidRPr="00091E98" w:rsidRDefault="00A84D0D" w:rsidP="00091E98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Слабото представяне на България в областта на иновациите и устойчивото използване на ресурсите и с оглед</w:t>
            </w:r>
            <w:r w:rsidR="00C50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потенциала, който тези области имат по отношение развитието на българските предприятия</w:t>
            </w:r>
            <w:r w:rsidR="0078389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обуславят и обхвата на допълващото финансиране по ПКИП</w:t>
            </w:r>
            <w:r w:rsidR="00C50F89">
              <w:rPr>
                <w:rFonts w:ascii="Times New Roman" w:hAnsi="Times New Roman"/>
                <w:sz w:val="20"/>
                <w:szCs w:val="20"/>
              </w:rPr>
              <w:t>. Същото е насочено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посока </w:t>
            </w:r>
            <w:r w:rsidR="007A6FEB" w:rsidRPr="00091E98">
              <w:rPr>
                <w:rFonts w:ascii="Times New Roman" w:hAnsi="Times New Roman"/>
                <w:sz w:val="20"/>
                <w:szCs w:val="20"/>
              </w:rPr>
              <w:t xml:space="preserve">внедряване на иновации </w:t>
            </w:r>
            <w:r w:rsidR="007A6FEB">
              <w:rPr>
                <w:rFonts w:ascii="Times New Roman" w:hAnsi="Times New Roman"/>
                <w:sz w:val="20"/>
                <w:szCs w:val="20"/>
              </w:rPr>
              <w:t xml:space="preserve">съгласно </w:t>
            </w:r>
            <w:r w:rsidR="007A6FEB" w:rsidRPr="00091E98">
              <w:rPr>
                <w:rFonts w:ascii="Times New Roman" w:hAnsi="Times New Roman"/>
                <w:sz w:val="20"/>
                <w:szCs w:val="20"/>
              </w:rPr>
              <w:t xml:space="preserve">тематичните области на </w:t>
            </w:r>
            <w:r w:rsidR="007A6FEB">
              <w:rPr>
                <w:rFonts w:ascii="Times New Roman" w:hAnsi="Times New Roman"/>
                <w:sz w:val="20"/>
                <w:szCs w:val="20"/>
              </w:rPr>
              <w:t>Иновационната стратегия</w:t>
            </w:r>
            <w:r w:rsidR="007A6FEB" w:rsidRPr="00091E98">
              <w:rPr>
                <w:rFonts w:ascii="Times New Roman" w:hAnsi="Times New Roman"/>
                <w:sz w:val="20"/>
                <w:szCs w:val="20"/>
              </w:rPr>
              <w:t xml:space="preserve"> за интелигентна специализация</w:t>
            </w:r>
            <w:r w:rsidR="007A6FEB">
              <w:rPr>
                <w:rFonts w:ascii="Times New Roman" w:hAnsi="Times New Roman"/>
                <w:sz w:val="20"/>
                <w:szCs w:val="20"/>
              </w:rPr>
              <w:t xml:space="preserve"> 2021-2027 (ИСИС)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вкл. в област </w:t>
            </w:r>
            <w:r w:rsidRPr="00A84D0D">
              <w:rPr>
                <w:rFonts w:ascii="Times New Roman" w:hAnsi="Times New Roman"/>
                <w:sz w:val="20"/>
                <w:szCs w:val="20"/>
              </w:rPr>
              <w:t>“Чисти технологии, кръгова и нисковъглеродна икономика”</w:t>
            </w:r>
            <w:r w:rsidR="007A6FEB">
              <w:rPr>
                <w:rFonts w:ascii="Times New Roman" w:hAnsi="Times New Roman"/>
                <w:sz w:val="20"/>
                <w:szCs w:val="20"/>
              </w:rPr>
              <w:t xml:space="preserve">. Иновациите следва да са свързани с </w:t>
            </w:r>
            <w:r w:rsidR="0078389A">
              <w:rPr>
                <w:rFonts w:ascii="Times New Roman" w:hAnsi="Times New Roman"/>
                <w:sz w:val="20"/>
                <w:szCs w:val="20"/>
              </w:rPr>
              <w:t xml:space="preserve">внедряване </w:t>
            </w:r>
            <w:r w:rsidR="007A6FEB">
              <w:rPr>
                <w:rFonts w:ascii="Times New Roman" w:hAnsi="Times New Roman"/>
                <w:sz w:val="20"/>
                <w:szCs w:val="20"/>
              </w:rPr>
              <w:t>на нови или подобрени продукти (стоки или услуги) или бизнес процеси</w:t>
            </w:r>
            <w:r w:rsidR="00170B29">
              <w:rPr>
                <w:rFonts w:ascii="Times New Roman" w:hAnsi="Times New Roman"/>
                <w:sz w:val="20"/>
                <w:szCs w:val="20"/>
              </w:rPr>
              <w:t>,</w:t>
            </w:r>
            <w:r w:rsidR="007A6FEB">
              <w:rPr>
                <w:rFonts w:ascii="Times New Roman" w:hAnsi="Times New Roman"/>
                <w:sz w:val="20"/>
                <w:szCs w:val="20"/>
              </w:rPr>
              <w:t xml:space="preserve"> като р</w:t>
            </w:r>
            <w:r w:rsidR="00091E98">
              <w:rPr>
                <w:rFonts w:ascii="Times New Roman" w:hAnsi="Times New Roman"/>
                <w:sz w:val="20"/>
                <w:szCs w:val="20"/>
              </w:rPr>
              <w:t>есурсът по програмата е осигурен по линия на</w:t>
            </w:r>
            <w:r w:rsidR="00091E98" w:rsidRPr="00091E98">
              <w:rPr>
                <w:rFonts w:ascii="Times New Roman" w:hAnsi="Times New Roman"/>
                <w:sz w:val="20"/>
                <w:szCs w:val="20"/>
              </w:rPr>
              <w:t xml:space="preserve"> следните приоритети и специфични цели:</w:t>
            </w:r>
          </w:p>
          <w:p w14:paraId="196E0067" w14:textId="5DB52F10" w:rsidR="00091E98" w:rsidRPr="00091E98" w:rsidRDefault="00091E98" w:rsidP="00091E98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91E98">
              <w:rPr>
                <w:rFonts w:ascii="Times New Roman" w:hAnsi="Times New Roman"/>
                <w:b/>
                <w:sz w:val="20"/>
                <w:szCs w:val="20"/>
              </w:rPr>
              <w:t>•</w:t>
            </w:r>
            <w:r w:rsidRPr="00091E98">
              <w:rPr>
                <w:rFonts w:ascii="Times New Roman" w:hAnsi="Times New Roman"/>
                <w:b/>
                <w:sz w:val="20"/>
                <w:szCs w:val="20"/>
              </w:rPr>
              <w:tab/>
              <w:t>Приоритет 1 „Иновации и растеж“,  Специфична цел</w:t>
            </w:r>
            <w:r w:rsidR="00DF793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F7932" w:rsidRPr="00DF7932">
              <w:rPr>
                <w:rFonts w:ascii="Times New Roman" w:hAnsi="Times New Roman"/>
                <w:b/>
                <w:sz w:val="20"/>
                <w:szCs w:val="20"/>
              </w:rPr>
              <w:t>RSO</w:t>
            </w:r>
            <w:r w:rsidR="00DC06A2">
              <w:rPr>
                <w:rFonts w:ascii="Times New Roman" w:hAnsi="Times New Roman"/>
                <w:b/>
                <w:sz w:val="20"/>
                <w:szCs w:val="20"/>
              </w:rPr>
              <w:t xml:space="preserve"> 1.1.</w:t>
            </w:r>
            <w:r w:rsidRPr="00091E98">
              <w:rPr>
                <w:rFonts w:ascii="Times New Roman" w:hAnsi="Times New Roman"/>
                <w:b/>
                <w:sz w:val="20"/>
                <w:szCs w:val="20"/>
              </w:rPr>
              <w:t xml:space="preserve"> „Развитие и засилване на капацитета за научни изследвания и иновации и на внедряването на модерни технологии“</w:t>
            </w:r>
            <w:r w:rsidR="007A6FEB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7A6FEB" w:rsidRPr="007A6FEB">
              <w:rPr>
                <w:rFonts w:ascii="Times New Roman" w:hAnsi="Times New Roman"/>
                <w:sz w:val="20"/>
                <w:szCs w:val="20"/>
              </w:rPr>
              <w:t xml:space="preserve">за проекти, попадащи в областите на ИСИС </w:t>
            </w:r>
            <w:r w:rsidR="007A6FEB">
              <w:rPr>
                <w:rFonts w:ascii="Times New Roman" w:hAnsi="Times New Roman"/>
                <w:sz w:val="20"/>
                <w:szCs w:val="20"/>
              </w:rPr>
              <w:t>„</w:t>
            </w:r>
            <w:r w:rsidR="007A6FEB" w:rsidRPr="007A6FEB">
              <w:rPr>
                <w:rFonts w:ascii="Times New Roman" w:hAnsi="Times New Roman"/>
                <w:sz w:val="20"/>
                <w:szCs w:val="20"/>
              </w:rPr>
              <w:t>Информатика и ИКТ”; “Мехатроника и микроелектроника”; “Индустрии за здравословен живот, биоикономика и биотехнологии”</w:t>
            </w:r>
            <w:r w:rsidR="007A6FEB">
              <w:rPr>
                <w:rFonts w:ascii="Times New Roman" w:hAnsi="Times New Roman"/>
                <w:sz w:val="20"/>
                <w:szCs w:val="20"/>
              </w:rPr>
              <w:t xml:space="preserve"> или</w:t>
            </w:r>
            <w:r w:rsidR="007A6FEB" w:rsidRPr="007A6FEB">
              <w:rPr>
                <w:rFonts w:ascii="Times New Roman" w:hAnsi="Times New Roman"/>
                <w:sz w:val="20"/>
                <w:szCs w:val="20"/>
              </w:rPr>
              <w:t xml:space="preserve"> “Нови технологии в креативни и рекреативни индустрии”)</w:t>
            </w:r>
            <w:r w:rsidR="007A6F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6FEB" w:rsidRPr="00DF14E1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</w:p>
          <w:p w14:paraId="50CB661A" w14:textId="6333433C" w:rsidR="00091E98" w:rsidRDefault="00091E98" w:rsidP="00091E98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E98">
              <w:rPr>
                <w:rFonts w:ascii="Times New Roman" w:hAnsi="Times New Roman"/>
                <w:sz w:val="20"/>
                <w:szCs w:val="20"/>
              </w:rPr>
              <w:t>•</w:t>
            </w:r>
            <w:r w:rsidRPr="00091E98">
              <w:rPr>
                <w:rFonts w:ascii="Times New Roman" w:hAnsi="Times New Roman"/>
                <w:sz w:val="20"/>
                <w:szCs w:val="20"/>
              </w:rPr>
              <w:tab/>
            </w:r>
            <w:r w:rsidRPr="00091E98">
              <w:rPr>
                <w:rFonts w:ascii="Times New Roman" w:hAnsi="Times New Roman"/>
                <w:b/>
                <w:sz w:val="20"/>
                <w:szCs w:val="20"/>
              </w:rPr>
              <w:t>Приоритет 2 „Кръгова икономика“, Специфична цел</w:t>
            </w:r>
            <w:r w:rsidR="00DF7932" w:rsidRPr="00DF79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7932" w:rsidRPr="00DF7932">
              <w:rPr>
                <w:rFonts w:ascii="Times New Roman" w:hAnsi="Times New Roman"/>
                <w:b/>
                <w:sz w:val="20"/>
                <w:szCs w:val="20"/>
              </w:rPr>
              <w:t>RSO</w:t>
            </w:r>
            <w:r w:rsidR="00DC06A2">
              <w:rPr>
                <w:rFonts w:ascii="Times New Roman" w:hAnsi="Times New Roman"/>
                <w:b/>
                <w:sz w:val="20"/>
                <w:szCs w:val="20"/>
              </w:rPr>
              <w:t xml:space="preserve"> 2.6.</w:t>
            </w:r>
            <w:r w:rsidRPr="00091E98">
              <w:rPr>
                <w:rFonts w:ascii="Times New Roman" w:hAnsi="Times New Roman"/>
                <w:b/>
                <w:sz w:val="20"/>
                <w:szCs w:val="20"/>
              </w:rPr>
              <w:t xml:space="preserve"> „Насърчаване на прехода към кръгова и основаваща се на ефективно изп</w:t>
            </w:r>
            <w:r w:rsidR="007A6FEB">
              <w:rPr>
                <w:rFonts w:ascii="Times New Roman" w:hAnsi="Times New Roman"/>
                <w:b/>
                <w:sz w:val="20"/>
                <w:szCs w:val="20"/>
              </w:rPr>
              <w:t xml:space="preserve">олзване на ресурсите икономика“ </w:t>
            </w:r>
            <w:r w:rsidR="007A6FEB" w:rsidRPr="007A6FEB">
              <w:rPr>
                <w:rFonts w:ascii="Times New Roman" w:hAnsi="Times New Roman"/>
                <w:sz w:val="20"/>
                <w:szCs w:val="20"/>
              </w:rPr>
              <w:t xml:space="preserve">(за проекти от област </w:t>
            </w:r>
            <w:r w:rsidRPr="007A6FEB">
              <w:rPr>
                <w:rFonts w:ascii="Times New Roman" w:hAnsi="Times New Roman"/>
                <w:sz w:val="20"/>
                <w:szCs w:val="20"/>
              </w:rPr>
              <w:t>“Чисти технологии, кръгова и нисковъглеродна икономика”</w:t>
            </w:r>
            <w:r w:rsidR="007A6FEB" w:rsidRPr="007A6FEB">
              <w:rPr>
                <w:rFonts w:ascii="Times New Roman" w:hAnsi="Times New Roman"/>
                <w:sz w:val="20"/>
                <w:szCs w:val="20"/>
              </w:rPr>
              <w:t xml:space="preserve"> на ИСИС)</w:t>
            </w:r>
            <w:r w:rsidR="00C12B5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33C85E3" w14:textId="7CF0BE7C" w:rsidR="00F65ADB" w:rsidRPr="00F65ADB" w:rsidRDefault="00C50F89" w:rsidP="00F65ADB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изпълнение на подхода ВОМР н</w:t>
            </w:r>
            <w:r w:rsidR="0097222B" w:rsidRPr="0097222B">
              <w:rPr>
                <w:rFonts w:ascii="Times New Roman" w:hAnsi="Times New Roman"/>
                <w:sz w:val="20"/>
                <w:szCs w:val="20"/>
              </w:rPr>
              <w:t xml:space="preserve">а 26.02.2025 г. е обявена процедура </w:t>
            </w:r>
            <w:r w:rsidR="000D71F9" w:rsidRPr="000D71F9">
              <w:rPr>
                <w:rFonts w:ascii="Times New Roman" w:hAnsi="Times New Roman"/>
                <w:sz w:val="20"/>
                <w:szCs w:val="20"/>
              </w:rPr>
              <w:t xml:space="preserve">BG06AFSP001-01.001 „Изпълнение на операции, включително дейности за сътрудничество и тяхната подготовка, избрани в рамките на стратегията за местно развитие“ от </w:t>
            </w:r>
            <w:r w:rsidR="00B84DB0" w:rsidRPr="00B84DB0">
              <w:rPr>
                <w:rFonts w:ascii="Times New Roman" w:hAnsi="Times New Roman"/>
                <w:sz w:val="20"/>
                <w:szCs w:val="20"/>
              </w:rPr>
              <w:t>Управляващия орган</w:t>
            </w:r>
            <w:r w:rsidR="0097222B" w:rsidRPr="0097222B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 w:rsidR="00167A70">
              <w:rPr>
                <w:rFonts w:ascii="Times New Roman" w:hAnsi="Times New Roman"/>
                <w:sz w:val="20"/>
                <w:szCs w:val="20"/>
              </w:rPr>
              <w:t>СПРЗСР</w:t>
            </w:r>
            <w:r w:rsidR="0097222B" w:rsidRPr="0097222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F65ADB" w:rsidRPr="00F65ADB">
              <w:rPr>
                <w:rFonts w:ascii="Times New Roman" w:hAnsi="Times New Roman"/>
                <w:sz w:val="20"/>
                <w:szCs w:val="20"/>
              </w:rPr>
              <w:t>В Приложение</w:t>
            </w:r>
            <w:r w:rsidR="000726EF">
              <w:rPr>
                <w:rFonts w:ascii="Times New Roman" w:hAnsi="Times New Roman"/>
                <w:sz w:val="20"/>
                <w:szCs w:val="20"/>
              </w:rPr>
              <w:t>т</w:t>
            </w:r>
            <w:r w:rsidR="00043D6D">
              <w:rPr>
                <w:rFonts w:ascii="Times New Roman" w:hAnsi="Times New Roman"/>
                <w:sz w:val="20"/>
                <w:szCs w:val="20"/>
              </w:rPr>
              <w:t>о</w:t>
            </w:r>
            <w:r w:rsidR="00F65ADB" w:rsidRPr="00F65ADB">
              <w:rPr>
                <w:rFonts w:ascii="Times New Roman" w:hAnsi="Times New Roman"/>
                <w:sz w:val="20"/>
                <w:szCs w:val="20"/>
              </w:rPr>
              <w:t xml:space="preserve"> за допълващо финансиране по ПКИП към стратегиите за местно развитие</w:t>
            </w:r>
            <w:r w:rsidR="00F65ADB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3"/>
            </w:r>
            <w:r w:rsidR="00F65ADB" w:rsidRPr="00F65ADB">
              <w:rPr>
                <w:rFonts w:ascii="Times New Roman" w:hAnsi="Times New Roman"/>
                <w:sz w:val="20"/>
                <w:szCs w:val="20"/>
              </w:rPr>
              <w:t xml:space="preserve"> е представен </w:t>
            </w:r>
            <w:r w:rsidR="00F65ADB" w:rsidRPr="00F65ADB">
              <w:rPr>
                <w:rFonts w:ascii="Times New Roman" w:hAnsi="Times New Roman"/>
                <w:b/>
                <w:sz w:val="20"/>
                <w:szCs w:val="20"/>
              </w:rPr>
              <w:t>Анализ на нуждите и идентифицирани потребности на територията, свързани с иновационната активност и внедряването на иновации в предприятията</w:t>
            </w:r>
            <w:r w:rsidR="00F65ADB" w:rsidRPr="00F65ADB">
              <w:rPr>
                <w:rFonts w:ascii="Times New Roman" w:hAnsi="Times New Roman"/>
                <w:sz w:val="20"/>
                <w:szCs w:val="20"/>
              </w:rPr>
              <w:t>. В приложението са посочени местните специфики</w:t>
            </w:r>
            <w:r w:rsidR="00891D44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="00F65ADB" w:rsidRPr="00F65ADB">
              <w:rPr>
                <w:rFonts w:ascii="Times New Roman" w:hAnsi="Times New Roman"/>
                <w:sz w:val="20"/>
                <w:szCs w:val="20"/>
              </w:rPr>
              <w:t xml:space="preserve">проблеми, към които е насочено </w:t>
            </w:r>
            <w:r w:rsidR="00F65ADB" w:rsidRPr="00F65AD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допълващото финансиране по ПКИП, очакваният ефект от подкрепата за местната общност и необходимото финансиране по приоритети. </w:t>
            </w:r>
          </w:p>
          <w:p w14:paraId="1745B4A7" w14:textId="332CA82D" w:rsidR="001752FF" w:rsidRDefault="00C94C22" w:rsidP="0097222B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C22">
              <w:rPr>
                <w:rFonts w:ascii="Times New Roman" w:hAnsi="Times New Roman"/>
                <w:sz w:val="20"/>
                <w:szCs w:val="20"/>
              </w:rPr>
              <w:t xml:space="preserve">Настоящата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процедура е насочена към </w:t>
            </w:r>
            <w:r w:rsidR="00A67B23">
              <w:rPr>
                <w:rFonts w:ascii="Times New Roman" w:hAnsi="Times New Roman"/>
                <w:sz w:val="20"/>
                <w:szCs w:val="20"/>
              </w:rPr>
              <w:t>МСП</w:t>
            </w:r>
            <w:r w:rsidR="00A67B23" w:rsidRPr="00C94C22">
              <w:rPr>
                <w:rFonts w:ascii="Times New Roman" w:hAnsi="Times New Roman"/>
                <w:sz w:val="20"/>
                <w:szCs w:val="20"/>
              </w:rPr>
              <w:t xml:space="preserve"> на територи</w:t>
            </w:r>
            <w:r w:rsidR="00A67B23">
              <w:rPr>
                <w:rFonts w:ascii="Times New Roman" w:hAnsi="Times New Roman"/>
                <w:sz w:val="20"/>
                <w:szCs w:val="20"/>
              </w:rPr>
              <w:t xml:space="preserve">ите на МИГ </w:t>
            </w:r>
            <w:r w:rsidR="00251884" w:rsidRPr="00251884">
              <w:rPr>
                <w:rFonts w:ascii="Times New Roman" w:hAnsi="Times New Roman"/>
                <w:sz w:val="20"/>
                <w:szCs w:val="20"/>
              </w:rPr>
              <w:t xml:space="preserve">с одобрено допълващо финансиране по ПКИП </w:t>
            </w:r>
            <w:r w:rsidR="00A67B23">
              <w:rPr>
                <w:rFonts w:ascii="Times New Roman" w:hAnsi="Times New Roman"/>
                <w:sz w:val="20"/>
                <w:szCs w:val="20"/>
              </w:rPr>
              <w:t xml:space="preserve">за решаване на </w:t>
            </w:r>
            <w:r w:rsidRPr="00C94C22">
              <w:rPr>
                <w:rFonts w:ascii="Times New Roman" w:hAnsi="Times New Roman"/>
                <w:sz w:val="20"/>
                <w:szCs w:val="20"/>
              </w:rPr>
              <w:t xml:space="preserve">идентифицираните </w:t>
            </w:r>
            <w:r w:rsidR="00A67B23">
              <w:rPr>
                <w:rFonts w:ascii="Times New Roman" w:hAnsi="Times New Roman"/>
                <w:sz w:val="20"/>
                <w:szCs w:val="20"/>
              </w:rPr>
              <w:t>проблеми</w:t>
            </w:r>
            <w:r w:rsidR="0043010D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="00A67B23">
              <w:rPr>
                <w:rFonts w:ascii="Times New Roman" w:hAnsi="Times New Roman"/>
                <w:sz w:val="20"/>
                <w:szCs w:val="20"/>
              </w:rPr>
              <w:t xml:space="preserve"> осигуряване на финансиране и принос за развитие на местния потенциал</w:t>
            </w:r>
            <w:r w:rsidR="0043010D">
              <w:rPr>
                <w:rFonts w:ascii="Times New Roman" w:hAnsi="Times New Roman"/>
                <w:sz w:val="20"/>
                <w:szCs w:val="20"/>
              </w:rPr>
              <w:t>, изведени като приоритетни в стратегиите за местно развитие</w:t>
            </w:r>
            <w:r w:rsidR="00A67B2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94C22">
              <w:rPr>
                <w:rFonts w:ascii="Times New Roman" w:hAnsi="Times New Roman"/>
                <w:sz w:val="20"/>
                <w:szCs w:val="20"/>
              </w:rPr>
              <w:t>МСП на територи</w:t>
            </w:r>
            <w:r>
              <w:rPr>
                <w:rFonts w:ascii="Times New Roman" w:hAnsi="Times New Roman"/>
                <w:sz w:val="20"/>
                <w:szCs w:val="20"/>
              </w:rPr>
              <w:t>ите на МИГ</w:t>
            </w:r>
            <w:r w:rsidRPr="00C94C22">
              <w:rPr>
                <w:rFonts w:ascii="Times New Roman" w:hAnsi="Times New Roman"/>
                <w:sz w:val="20"/>
                <w:szCs w:val="20"/>
              </w:rPr>
              <w:t xml:space="preserve"> често играят двойна роля - от една страна</w:t>
            </w:r>
            <w:r w:rsidR="009C0BEA">
              <w:rPr>
                <w:rFonts w:ascii="Times New Roman" w:hAnsi="Times New Roman"/>
                <w:sz w:val="20"/>
                <w:szCs w:val="20"/>
              </w:rPr>
              <w:t>,</w:t>
            </w:r>
            <w:r w:rsidRPr="00C94C22">
              <w:rPr>
                <w:rFonts w:ascii="Times New Roman" w:hAnsi="Times New Roman"/>
                <w:sz w:val="20"/>
                <w:szCs w:val="20"/>
              </w:rPr>
              <w:t xml:space="preserve"> като носители на нови бизнес модели и технологии, а от друга</w:t>
            </w:r>
            <w:r w:rsidR="009C0BEA">
              <w:rPr>
                <w:rFonts w:ascii="Times New Roman" w:hAnsi="Times New Roman"/>
                <w:sz w:val="20"/>
                <w:szCs w:val="20"/>
              </w:rPr>
              <w:t>,</w:t>
            </w:r>
            <w:r w:rsidRPr="00C94C22">
              <w:rPr>
                <w:rFonts w:ascii="Times New Roman" w:hAnsi="Times New Roman"/>
                <w:sz w:val="20"/>
                <w:szCs w:val="20"/>
              </w:rPr>
              <w:t xml:space="preserve"> като ключов източник на заетост, особено в селските райони. </w:t>
            </w:r>
            <w:r w:rsidR="0043010D">
              <w:rPr>
                <w:rFonts w:ascii="Times New Roman" w:hAnsi="Times New Roman"/>
                <w:sz w:val="20"/>
                <w:szCs w:val="20"/>
              </w:rPr>
              <w:t>В тази връзка</w:t>
            </w:r>
            <w:r w:rsidRPr="00C94C22">
              <w:rPr>
                <w:rFonts w:ascii="Times New Roman" w:hAnsi="Times New Roman"/>
                <w:sz w:val="20"/>
                <w:szCs w:val="20"/>
              </w:rPr>
              <w:t xml:space="preserve"> подкрепата за инвестиции в местните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МСП </w:t>
            </w:r>
            <w:r w:rsidRPr="00C94C22">
              <w:rPr>
                <w:rFonts w:ascii="Times New Roman" w:hAnsi="Times New Roman"/>
                <w:sz w:val="20"/>
                <w:szCs w:val="20"/>
              </w:rPr>
              <w:t xml:space="preserve">гарантира цялостен подход, който съчетава икономически растеж, технологични иновации и социална отговорност, допринасящ за устойчиво развитие на местната икономика, повишаване на производителността и задържане на трудовия потенциал </w:t>
            </w:r>
            <w:r w:rsidR="0043010D">
              <w:rPr>
                <w:rFonts w:ascii="Times New Roman" w:hAnsi="Times New Roman"/>
                <w:sz w:val="20"/>
                <w:szCs w:val="20"/>
              </w:rPr>
              <w:t>на териториите</w:t>
            </w:r>
            <w:r w:rsidRPr="00C94C2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AD2EE2A" w14:textId="7D7A8F4B" w:rsidR="00317509" w:rsidRPr="00CB3367" w:rsidRDefault="0097222B" w:rsidP="002021A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7222B">
              <w:rPr>
                <w:rFonts w:ascii="Times New Roman" w:hAnsi="Times New Roman"/>
                <w:sz w:val="20"/>
                <w:szCs w:val="20"/>
              </w:rPr>
              <w:t xml:space="preserve">В отговор на горепосоченото, </w:t>
            </w:r>
            <w:r w:rsidR="00A72680" w:rsidRPr="00A72680">
              <w:rPr>
                <w:rFonts w:ascii="Times New Roman" w:hAnsi="Times New Roman"/>
                <w:sz w:val="20"/>
                <w:szCs w:val="20"/>
              </w:rPr>
              <w:t>чрез допълващо</w:t>
            </w:r>
            <w:r w:rsidR="00A72680">
              <w:rPr>
                <w:rFonts w:ascii="Times New Roman" w:hAnsi="Times New Roman"/>
                <w:sz w:val="20"/>
                <w:szCs w:val="20"/>
              </w:rPr>
              <w:t>то</w:t>
            </w:r>
            <w:r w:rsidR="00A72680" w:rsidRPr="00A72680">
              <w:rPr>
                <w:rFonts w:ascii="Times New Roman" w:hAnsi="Times New Roman"/>
                <w:sz w:val="20"/>
                <w:szCs w:val="20"/>
              </w:rPr>
              <w:t xml:space="preserve"> финансиране</w:t>
            </w:r>
            <w:r w:rsidRPr="009722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72680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Pr="0097222B">
              <w:rPr>
                <w:rFonts w:ascii="Times New Roman" w:hAnsi="Times New Roman"/>
                <w:sz w:val="20"/>
                <w:szCs w:val="20"/>
              </w:rPr>
              <w:t>настоящата процедура ще се подкрепят МСП на териториите на МИГ за изпълнение на проекти</w:t>
            </w:r>
            <w:r w:rsidR="00A72680">
              <w:rPr>
                <w:rFonts w:ascii="Times New Roman" w:hAnsi="Times New Roman"/>
                <w:sz w:val="20"/>
                <w:szCs w:val="20"/>
              </w:rPr>
              <w:t>, насочени към</w:t>
            </w:r>
            <w:r w:rsidRPr="0097222B">
              <w:rPr>
                <w:rFonts w:ascii="Times New Roman" w:hAnsi="Times New Roman"/>
                <w:sz w:val="20"/>
                <w:szCs w:val="20"/>
              </w:rPr>
              <w:t xml:space="preserve"> внедряване на </w:t>
            </w:r>
            <w:r w:rsidRPr="002021AD">
              <w:rPr>
                <w:rFonts w:ascii="Times New Roman" w:hAnsi="Times New Roman"/>
                <w:sz w:val="20"/>
                <w:szCs w:val="20"/>
              </w:rPr>
              <w:t>иновации като</w:t>
            </w:r>
            <w:r w:rsidRPr="0097222B">
              <w:rPr>
                <w:rFonts w:ascii="Times New Roman" w:hAnsi="Times New Roman"/>
                <w:sz w:val="20"/>
                <w:szCs w:val="20"/>
              </w:rPr>
              <w:t xml:space="preserve"> се очаква да се </w:t>
            </w:r>
            <w:r w:rsidR="00A72680" w:rsidRPr="00A72680">
              <w:rPr>
                <w:rFonts w:ascii="Times New Roman" w:hAnsi="Times New Roman"/>
                <w:sz w:val="20"/>
                <w:szCs w:val="20"/>
              </w:rPr>
              <w:t>реша</w:t>
            </w:r>
            <w:r w:rsidR="00A72680">
              <w:rPr>
                <w:rFonts w:ascii="Times New Roman" w:hAnsi="Times New Roman"/>
                <w:sz w:val="20"/>
                <w:szCs w:val="20"/>
              </w:rPr>
              <w:t>т</w:t>
            </w:r>
            <w:r w:rsidR="00A72680" w:rsidRPr="00A72680">
              <w:rPr>
                <w:rFonts w:ascii="Times New Roman" w:hAnsi="Times New Roman"/>
                <w:sz w:val="20"/>
                <w:szCs w:val="20"/>
              </w:rPr>
              <w:t xml:space="preserve"> идентифицираните проблеми</w:t>
            </w:r>
            <w:r w:rsidR="00A726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90AE6">
              <w:rPr>
                <w:rFonts w:ascii="Times New Roman" w:hAnsi="Times New Roman"/>
                <w:sz w:val="20"/>
                <w:szCs w:val="20"/>
              </w:rPr>
              <w:t xml:space="preserve">в стратегиите за местно развитие </w:t>
            </w:r>
            <w:r w:rsidR="00A72680">
              <w:rPr>
                <w:rFonts w:ascii="Times New Roman" w:hAnsi="Times New Roman"/>
                <w:sz w:val="20"/>
                <w:szCs w:val="20"/>
              </w:rPr>
              <w:t xml:space="preserve">и да се </w:t>
            </w:r>
            <w:r w:rsidRPr="0097222B">
              <w:rPr>
                <w:rFonts w:ascii="Times New Roman" w:hAnsi="Times New Roman"/>
                <w:sz w:val="20"/>
                <w:szCs w:val="20"/>
              </w:rPr>
              <w:t>намали съществено</w:t>
            </w:r>
            <w:r w:rsidR="00A72680">
              <w:rPr>
                <w:rFonts w:ascii="Times New Roman" w:hAnsi="Times New Roman"/>
                <w:sz w:val="20"/>
                <w:szCs w:val="20"/>
              </w:rPr>
              <w:t>то</w:t>
            </w:r>
            <w:r w:rsidRPr="0097222B">
              <w:rPr>
                <w:rFonts w:ascii="Times New Roman" w:hAnsi="Times New Roman"/>
                <w:sz w:val="20"/>
                <w:szCs w:val="20"/>
              </w:rPr>
              <w:t xml:space="preserve"> изоставане на българските МСП от европейските</w:t>
            </w:r>
            <w:r w:rsidR="00A72680">
              <w:rPr>
                <w:rFonts w:ascii="Times New Roman" w:hAnsi="Times New Roman"/>
                <w:sz w:val="20"/>
                <w:szCs w:val="20"/>
              </w:rPr>
              <w:t xml:space="preserve"> в тази област, </w:t>
            </w:r>
            <w:r w:rsidRPr="0097222B">
              <w:rPr>
                <w:rFonts w:ascii="Times New Roman" w:hAnsi="Times New Roman"/>
                <w:sz w:val="20"/>
                <w:szCs w:val="20"/>
              </w:rPr>
              <w:t>особено на териториите на селските райони.</w:t>
            </w:r>
          </w:p>
        </w:tc>
      </w:tr>
      <w:tr w:rsidR="00E30102" w:rsidRPr="00C1711D" w14:paraId="795EA2E1" w14:textId="77777777" w:rsidTr="00C9168C">
        <w:tc>
          <w:tcPr>
            <w:tcW w:w="2429" w:type="dxa"/>
            <w:shd w:val="clear" w:color="auto" w:fill="BFBFBF"/>
          </w:tcPr>
          <w:p w14:paraId="21747B2C" w14:textId="77777777" w:rsidR="00E30102" w:rsidRPr="00C1711D" w:rsidRDefault="00E30102" w:rsidP="00DC232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711D">
              <w:rPr>
                <w:rFonts w:ascii="Times New Roman" w:hAnsi="Times New Roman"/>
                <w:sz w:val="20"/>
                <w:szCs w:val="20"/>
              </w:rPr>
              <w:lastRenderedPageBreak/>
              <w:t>Очаквани резултати</w:t>
            </w:r>
          </w:p>
        </w:tc>
        <w:tc>
          <w:tcPr>
            <w:tcW w:w="8090" w:type="dxa"/>
            <w:shd w:val="clear" w:color="auto" w:fill="auto"/>
          </w:tcPr>
          <w:p w14:paraId="72BB9777" w14:textId="3F87E95A" w:rsidR="00294336" w:rsidRPr="0097222B" w:rsidRDefault="0097222B" w:rsidP="00294336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222B">
              <w:rPr>
                <w:rFonts w:ascii="Times New Roman" w:hAnsi="Times New Roman"/>
                <w:sz w:val="20"/>
                <w:szCs w:val="20"/>
              </w:rPr>
              <w:t xml:space="preserve">В края на изпълнението на проекта предприятията следва да </w:t>
            </w:r>
            <w:r w:rsidR="0078389A" w:rsidRPr="0097222B">
              <w:rPr>
                <w:rFonts w:ascii="Times New Roman" w:hAnsi="Times New Roman"/>
                <w:sz w:val="20"/>
                <w:szCs w:val="20"/>
              </w:rPr>
              <w:t>в</w:t>
            </w:r>
            <w:r w:rsidR="0078389A">
              <w:rPr>
                <w:rFonts w:ascii="Times New Roman" w:hAnsi="Times New Roman"/>
                <w:sz w:val="20"/>
                <w:szCs w:val="20"/>
              </w:rPr>
              <w:t>недрят</w:t>
            </w:r>
            <w:r w:rsidR="0078389A" w:rsidRPr="009722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222B">
              <w:rPr>
                <w:rFonts w:ascii="Times New Roman" w:hAnsi="Times New Roman"/>
                <w:b/>
                <w:sz w:val="20"/>
                <w:szCs w:val="20"/>
              </w:rPr>
              <w:t>поне една иновация, свързана с предлагане на нови или значително подобрени продукти (стоки и/или услуги) и/или процеси</w:t>
            </w:r>
            <w:r w:rsidR="00421332">
              <w:rPr>
                <w:rFonts w:ascii="Times New Roman" w:hAnsi="Times New Roman"/>
                <w:b/>
                <w:sz w:val="20"/>
                <w:szCs w:val="20"/>
              </w:rPr>
              <w:t>, попадащи</w:t>
            </w:r>
            <w:r w:rsidRPr="0097222B">
              <w:rPr>
                <w:rFonts w:ascii="Times New Roman" w:hAnsi="Times New Roman"/>
                <w:b/>
                <w:sz w:val="20"/>
                <w:szCs w:val="20"/>
              </w:rPr>
              <w:t xml:space="preserve"> в тематичните области на</w:t>
            </w:r>
            <w:r w:rsidR="0042133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7222B">
              <w:rPr>
                <w:rFonts w:ascii="Times New Roman" w:hAnsi="Times New Roman"/>
                <w:b/>
                <w:sz w:val="20"/>
                <w:szCs w:val="20"/>
              </w:rPr>
              <w:t>ИСИС</w:t>
            </w:r>
            <w:r w:rsidR="00294336" w:rsidRPr="0097222B">
              <w:rPr>
                <w:rFonts w:ascii="Times New Roman" w:hAnsi="Times New Roman"/>
                <w:sz w:val="20"/>
                <w:szCs w:val="20"/>
              </w:rPr>
              <w:t>, в резултат на което се очаква да се повиши иновационния</w:t>
            </w:r>
            <w:r w:rsidR="00175122">
              <w:rPr>
                <w:rFonts w:ascii="Times New Roman" w:hAnsi="Times New Roman"/>
                <w:sz w:val="20"/>
                <w:szCs w:val="20"/>
              </w:rPr>
              <w:t>т</w:t>
            </w:r>
            <w:r w:rsidR="00294336" w:rsidRPr="0097222B">
              <w:rPr>
                <w:rFonts w:ascii="Times New Roman" w:hAnsi="Times New Roman"/>
                <w:sz w:val="20"/>
                <w:szCs w:val="20"/>
              </w:rPr>
              <w:t xml:space="preserve"> им капацитет и конкурентоспособност.</w:t>
            </w:r>
          </w:p>
          <w:p w14:paraId="1B7FC164" w14:textId="68D04F5E" w:rsidR="002967BA" w:rsidRDefault="002967BA" w:rsidP="002967BA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67BA">
              <w:rPr>
                <w:rFonts w:ascii="Times New Roman" w:hAnsi="Times New Roman"/>
                <w:sz w:val="20"/>
                <w:szCs w:val="20"/>
              </w:rPr>
              <w:t>Чрез изпълнението на подобен вид проекти ще се създадат условия за в</w:t>
            </w:r>
            <w:r w:rsidR="0078389A">
              <w:rPr>
                <w:rFonts w:ascii="Times New Roman" w:hAnsi="Times New Roman"/>
                <w:sz w:val="20"/>
                <w:szCs w:val="20"/>
              </w:rPr>
              <w:t>недряване</w:t>
            </w:r>
            <w:r w:rsidRPr="002967BA">
              <w:rPr>
                <w:rFonts w:ascii="Times New Roman" w:hAnsi="Times New Roman"/>
                <w:sz w:val="20"/>
                <w:szCs w:val="20"/>
              </w:rPr>
              <w:t xml:space="preserve"> в МСП на местно ниво на интелигентни и ориентирани към новите технологии решения.</w:t>
            </w:r>
          </w:p>
          <w:p w14:paraId="5AE7601A" w14:textId="7E21992D" w:rsidR="002967BA" w:rsidRPr="00C1711D" w:rsidRDefault="00421332" w:rsidP="0097222B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Допълнително</w:t>
            </w:r>
            <w:r w:rsidR="0029433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доколкото проектите ще се реализират на територията на МИГ</w:t>
            </w:r>
            <w:r w:rsidR="00294336">
              <w:rPr>
                <w:rFonts w:ascii="Times New Roman" w:hAnsi="Times New Roman"/>
                <w:sz w:val="20"/>
                <w:szCs w:val="20"/>
              </w:rPr>
              <w:t>,</w:t>
            </w:r>
            <w:r w:rsidR="009C0BEA" w:rsidRPr="009C0B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очакванията са да се финансират бизнес инициативи</w:t>
            </w:r>
            <w:r w:rsidR="009C0BEA" w:rsidRPr="009C0BEA">
              <w:rPr>
                <w:rFonts w:ascii="Times New Roman" w:hAnsi="Times New Roman"/>
                <w:sz w:val="20"/>
                <w:szCs w:val="20"/>
              </w:rPr>
              <w:t>, които отговарят на местните потребности, създават и запазват заетост за местното население и са в полза на малкия местен бизнес. Чрез тях се създават по-добри икономически, социални и екологични усло</w:t>
            </w:r>
            <w:r>
              <w:rPr>
                <w:rFonts w:ascii="Times New Roman" w:hAnsi="Times New Roman"/>
                <w:sz w:val="20"/>
                <w:szCs w:val="20"/>
              </w:rPr>
              <w:t>вия за живот в малките населени</w:t>
            </w:r>
            <w:r w:rsidR="009C0BEA" w:rsidRPr="009C0BEA">
              <w:rPr>
                <w:rFonts w:ascii="Times New Roman" w:hAnsi="Times New Roman"/>
                <w:sz w:val="20"/>
                <w:szCs w:val="20"/>
              </w:rPr>
              <w:t xml:space="preserve"> места, подкрепя се многосекторното развитие на местните икономики и се забавя и неутрализира процесът на тяхното обезлюдяване.</w:t>
            </w:r>
          </w:p>
        </w:tc>
      </w:tr>
      <w:tr w:rsidR="00DB7BA1" w:rsidRPr="00C1711D" w14:paraId="74F7297F" w14:textId="77777777" w:rsidTr="00C9168C">
        <w:tc>
          <w:tcPr>
            <w:tcW w:w="2429" w:type="dxa"/>
            <w:shd w:val="clear" w:color="auto" w:fill="BFBFBF"/>
          </w:tcPr>
          <w:p w14:paraId="3E9B7EFC" w14:textId="77777777" w:rsidR="00DB7BA1" w:rsidRPr="00C1711D" w:rsidRDefault="00DB7BA1" w:rsidP="00DC232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711D">
              <w:rPr>
                <w:rFonts w:ascii="Times New Roman" w:hAnsi="Times New Roman"/>
                <w:sz w:val="20"/>
                <w:szCs w:val="20"/>
              </w:rPr>
              <w:t>Продължителност на процедурата/процедурите</w:t>
            </w:r>
          </w:p>
        </w:tc>
        <w:tc>
          <w:tcPr>
            <w:tcW w:w="8090" w:type="dxa"/>
            <w:shd w:val="clear" w:color="auto" w:fill="auto"/>
          </w:tcPr>
          <w:p w14:paraId="6E635D17" w14:textId="0214F616" w:rsidR="00DB7BA1" w:rsidRPr="00A53D65" w:rsidRDefault="00165F00" w:rsidP="00A53D65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0392">
              <w:rPr>
                <w:rFonts w:ascii="Times New Roman" w:hAnsi="Times New Roman"/>
                <w:sz w:val="20"/>
                <w:szCs w:val="20"/>
              </w:rPr>
              <w:t>202</w:t>
            </w:r>
            <w:r w:rsidR="00A53D65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A70392">
              <w:rPr>
                <w:rFonts w:ascii="Times New Roman" w:hAnsi="Times New Roman"/>
                <w:sz w:val="20"/>
                <w:szCs w:val="20"/>
              </w:rPr>
              <w:t>-20</w:t>
            </w:r>
            <w:r w:rsidR="00B5107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4846C7" w:rsidRPr="00C1711D" w14:paraId="6FF6C1CF" w14:textId="77777777" w:rsidTr="00C9168C">
        <w:tc>
          <w:tcPr>
            <w:tcW w:w="2429" w:type="dxa"/>
            <w:shd w:val="clear" w:color="auto" w:fill="BFBFBF"/>
          </w:tcPr>
          <w:p w14:paraId="48FFEDF0" w14:textId="77777777" w:rsidR="004846C7" w:rsidRPr="00C1711D" w:rsidRDefault="00033E66" w:rsidP="00DC232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711D">
              <w:rPr>
                <w:rFonts w:ascii="Times New Roman" w:hAnsi="Times New Roman"/>
                <w:sz w:val="20"/>
                <w:szCs w:val="20"/>
              </w:rPr>
              <w:t xml:space="preserve">Териториален обхват </w:t>
            </w:r>
          </w:p>
        </w:tc>
        <w:tc>
          <w:tcPr>
            <w:tcW w:w="8090" w:type="dxa"/>
            <w:tcBorders>
              <w:bottom w:val="single" w:sz="4" w:space="0" w:color="auto"/>
            </w:tcBorders>
            <w:shd w:val="clear" w:color="auto" w:fill="auto"/>
          </w:tcPr>
          <w:p w14:paraId="36E411F7" w14:textId="694645A7" w:rsidR="00FD3F0D" w:rsidRDefault="00FD3F0D" w:rsidP="00D37FCA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3F0D">
              <w:rPr>
                <w:rFonts w:ascii="Times New Roman" w:hAnsi="Times New Roman"/>
                <w:sz w:val="20"/>
                <w:szCs w:val="20"/>
              </w:rPr>
              <w:t>Подходът ВОМР се прилага на териториален принцип на подрегионално ниво – ниво община, част от община или група от съседни общини, с обхват на населението между 10 000 и 150 000 жители по данни на Националния статистически институт към 31 декември 2020 г.</w:t>
            </w:r>
            <w:r w:rsidRPr="00FD3F0D">
              <w:t xml:space="preserve"> </w:t>
            </w:r>
            <w:r w:rsidRPr="00FD3F0D">
              <w:rPr>
                <w:rFonts w:ascii="Times New Roman" w:hAnsi="Times New Roman"/>
                <w:sz w:val="20"/>
                <w:szCs w:val="20"/>
              </w:rPr>
              <w:t>Територията на всяка МИГ е с непрекъснати граници и включва в състава си най-малко една община от селските райони съгласно приложение № 2 от ПМС № 494 от 2024 г.</w:t>
            </w:r>
          </w:p>
          <w:p w14:paraId="1D57F352" w14:textId="7FC30E94" w:rsidR="00EA3E91" w:rsidRDefault="000C3988" w:rsidP="00D37FCA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903E43" w:rsidRPr="00903E43">
              <w:rPr>
                <w:rFonts w:ascii="Times New Roman" w:hAnsi="Times New Roman"/>
                <w:sz w:val="20"/>
                <w:szCs w:val="20"/>
              </w:rPr>
              <w:t>роектите следва да бъдат изпълнени от МСП на териториите на МИГ</w:t>
            </w:r>
            <w:r w:rsidR="00BB1873">
              <w:rPr>
                <w:rFonts w:ascii="Times New Roman" w:hAnsi="Times New Roman"/>
                <w:sz w:val="20"/>
                <w:szCs w:val="20"/>
              </w:rPr>
              <w:t xml:space="preserve"> с одобрено </w:t>
            </w:r>
            <w:r w:rsidR="00EA3E91" w:rsidRPr="00EA3E91">
              <w:rPr>
                <w:rFonts w:ascii="Times New Roman" w:hAnsi="Times New Roman"/>
                <w:sz w:val="20"/>
                <w:szCs w:val="20"/>
              </w:rPr>
              <w:t>финансиране</w:t>
            </w:r>
            <w:r w:rsidR="00BA2DC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21E502D" w14:textId="77777777" w:rsidR="00EB6C9C" w:rsidRPr="002C3DAA" w:rsidRDefault="00964629" w:rsidP="00BB1873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64629">
              <w:rPr>
                <w:rFonts w:ascii="Times New Roman" w:hAnsi="Times New Roman"/>
                <w:sz w:val="20"/>
                <w:szCs w:val="20"/>
              </w:rPr>
              <w:t>В до</w:t>
            </w:r>
            <w:r w:rsidR="00B84DB0">
              <w:rPr>
                <w:rFonts w:ascii="Times New Roman" w:hAnsi="Times New Roman"/>
                <w:sz w:val="20"/>
                <w:szCs w:val="20"/>
              </w:rPr>
              <w:t>кументите по процедурата ще бъд</w:t>
            </w:r>
            <w:r w:rsidR="00BB1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964629">
              <w:rPr>
                <w:rFonts w:ascii="Times New Roman" w:hAnsi="Times New Roman"/>
                <w:sz w:val="20"/>
                <w:szCs w:val="20"/>
              </w:rPr>
              <w:t xml:space="preserve"> приложен </w:t>
            </w:r>
            <w:r w:rsidR="00D37FCA" w:rsidRPr="00D37FCA">
              <w:rPr>
                <w:rFonts w:ascii="Times New Roman" w:hAnsi="Times New Roman"/>
                <w:sz w:val="20"/>
                <w:szCs w:val="20"/>
              </w:rPr>
              <w:t>Списък на населените места с регистрация в Единния класификатор на административно-териториалните и териториални единици (ЕКАТТЕ), които влизат в обхвата на съответната територия на МИГ</w:t>
            </w:r>
            <w:r w:rsidR="00D37FC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B6C9C" w:rsidRPr="00C1711D" w14:paraId="5C0AC39E" w14:textId="77777777" w:rsidTr="00C9168C">
        <w:tc>
          <w:tcPr>
            <w:tcW w:w="2429" w:type="dxa"/>
            <w:shd w:val="clear" w:color="auto" w:fill="BFBFBF"/>
          </w:tcPr>
          <w:p w14:paraId="68761EE1" w14:textId="77777777" w:rsidR="00EB6C9C" w:rsidRPr="00C1711D" w:rsidRDefault="00EB6C9C" w:rsidP="00DC232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711D">
              <w:rPr>
                <w:rFonts w:ascii="Times New Roman" w:hAnsi="Times New Roman"/>
                <w:sz w:val="20"/>
                <w:szCs w:val="20"/>
              </w:rPr>
              <w:lastRenderedPageBreak/>
              <w:t>Бюджет (ЕФРР и национален)</w:t>
            </w:r>
          </w:p>
        </w:tc>
        <w:tc>
          <w:tcPr>
            <w:tcW w:w="8090" w:type="dxa"/>
            <w:tcBorders>
              <w:bottom w:val="single" w:sz="4" w:space="0" w:color="auto"/>
            </w:tcBorders>
            <w:shd w:val="clear" w:color="auto" w:fill="auto"/>
          </w:tcPr>
          <w:p w14:paraId="168B812C" w14:textId="34ECD986" w:rsidR="00967C27" w:rsidRDefault="00967C27" w:rsidP="000B7578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67C27">
              <w:rPr>
                <w:rFonts w:ascii="Times New Roman" w:hAnsi="Times New Roman"/>
                <w:sz w:val="20"/>
                <w:szCs w:val="20"/>
              </w:rPr>
              <w:t xml:space="preserve">Общият размер на безвъзмездната финансова помощ по процедурата </w:t>
            </w:r>
            <w:r w:rsidR="00620B27">
              <w:rPr>
                <w:rFonts w:ascii="Times New Roman" w:hAnsi="Times New Roman"/>
                <w:sz w:val="20"/>
                <w:szCs w:val="20"/>
              </w:rPr>
              <w:t>съответства на размера на допълващото финансиране по ПКИП</w:t>
            </w:r>
            <w:r w:rsidR="009A142A">
              <w:rPr>
                <w:rFonts w:ascii="Times New Roman" w:hAnsi="Times New Roman"/>
                <w:sz w:val="20"/>
                <w:szCs w:val="20"/>
              </w:rPr>
              <w:t>, включен в одобрените стратегии на МИГ и възлиза на</w:t>
            </w:r>
            <w:r w:rsidRPr="00967C2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9A142A" w:rsidRPr="009A142A">
              <w:rPr>
                <w:rFonts w:ascii="Times New Roman" w:hAnsi="Times New Roman"/>
                <w:b/>
                <w:sz w:val="20"/>
                <w:szCs w:val="20"/>
              </w:rPr>
              <w:t>19 976 187.59</w:t>
            </w:r>
            <w:r w:rsidR="000B7578" w:rsidRPr="000B757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67C2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евро</w:t>
            </w:r>
            <w:r w:rsidR="009A142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A131FA" w:rsidRPr="00A131FA">
              <w:rPr>
                <w:rFonts w:ascii="Times New Roman" w:hAnsi="Times New Roman"/>
                <w:sz w:val="20"/>
                <w:szCs w:val="20"/>
                <w:lang w:val="ru-RU"/>
              </w:rPr>
              <w:t>като същият</w:t>
            </w:r>
            <w:r w:rsidRPr="00967C27">
              <w:rPr>
                <w:rFonts w:ascii="Times New Roman" w:hAnsi="Times New Roman"/>
                <w:sz w:val="20"/>
                <w:szCs w:val="20"/>
              </w:rPr>
              <w:t xml:space="preserve"> е разпределен по </w:t>
            </w:r>
            <w:r w:rsidR="000B7578">
              <w:rPr>
                <w:rFonts w:ascii="Times New Roman" w:hAnsi="Times New Roman"/>
                <w:sz w:val="20"/>
                <w:szCs w:val="20"/>
              </w:rPr>
              <w:t>региони</w:t>
            </w:r>
            <w:r w:rsidRPr="00967C27">
              <w:rPr>
                <w:rFonts w:ascii="Times New Roman" w:hAnsi="Times New Roman"/>
                <w:sz w:val="20"/>
                <w:szCs w:val="20"/>
              </w:rPr>
              <w:t xml:space="preserve"> и по приоритети, както следва:</w:t>
            </w:r>
          </w:p>
          <w:tbl>
            <w:tblPr>
              <w:tblW w:w="76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9"/>
              <w:gridCol w:w="1276"/>
              <w:gridCol w:w="1276"/>
              <w:gridCol w:w="1275"/>
              <w:gridCol w:w="1230"/>
              <w:gridCol w:w="1270"/>
            </w:tblGrid>
            <w:tr w:rsidR="00967C27" w:rsidRPr="00983B67" w14:paraId="097FFA5F" w14:textId="77777777" w:rsidTr="00620B27">
              <w:trPr>
                <w:trHeight w:val="2681"/>
              </w:trPr>
              <w:tc>
                <w:tcPr>
                  <w:tcW w:w="1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</w:tcBorders>
                  <w:shd w:val="clear" w:color="auto" w:fill="D9D9D9"/>
                </w:tcPr>
                <w:p w14:paraId="00E729E3" w14:textId="77777777" w:rsidR="00967C27" w:rsidRPr="00983B67" w:rsidRDefault="00967C27" w:rsidP="00967C27">
                  <w:pPr>
                    <w:spacing w:before="120"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napToGrid w:val="0"/>
                      <w:sz w:val="18"/>
                      <w:szCs w:val="18"/>
                      <w:lang w:eastAsia="bg-BG"/>
                    </w:rPr>
                  </w:pPr>
                </w:p>
                <w:p w14:paraId="3F3EA615" w14:textId="77777777" w:rsidR="00967C27" w:rsidRPr="00983B67" w:rsidRDefault="00967C27" w:rsidP="00967C27">
                  <w:pPr>
                    <w:spacing w:before="120"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napToGrid w:val="0"/>
                      <w:sz w:val="18"/>
                      <w:szCs w:val="18"/>
                      <w:lang w:eastAsia="bg-BG"/>
                    </w:rPr>
                  </w:pPr>
                </w:p>
                <w:p w14:paraId="61764B72" w14:textId="77777777" w:rsidR="00967C27" w:rsidRPr="002C3DAA" w:rsidRDefault="00967C27" w:rsidP="00967C27">
                  <w:pPr>
                    <w:spacing w:before="120"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napToGrid w:val="0"/>
                      <w:sz w:val="18"/>
                      <w:szCs w:val="18"/>
                      <w:lang w:eastAsia="bg-BG"/>
                    </w:rPr>
                  </w:pPr>
                </w:p>
                <w:p w14:paraId="12393539" w14:textId="77777777" w:rsidR="00967C27" w:rsidRPr="00042F76" w:rsidRDefault="00967C27" w:rsidP="00967C27">
                  <w:pPr>
                    <w:spacing w:before="120"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napToGrid w:val="0"/>
                      <w:sz w:val="18"/>
                      <w:szCs w:val="18"/>
                      <w:lang w:val="en-US" w:eastAsia="bg-BG"/>
                    </w:rPr>
                  </w:pPr>
                </w:p>
                <w:p w14:paraId="37BB9942" w14:textId="77777777" w:rsidR="00967C27" w:rsidRDefault="00967C27" w:rsidP="00967C27">
                  <w:pPr>
                    <w:spacing w:before="120"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napToGrid w:val="0"/>
                      <w:sz w:val="18"/>
                      <w:szCs w:val="18"/>
                      <w:lang w:eastAsia="bg-BG"/>
                    </w:rPr>
                  </w:pPr>
                  <w:r w:rsidRPr="002C3DAA">
                    <w:rPr>
                      <w:rFonts w:ascii="Times New Roman" w:eastAsia="Times New Roman" w:hAnsi="Times New Roman"/>
                      <w:b/>
                      <w:snapToGrid w:val="0"/>
                      <w:sz w:val="18"/>
                      <w:szCs w:val="18"/>
                      <w:lang w:eastAsia="bg-BG"/>
                    </w:rPr>
                    <w:t>Приоритети</w:t>
                  </w:r>
                </w:p>
                <w:p w14:paraId="32F352BE" w14:textId="77777777" w:rsidR="00924291" w:rsidRDefault="00924291" w:rsidP="0092429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napToGrid w:val="0"/>
                      <w:sz w:val="18"/>
                      <w:szCs w:val="18"/>
                      <w:lang w:eastAsia="bg-BG"/>
                    </w:rPr>
                  </w:pPr>
                </w:p>
                <w:p w14:paraId="3BBA0DBA" w14:textId="77777777" w:rsidR="00924291" w:rsidRPr="002C3DAA" w:rsidRDefault="00924291" w:rsidP="0092429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napToGrid w:val="0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napToGrid w:val="0"/>
                      <w:sz w:val="18"/>
                      <w:szCs w:val="18"/>
                      <w:lang w:eastAsia="bg-BG"/>
                    </w:rPr>
                    <w:t>ЕФРР + нац. съфинансиране</w:t>
                  </w:r>
                </w:p>
                <w:p w14:paraId="6BAD7614" w14:textId="77777777" w:rsidR="00924291" w:rsidRDefault="00924291" w:rsidP="00924291">
                  <w:pPr>
                    <w:spacing w:before="120"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napToGrid w:val="0"/>
                      <w:sz w:val="18"/>
                      <w:szCs w:val="18"/>
                      <w:lang w:eastAsia="bg-BG"/>
                    </w:rPr>
                  </w:pPr>
                </w:p>
                <w:p w14:paraId="7897D17A" w14:textId="77777777" w:rsidR="00924291" w:rsidRPr="00983B67" w:rsidRDefault="00924291" w:rsidP="00924291">
                  <w:pPr>
                    <w:spacing w:before="120"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napToGrid w:val="0"/>
                      <w:sz w:val="18"/>
                      <w:szCs w:val="18"/>
                      <w:lang w:eastAsia="bg-BG"/>
                    </w:rPr>
                  </w:pPr>
                  <w:r w:rsidRPr="002C3DAA">
                    <w:rPr>
                      <w:rFonts w:ascii="Times New Roman" w:eastAsia="Times New Roman" w:hAnsi="Times New Roman"/>
                      <w:b/>
                      <w:snapToGrid w:val="0"/>
                      <w:sz w:val="18"/>
                      <w:szCs w:val="18"/>
                      <w:lang w:eastAsia="bg-BG"/>
                    </w:rPr>
                    <w:t>евро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  <w:shd w:val="clear" w:color="auto" w:fill="D9D9D9"/>
                  <w:vAlign w:val="center"/>
                </w:tcPr>
                <w:p w14:paraId="734C2B08" w14:textId="77777777" w:rsidR="00967C27" w:rsidRPr="00983B67" w:rsidRDefault="00967C27" w:rsidP="00967C2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</w:pPr>
                  <w:r w:rsidRPr="00983B67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  <w:t>Регион в преход</w:t>
                  </w:r>
                </w:p>
                <w:p w14:paraId="4C1BB988" w14:textId="77777777" w:rsidR="00967C27" w:rsidRPr="002C3DAA" w:rsidRDefault="00967C27" w:rsidP="00967C2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</w:pPr>
                </w:p>
                <w:p w14:paraId="5EA97856" w14:textId="77777777" w:rsidR="00967C27" w:rsidRPr="00983B67" w:rsidRDefault="00967C27" w:rsidP="00967C2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</w:pPr>
                  <w:r w:rsidRPr="00983B67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  <w:t>Югозападен регион  (ЮЗР)</w:t>
                  </w:r>
                </w:p>
                <w:p w14:paraId="267A6498" w14:textId="77777777" w:rsidR="00967C27" w:rsidRPr="00983B67" w:rsidRDefault="00967C27" w:rsidP="00967C2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</w:pPr>
                  <w:r w:rsidRPr="00983B67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  <w:t>9 СВОМР</w:t>
                  </w:r>
                </w:p>
                <w:p w14:paraId="4071DD88" w14:textId="77777777" w:rsidR="00967C27" w:rsidRPr="00983B67" w:rsidRDefault="00967C27" w:rsidP="00967C2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</w:pPr>
                </w:p>
                <w:p w14:paraId="6B4C7ABA" w14:textId="77777777" w:rsidR="00967C27" w:rsidRPr="00983B67" w:rsidRDefault="00967C27" w:rsidP="00967C2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</w:pPr>
                </w:p>
                <w:p w14:paraId="700D26FB" w14:textId="77777777" w:rsidR="00924291" w:rsidRDefault="00924291" w:rsidP="00967C2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</w:pPr>
                </w:p>
                <w:p w14:paraId="439D5D4D" w14:textId="77777777" w:rsidR="00967C27" w:rsidRPr="00983B67" w:rsidRDefault="00967C27" w:rsidP="00967C2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</w:pPr>
                  <w:r w:rsidRPr="002C3DAA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  <w:t>евро</w:t>
                  </w:r>
                </w:p>
              </w:tc>
              <w:tc>
                <w:tcPr>
                  <w:tcW w:w="1276" w:type="dxa"/>
                  <w:shd w:val="clear" w:color="auto" w:fill="D9D9D9"/>
                </w:tcPr>
                <w:p w14:paraId="07111F07" w14:textId="77777777" w:rsidR="00967C27" w:rsidRPr="002C3DAA" w:rsidRDefault="00967C27" w:rsidP="00967C2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</w:pPr>
                </w:p>
                <w:p w14:paraId="36E01108" w14:textId="77777777" w:rsidR="00967C27" w:rsidRPr="00983B67" w:rsidRDefault="00967C27" w:rsidP="00967C2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</w:pPr>
                  <w:r w:rsidRPr="00983B67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  <w:t>По-слабо развити региони</w:t>
                  </w:r>
                </w:p>
                <w:p w14:paraId="4CFA304E" w14:textId="77777777" w:rsidR="00967C27" w:rsidRPr="002C3DAA" w:rsidRDefault="00967C27" w:rsidP="00967C2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napToGrid w:val="0"/>
                      <w:sz w:val="18"/>
                      <w:szCs w:val="18"/>
                      <w:lang w:eastAsia="bg-BG"/>
                    </w:rPr>
                  </w:pPr>
                </w:p>
                <w:p w14:paraId="351BF65B" w14:textId="77777777" w:rsidR="00967C27" w:rsidRPr="002C3DAA" w:rsidRDefault="00967C27" w:rsidP="00967C2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</w:pPr>
                </w:p>
                <w:p w14:paraId="0CC6C89E" w14:textId="77777777" w:rsidR="00924291" w:rsidRDefault="00924291" w:rsidP="00967C2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</w:pPr>
                </w:p>
                <w:p w14:paraId="410B1AC8" w14:textId="77777777" w:rsidR="00E01639" w:rsidRDefault="00E01639" w:rsidP="00967C2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</w:pPr>
                </w:p>
                <w:p w14:paraId="620F4C23" w14:textId="77777777" w:rsidR="00E01639" w:rsidRDefault="00E01639" w:rsidP="00967C2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</w:pPr>
                </w:p>
                <w:p w14:paraId="7FE8C09D" w14:textId="77777777" w:rsidR="00E01639" w:rsidRDefault="00E01639" w:rsidP="00967C2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</w:pPr>
                </w:p>
                <w:p w14:paraId="1F324870" w14:textId="77777777" w:rsidR="00E01639" w:rsidRDefault="00E01639" w:rsidP="00967C2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</w:pPr>
                </w:p>
                <w:p w14:paraId="6711BED6" w14:textId="77777777" w:rsidR="00E01639" w:rsidRDefault="00E01639" w:rsidP="00967C2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</w:pPr>
                </w:p>
                <w:p w14:paraId="2ED302E4" w14:textId="77777777" w:rsidR="00967C27" w:rsidRPr="002C3DAA" w:rsidRDefault="00967C27" w:rsidP="00967C2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</w:pPr>
                  <w:r w:rsidRPr="002C3DAA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  <w:t>евро</w:t>
                  </w:r>
                </w:p>
              </w:tc>
              <w:tc>
                <w:tcPr>
                  <w:tcW w:w="1275" w:type="dxa"/>
                  <w:shd w:val="clear" w:color="auto" w:fill="D9D9D9"/>
                  <w:vAlign w:val="center"/>
                </w:tcPr>
                <w:p w14:paraId="7022B4ED" w14:textId="77777777" w:rsidR="00967C27" w:rsidRPr="00983B67" w:rsidRDefault="00967C27" w:rsidP="00967C2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</w:pPr>
                </w:p>
                <w:p w14:paraId="7E83C89A" w14:textId="77777777" w:rsidR="00967C27" w:rsidRPr="00983B67" w:rsidRDefault="00967C27" w:rsidP="00967C2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</w:pPr>
                  <w:r w:rsidRPr="00983B67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  <w:t>По-слабо развити региони</w:t>
                  </w:r>
                </w:p>
                <w:p w14:paraId="20B3BA5A" w14:textId="77777777" w:rsidR="00967C27" w:rsidRPr="00983B67" w:rsidRDefault="00967C27" w:rsidP="00967C2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napToGrid w:val="0"/>
                      <w:sz w:val="18"/>
                      <w:szCs w:val="18"/>
                      <w:lang w:eastAsia="bg-BG"/>
                    </w:rPr>
                  </w:pPr>
                  <w:r w:rsidRPr="00983B67">
                    <w:rPr>
                      <w:rFonts w:ascii="Times New Roman" w:eastAsia="Times New Roman" w:hAnsi="Times New Roman"/>
                      <w:b/>
                      <w:snapToGrid w:val="0"/>
                      <w:sz w:val="18"/>
                      <w:szCs w:val="18"/>
                      <w:lang w:eastAsia="bg-BG"/>
                    </w:rPr>
                    <w:t xml:space="preserve">Северозападен регион (СЗР), Северен централен регион (СЦР), Североизточен регион (СИР) </w:t>
                  </w:r>
                </w:p>
                <w:p w14:paraId="2A00D2A8" w14:textId="77777777" w:rsidR="00967C27" w:rsidRPr="00983B67" w:rsidRDefault="00967C27" w:rsidP="00967C2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  <w:r w:rsidRPr="002C3DAA">
                    <w:rPr>
                      <w:rFonts w:ascii="Times New Roman" w:eastAsia="Times New Roman" w:hAnsi="Times New Roman"/>
                      <w:b/>
                      <w:snapToGrid w:val="0"/>
                      <w:sz w:val="18"/>
                      <w:szCs w:val="18"/>
                      <w:lang w:eastAsia="bg-BG"/>
                    </w:rPr>
                    <w:t>евро</w:t>
                  </w:r>
                </w:p>
              </w:tc>
              <w:tc>
                <w:tcPr>
                  <w:tcW w:w="1230" w:type="dxa"/>
                  <w:shd w:val="clear" w:color="auto" w:fill="D9D9D9"/>
                  <w:vAlign w:val="center"/>
                </w:tcPr>
                <w:p w14:paraId="7C9E4733" w14:textId="77777777" w:rsidR="00967C27" w:rsidRPr="002C3DAA" w:rsidRDefault="00967C27" w:rsidP="00967C2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napToGrid w:val="0"/>
                      <w:sz w:val="18"/>
                      <w:szCs w:val="18"/>
                      <w:lang w:eastAsia="bg-BG"/>
                    </w:rPr>
                  </w:pPr>
                  <w:r w:rsidRPr="002C3DAA">
                    <w:rPr>
                      <w:rFonts w:ascii="Times New Roman" w:eastAsia="Times New Roman" w:hAnsi="Times New Roman"/>
                      <w:b/>
                      <w:snapToGrid w:val="0"/>
                      <w:sz w:val="18"/>
                      <w:szCs w:val="18"/>
                      <w:lang w:eastAsia="bg-BG"/>
                    </w:rPr>
                    <w:t>По-слабо развити региони</w:t>
                  </w:r>
                </w:p>
                <w:p w14:paraId="5F1E7D5D" w14:textId="77777777" w:rsidR="00967C27" w:rsidRPr="002C3DAA" w:rsidRDefault="00967C27" w:rsidP="00967C2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napToGrid w:val="0"/>
                      <w:sz w:val="18"/>
                      <w:szCs w:val="18"/>
                      <w:lang w:eastAsia="bg-BG"/>
                    </w:rPr>
                  </w:pPr>
                  <w:r w:rsidRPr="00983B67">
                    <w:rPr>
                      <w:rFonts w:ascii="Times New Roman" w:eastAsia="Times New Roman" w:hAnsi="Times New Roman"/>
                      <w:b/>
                      <w:snapToGrid w:val="0"/>
                      <w:sz w:val="18"/>
                      <w:szCs w:val="18"/>
                      <w:lang w:eastAsia="bg-BG"/>
                    </w:rPr>
                    <w:t xml:space="preserve">Югоизточен регион (ЮИР) и Южен централен регион (ЮЦР) </w:t>
                  </w:r>
                </w:p>
                <w:p w14:paraId="2FBC5325" w14:textId="77777777" w:rsidR="00967C27" w:rsidRPr="00983B67" w:rsidRDefault="00967C27" w:rsidP="00967C2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</w:pPr>
                </w:p>
                <w:p w14:paraId="66CE7DAB" w14:textId="77777777" w:rsidR="00967C27" w:rsidRPr="00983B67" w:rsidRDefault="00967C27" w:rsidP="00967C2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napToGrid w:val="0"/>
                      <w:sz w:val="18"/>
                      <w:szCs w:val="18"/>
                      <w:lang w:eastAsia="bg-BG"/>
                    </w:rPr>
                  </w:pPr>
                  <w:r w:rsidRPr="002C3DAA">
                    <w:rPr>
                      <w:rFonts w:ascii="Times New Roman" w:eastAsia="Times New Roman" w:hAnsi="Times New Roman"/>
                      <w:b/>
                      <w:snapToGrid w:val="0"/>
                      <w:sz w:val="18"/>
                      <w:szCs w:val="18"/>
                      <w:lang w:eastAsia="bg-BG"/>
                    </w:rPr>
                    <w:t>евро</w:t>
                  </w:r>
                </w:p>
              </w:tc>
              <w:tc>
                <w:tcPr>
                  <w:tcW w:w="1270" w:type="dxa"/>
                  <w:shd w:val="clear" w:color="auto" w:fill="D9D9D9"/>
                </w:tcPr>
                <w:p w14:paraId="1AB7F10D" w14:textId="77777777" w:rsidR="00967C27" w:rsidRPr="002C3DAA" w:rsidRDefault="00967C27" w:rsidP="00967C2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</w:pPr>
                </w:p>
                <w:p w14:paraId="1DA730BA" w14:textId="77777777" w:rsidR="00967C27" w:rsidRPr="002C3DAA" w:rsidRDefault="00967C27" w:rsidP="00967C2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</w:pPr>
                </w:p>
                <w:p w14:paraId="32052178" w14:textId="77777777" w:rsidR="00967C27" w:rsidRPr="002C3DAA" w:rsidRDefault="00967C27" w:rsidP="00967C2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</w:pPr>
                </w:p>
                <w:p w14:paraId="09E1C087" w14:textId="77777777" w:rsidR="00967C27" w:rsidRPr="00983B67" w:rsidRDefault="00967C27" w:rsidP="00967C2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</w:pPr>
                  <w:r w:rsidRPr="00983B67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  <w:t>Общо</w:t>
                  </w:r>
                </w:p>
                <w:p w14:paraId="34A3BCE8" w14:textId="77777777" w:rsidR="00967C27" w:rsidRPr="00983B67" w:rsidRDefault="00967C27" w:rsidP="00967C2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</w:pPr>
                </w:p>
                <w:p w14:paraId="0892DD29" w14:textId="77777777" w:rsidR="00924291" w:rsidRPr="002C3DAA" w:rsidRDefault="00924291" w:rsidP="0092429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napToGrid w:val="0"/>
                      <w:sz w:val="18"/>
                      <w:szCs w:val="18"/>
                      <w:lang w:eastAsia="bg-BG"/>
                    </w:rPr>
                  </w:pPr>
                  <w:r w:rsidRPr="00983B67">
                    <w:rPr>
                      <w:rFonts w:ascii="Times New Roman" w:eastAsia="Times New Roman" w:hAnsi="Times New Roman"/>
                      <w:b/>
                      <w:snapToGrid w:val="0"/>
                      <w:sz w:val="18"/>
                      <w:szCs w:val="18"/>
                      <w:lang w:eastAsia="bg-BG"/>
                    </w:rPr>
                    <w:t>ЕФРР + нац. съфинансиране</w:t>
                  </w:r>
                </w:p>
                <w:p w14:paraId="053B2F50" w14:textId="77777777" w:rsidR="00967C27" w:rsidRPr="00983B67" w:rsidRDefault="00967C27" w:rsidP="0092429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</w:pPr>
                </w:p>
                <w:p w14:paraId="4A92B321" w14:textId="77777777" w:rsidR="00967C27" w:rsidRPr="00983B67" w:rsidRDefault="00967C27" w:rsidP="00967C2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</w:pPr>
                </w:p>
                <w:p w14:paraId="78EED320" w14:textId="77777777" w:rsidR="00967C27" w:rsidRPr="00983B67" w:rsidRDefault="00967C27" w:rsidP="00967C2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</w:pPr>
                </w:p>
                <w:p w14:paraId="7D26602B" w14:textId="77777777" w:rsidR="00967C27" w:rsidRPr="002C3DAA" w:rsidRDefault="00967C27" w:rsidP="00967C2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</w:pPr>
                </w:p>
                <w:p w14:paraId="4444410A" w14:textId="77777777" w:rsidR="00967C27" w:rsidRPr="002C3DAA" w:rsidRDefault="00967C27" w:rsidP="00967C2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</w:pPr>
                  <w:r w:rsidRPr="002C3DAA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  <w:t>евро</w:t>
                  </w:r>
                </w:p>
              </w:tc>
            </w:tr>
            <w:tr w:rsidR="00042F76" w:rsidRPr="00983B67" w14:paraId="0D90647E" w14:textId="77777777" w:rsidTr="00620B27">
              <w:tc>
                <w:tcPr>
                  <w:tcW w:w="1319" w:type="dxa"/>
                  <w:tcBorders>
                    <w:top w:val="single" w:sz="4" w:space="0" w:color="auto"/>
                  </w:tcBorders>
                  <w:shd w:val="clear" w:color="auto" w:fill="D9D9D9"/>
                  <w:vAlign w:val="center"/>
                </w:tcPr>
                <w:p w14:paraId="0DB4CAE8" w14:textId="7E9EA268" w:rsidR="00042F76" w:rsidRPr="00983B67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  <w:r w:rsidRPr="00983B67">
                    <w:rPr>
                      <w:rFonts w:ascii="Times New Roman" w:eastAsia="Times New Roman" w:hAnsi="Times New Roman"/>
                      <w:b/>
                      <w:snapToGrid w:val="0"/>
                      <w:sz w:val="18"/>
                      <w:szCs w:val="18"/>
                      <w:lang w:eastAsia="bg-BG"/>
                    </w:rPr>
                    <w:t>Приоритет 1 „Иновации и растеж</w:t>
                  </w:r>
                  <w:r w:rsidRPr="00983B67"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  <w:t>“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1732DBD6" w14:textId="77777777" w:rsidR="00042F76" w:rsidRPr="002E7540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</w:p>
                <w:p w14:paraId="15284FF3" w14:textId="77777777" w:rsidR="00042F76" w:rsidRPr="002E7540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</w:p>
                <w:p w14:paraId="468FE163" w14:textId="77777777" w:rsidR="00042F76" w:rsidRPr="005A3638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  <w:r w:rsidRPr="005A3638"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  <w:t>974 6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  <w:t>39.92</w:t>
                  </w:r>
                </w:p>
                <w:p w14:paraId="18C67114" w14:textId="77777777" w:rsidR="00042F76" w:rsidRPr="002E7540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</w:p>
                <w:p w14:paraId="0AAB51F8" w14:textId="77777777" w:rsidR="00042F76" w:rsidRPr="002E7540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1276" w:type="dxa"/>
                </w:tcPr>
                <w:p w14:paraId="663FD13D" w14:textId="77777777" w:rsidR="00042F76" w:rsidRPr="00617EE5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</w:p>
                <w:p w14:paraId="394B0CCB" w14:textId="77777777" w:rsidR="00042F76" w:rsidRPr="00617EE5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</w:p>
                <w:p w14:paraId="0F369659" w14:textId="77777777" w:rsidR="00042F76" w:rsidRPr="00617EE5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  <w:r w:rsidRPr="00617EE5"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  <w:t>9 570 220.83</w:t>
                  </w:r>
                </w:p>
                <w:p w14:paraId="3C329C90" w14:textId="77777777" w:rsidR="00042F76" w:rsidRPr="00617EE5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</w:p>
                <w:p w14:paraId="4D1522A4" w14:textId="77777777" w:rsidR="00042F76" w:rsidRPr="00617EE5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0FA840A6" w14:textId="77777777" w:rsidR="00042F76" w:rsidRPr="00617EE5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</w:p>
                <w:p w14:paraId="44C4EC82" w14:textId="77777777" w:rsidR="00042F76" w:rsidRPr="00617EE5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  <w:r w:rsidRPr="00617EE5"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  <w:t>6 671 342.09</w:t>
                  </w:r>
                </w:p>
                <w:p w14:paraId="1388CC40" w14:textId="3CE8854C" w:rsidR="00042F76" w:rsidRPr="00617EE5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5EC5E9BF" w14:textId="77777777" w:rsidR="00042F76" w:rsidRPr="00617EE5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</w:p>
                <w:p w14:paraId="69A52D6F" w14:textId="77777777" w:rsidR="00042F76" w:rsidRPr="00617EE5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  <w:r w:rsidRPr="00617EE5"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  <w:t>2 898 878.74</w:t>
                  </w:r>
                </w:p>
                <w:p w14:paraId="3955CCAD" w14:textId="77777777" w:rsidR="00042F76" w:rsidRPr="00617EE5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1270" w:type="dxa"/>
                </w:tcPr>
                <w:p w14:paraId="1DA662EC" w14:textId="77777777" w:rsidR="00042F76" w:rsidRPr="002E7540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</w:p>
                <w:p w14:paraId="132DC48A" w14:textId="77777777" w:rsidR="00042F76" w:rsidRPr="002E7540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</w:p>
                <w:p w14:paraId="5DD99C93" w14:textId="77777777" w:rsidR="00042F76" w:rsidRPr="002E7540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  <w:r w:rsidRPr="002E7540"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  <w:t>0 544 860.75</w:t>
                  </w:r>
                </w:p>
                <w:p w14:paraId="217E83BB" w14:textId="13B7E8F6" w:rsidR="00042F76" w:rsidRPr="002E7540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042F76" w:rsidRPr="00983B67" w14:paraId="1A7290A1" w14:textId="77777777" w:rsidTr="00620B27">
              <w:tc>
                <w:tcPr>
                  <w:tcW w:w="1319" w:type="dxa"/>
                  <w:shd w:val="clear" w:color="auto" w:fill="D9D9D9"/>
                  <w:vAlign w:val="center"/>
                </w:tcPr>
                <w:p w14:paraId="541782C2" w14:textId="77777777" w:rsidR="00042F76" w:rsidRPr="00983B67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  <w:r w:rsidRPr="00983B67">
                    <w:rPr>
                      <w:rFonts w:ascii="Times New Roman" w:eastAsia="Times New Roman" w:hAnsi="Times New Roman"/>
                      <w:b/>
                      <w:snapToGrid w:val="0"/>
                      <w:sz w:val="18"/>
                      <w:szCs w:val="18"/>
                      <w:lang w:eastAsia="bg-BG"/>
                    </w:rPr>
                    <w:t>Приоритет 2 „Кръгова икономика“</w:t>
                  </w:r>
                  <w:r w:rsidRPr="00983B67"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  <w:t xml:space="preserve">  </w:t>
                  </w:r>
                </w:p>
                <w:p w14:paraId="048F0F04" w14:textId="77777777" w:rsidR="00042F76" w:rsidRPr="00983B67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9BC2F0C" w14:textId="77777777" w:rsidR="00042F76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</w:p>
                <w:p w14:paraId="5365C2A3" w14:textId="77777777" w:rsidR="00042F76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</w:p>
                <w:p w14:paraId="01E8DAE9" w14:textId="77777777" w:rsidR="00042F76" w:rsidRPr="00617EE5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  <w:r w:rsidRPr="00617EE5"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  <w:t>974 639.92</w:t>
                  </w:r>
                </w:p>
                <w:p w14:paraId="5D22BB24" w14:textId="77777777" w:rsidR="00042F76" w:rsidRPr="002E7540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</w:p>
                <w:p w14:paraId="20210BEF" w14:textId="77777777" w:rsidR="00042F76" w:rsidRPr="002E7540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1276" w:type="dxa"/>
                </w:tcPr>
                <w:p w14:paraId="7F4E3AF5" w14:textId="77777777" w:rsidR="00042F76" w:rsidRPr="00617EE5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iCs/>
                      <w:snapToGrid w:val="0"/>
                      <w:sz w:val="18"/>
                      <w:szCs w:val="18"/>
                      <w:lang w:eastAsia="bg-BG"/>
                    </w:rPr>
                  </w:pPr>
                </w:p>
                <w:p w14:paraId="7738BF50" w14:textId="77777777" w:rsidR="00042F76" w:rsidRPr="00617EE5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iCs/>
                      <w:snapToGrid w:val="0"/>
                      <w:sz w:val="18"/>
                      <w:szCs w:val="18"/>
                      <w:lang w:eastAsia="bg-BG"/>
                    </w:rPr>
                  </w:pPr>
                </w:p>
                <w:p w14:paraId="2935EEDE" w14:textId="625EF8B1" w:rsidR="00042F76" w:rsidRPr="00617EE5" w:rsidRDefault="00042F76" w:rsidP="00620B2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iCs/>
                      <w:snapToGrid w:val="0"/>
                      <w:sz w:val="18"/>
                      <w:szCs w:val="18"/>
                      <w:lang w:eastAsia="bg-BG"/>
                    </w:rPr>
                  </w:pPr>
                  <w:r w:rsidRPr="00617EE5">
                    <w:rPr>
                      <w:rFonts w:ascii="Times New Roman" w:eastAsia="Times New Roman" w:hAnsi="Times New Roman"/>
                      <w:iCs/>
                      <w:snapToGrid w:val="0"/>
                      <w:sz w:val="18"/>
                      <w:szCs w:val="18"/>
                      <w:lang w:eastAsia="bg-BG"/>
                    </w:rPr>
                    <w:t>8 456 686.92</w:t>
                  </w:r>
                </w:p>
                <w:p w14:paraId="1BD25DB9" w14:textId="0BD3E385" w:rsidR="00042F76" w:rsidRPr="00617EE5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iCs/>
                      <w:snapToGrid w:val="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10B6C450" w14:textId="77777777" w:rsidR="00042F76" w:rsidRPr="00617EE5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iCs/>
                      <w:snapToGrid w:val="0"/>
                      <w:sz w:val="18"/>
                      <w:szCs w:val="18"/>
                      <w:lang w:eastAsia="bg-BG"/>
                    </w:rPr>
                  </w:pPr>
                </w:p>
                <w:p w14:paraId="4E95E2F7" w14:textId="77777777" w:rsidR="00042F76" w:rsidRPr="00617EE5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iCs/>
                      <w:snapToGrid w:val="0"/>
                      <w:sz w:val="18"/>
                      <w:szCs w:val="18"/>
                      <w:lang w:eastAsia="bg-BG"/>
                    </w:rPr>
                  </w:pPr>
                  <w:r w:rsidRPr="00617EE5">
                    <w:rPr>
                      <w:rFonts w:ascii="Times New Roman" w:eastAsia="Times New Roman" w:hAnsi="Times New Roman"/>
                      <w:iCs/>
                      <w:snapToGrid w:val="0"/>
                      <w:sz w:val="18"/>
                      <w:szCs w:val="18"/>
                      <w:lang w:eastAsia="bg-BG"/>
                    </w:rPr>
                    <w:t>5 751 186.96</w:t>
                  </w:r>
                </w:p>
                <w:p w14:paraId="6F84836E" w14:textId="03FC9D38" w:rsidR="00042F76" w:rsidRPr="00617EE5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49B2F904" w14:textId="04AF7C45" w:rsidR="00042F76" w:rsidRPr="00617EE5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  <w:r w:rsidRPr="00617EE5">
                    <w:rPr>
                      <w:rFonts w:ascii="Times New Roman" w:eastAsia="Times New Roman" w:hAnsi="Times New Roman"/>
                      <w:iCs/>
                      <w:snapToGrid w:val="0"/>
                      <w:sz w:val="18"/>
                      <w:szCs w:val="18"/>
                      <w:lang w:eastAsia="bg-BG"/>
                    </w:rPr>
                    <w:t>2 705 499.96</w:t>
                  </w:r>
                </w:p>
              </w:tc>
              <w:tc>
                <w:tcPr>
                  <w:tcW w:w="1270" w:type="dxa"/>
                </w:tcPr>
                <w:p w14:paraId="629C6D81" w14:textId="77777777" w:rsidR="00042F76" w:rsidRPr="002E7540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</w:p>
                <w:p w14:paraId="2621C8E7" w14:textId="77777777" w:rsidR="00042F76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</w:p>
                <w:p w14:paraId="2034A7AB" w14:textId="5036CB5F" w:rsidR="00042F76" w:rsidRPr="002E7540" w:rsidRDefault="00042F76" w:rsidP="00620B2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  <w:t>9 431 326.84</w:t>
                  </w:r>
                </w:p>
                <w:p w14:paraId="10DD7232" w14:textId="5F578F8A" w:rsidR="00042F76" w:rsidRPr="002E7540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042F76" w:rsidRPr="00983B67" w14:paraId="0F29574F" w14:textId="77777777" w:rsidTr="00620B27">
              <w:tc>
                <w:tcPr>
                  <w:tcW w:w="1319" w:type="dxa"/>
                  <w:shd w:val="clear" w:color="auto" w:fill="D9D9D9"/>
                  <w:vAlign w:val="center"/>
                </w:tcPr>
                <w:p w14:paraId="62FC502E" w14:textId="77777777" w:rsidR="00042F76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napToGrid w:val="0"/>
                      <w:sz w:val="18"/>
                      <w:szCs w:val="18"/>
                      <w:lang w:eastAsia="bg-BG"/>
                    </w:rPr>
                  </w:pPr>
                </w:p>
                <w:p w14:paraId="049CE256" w14:textId="77777777" w:rsidR="00042F76" w:rsidRPr="00983B67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napToGrid w:val="0"/>
                      <w:sz w:val="18"/>
                      <w:szCs w:val="18"/>
                      <w:lang w:eastAsia="bg-BG"/>
                    </w:rPr>
                  </w:pPr>
                  <w:r w:rsidRPr="00983B67">
                    <w:rPr>
                      <w:rFonts w:ascii="Times New Roman" w:eastAsia="Times New Roman" w:hAnsi="Times New Roman"/>
                      <w:b/>
                      <w:snapToGrid w:val="0"/>
                      <w:sz w:val="18"/>
                      <w:szCs w:val="18"/>
                      <w:lang w:eastAsia="bg-BG"/>
                    </w:rPr>
                    <w:t xml:space="preserve">Общо  </w:t>
                  </w:r>
                </w:p>
                <w:p w14:paraId="11A3A6C1" w14:textId="77777777" w:rsidR="00042F76" w:rsidRPr="00983B67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napToGrid w:val="0"/>
                      <w:sz w:val="18"/>
                      <w:szCs w:val="18"/>
                      <w:lang w:eastAsia="bg-BG"/>
                    </w:rPr>
                  </w:pPr>
                </w:p>
                <w:p w14:paraId="2CA8B059" w14:textId="77777777" w:rsidR="00042F76" w:rsidRPr="00983B67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napToGrid w:val="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1F9CECCB" w14:textId="77777777" w:rsidR="00042F76" w:rsidRPr="002E7540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</w:p>
                <w:p w14:paraId="3EA35C48" w14:textId="77777777" w:rsidR="00620B27" w:rsidRDefault="00620B27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</w:p>
                <w:p w14:paraId="6234F5AB" w14:textId="48C4BD6A" w:rsidR="00042F76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  <w:t>1 949 279.84</w:t>
                  </w:r>
                </w:p>
                <w:p w14:paraId="24C19DBB" w14:textId="77777777" w:rsidR="00042F76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</w:p>
                <w:p w14:paraId="3E1D1249" w14:textId="77777777" w:rsidR="00042F76" w:rsidRPr="002E7540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1276" w:type="dxa"/>
                </w:tcPr>
                <w:p w14:paraId="680906BF" w14:textId="77777777" w:rsidR="00042F76" w:rsidRPr="00617EE5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iCs/>
                      <w:snapToGrid w:val="0"/>
                      <w:sz w:val="18"/>
                      <w:szCs w:val="18"/>
                      <w:lang w:eastAsia="bg-BG"/>
                    </w:rPr>
                  </w:pPr>
                </w:p>
                <w:p w14:paraId="5A757C2C" w14:textId="77777777" w:rsidR="00620B27" w:rsidRDefault="00620B27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iCs/>
                      <w:snapToGrid w:val="0"/>
                      <w:sz w:val="18"/>
                      <w:szCs w:val="18"/>
                      <w:lang w:eastAsia="bg-BG"/>
                    </w:rPr>
                  </w:pPr>
                </w:p>
                <w:p w14:paraId="2245B134" w14:textId="28337E00" w:rsidR="00042F76" w:rsidRPr="00617EE5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iCs/>
                      <w:snapToGrid w:val="0"/>
                      <w:sz w:val="18"/>
                      <w:szCs w:val="18"/>
                      <w:lang w:eastAsia="bg-BG"/>
                    </w:rPr>
                  </w:pPr>
                  <w:r w:rsidRPr="00617EE5">
                    <w:rPr>
                      <w:rFonts w:ascii="Times New Roman" w:eastAsia="Times New Roman" w:hAnsi="Times New Roman"/>
                      <w:iCs/>
                      <w:snapToGrid w:val="0"/>
                      <w:sz w:val="18"/>
                      <w:szCs w:val="18"/>
                      <w:lang w:eastAsia="bg-BG"/>
                    </w:rPr>
                    <w:t>18 026 907.75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00D79CFA" w14:textId="77777777" w:rsidR="00042F76" w:rsidRPr="00617EE5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iCs/>
                      <w:snapToGrid w:val="0"/>
                      <w:sz w:val="18"/>
                      <w:szCs w:val="18"/>
                      <w:lang w:eastAsia="bg-BG"/>
                    </w:rPr>
                  </w:pPr>
                </w:p>
                <w:p w14:paraId="55B9C667" w14:textId="77777777" w:rsidR="00620B27" w:rsidRDefault="00620B27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iCs/>
                      <w:snapToGrid w:val="0"/>
                      <w:sz w:val="18"/>
                      <w:szCs w:val="18"/>
                      <w:lang w:eastAsia="bg-BG"/>
                    </w:rPr>
                  </w:pPr>
                </w:p>
                <w:p w14:paraId="6AADC549" w14:textId="4D6FD135" w:rsidR="00042F76" w:rsidRPr="00617EE5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iCs/>
                      <w:snapToGrid w:val="0"/>
                      <w:sz w:val="18"/>
                      <w:szCs w:val="18"/>
                      <w:lang w:eastAsia="bg-BG"/>
                    </w:rPr>
                  </w:pPr>
                  <w:r w:rsidRPr="00617EE5">
                    <w:rPr>
                      <w:rFonts w:ascii="Times New Roman" w:eastAsia="Times New Roman" w:hAnsi="Times New Roman"/>
                      <w:iCs/>
                      <w:snapToGrid w:val="0"/>
                      <w:sz w:val="18"/>
                      <w:szCs w:val="18"/>
                      <w:lang w:eastAsia="bg-BG"/>
                    </w:rPr>
                    <w:t>12 422 529.05</w:t>
                  </w:r>
                </w:p>
                <w:p w14:paraId="277670A4" w14:textId="77777777" w:rsidR="00042F76" w:rsidRPr="00617EE5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iCs/>
                      <w:snapToGrid w:val="0"/>
                      <w:sz w:val="18"/>
                      <w:szCs w:val="18"/>
                      <w:lang w:eastAsia="bg-BG"/>
                    </w:rPr>
                  </w:pPr>
                </w:p>
                <w:p w14:paraId="49A8A7AE" w14:textId="77777777" w:rsidR="00042F76" w:rsidRPr="00617EE5" w:rsidRDefault="00042F76" w:rsidP="00042F7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1230" w:type="dxa"/>
                  <w:shd w:val="clear" w:color="auto" w:fill="auto"/>
                  <w:vAlign w:val="center"/>
                </w:tcPr>
                <w:p w14:paraId="32087188" w14:textId="52D7B0CB" w:rsidR="00042F76" w:rsidRPr="00617EE5" w:rsidRDefault="00042F76" w:rsidP="00C9168C">
                  <w:pPr>
                    <w:spacing w:before="120" w:after="0" w:line="240" w:lineRule="auto"/>
                    <w:contextualSpacing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  <w:r w:rsidRPr="00617EE5"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  <w:t>5 604 378.70</w:t>
                  </w:r>
                </w:p>
              </w:tc>
              <w:tc>
                <w:tcPr>
                  <w:tcW w:w="1270" w:type="dxa"/>
                </w:tcPr>
                <w:p w14:paraId="63072C69" w14:textId="77777777" w:rsidR="00042F76" w:rsidRPr="002E7540" w:rsidRDefault="00042F76" w:rsidP="00042F76">
                  <w:pPr>
                    <w:spacing w:before="120"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</w:p>
                <w:p w14:paraId="55069252" w14:textId="77777777" w:rsidR="00620B27" w:rsidRDefault="00620B27" w:rsidP="00042F76">
                  <w:pPr>
                    <w:spacing w:before="120"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</w:p>
                <w:p w14:paraId="37C4ACE3" w14:textId="14FD5084" w:rsidR="00042F76" w:rsidRPr="002E7540" w:rsidRDefault="00042F76" w:rsidP="00042F76">
                  <w:pPr>
                    <w:spacing w:before="120" w:after="0" w:line="240" w:lineRule="auto"/>
                    <w:contextualSpacing/>
                    <w:jc w:val="center"/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bg-BG"/>
                    </w:rPr>
                    <w:t>19 976 187.59</w:t>
                  </w:r>
                </w:p>
              </w:tc>
            </w:tr>
          </w:tbl>
          <w:p w14:paraId="4529804A" w14:textId="77777777" w:rsidR="002D03E2" w:rsidRDefault="00D6754D" w:rsidP="002D03E2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6754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В документите по процедурата ще бъде приложен Списък </w:t>
            </w:r>
            <w:r w:rsidR="004B6CAD">
              <w:rPr>
                <w:rFonts w:ascii="Times New Roman" w:hAnsi="Times New Roman"/>
                <w:b/>
                <w:i/>
                <w:sz w:val="20"/>
                <w:szCs w:val="20"/>
              </w:rPr>
              <w:t>с одобрени</w:t>
            </w:r>
            <w:r w:rsidR="000B7578">
              <w:rPr>
                <w:rFonts w:ascii="Times New Roman" w:hAnsi="Times New Roman"/>
                <w:b/>
                <w:i/>
                <w:sz w:val="20"/>
                <w:szCs w:val="20"/>
              </w:rPr>
              <w:t>те</w:t>
            </w:r>
            <w:r w:rsidR="004B6CA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стратегии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, в който</w:t>
            </w:r>
            <w:r w:rsidR="004B6CA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ще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е п</w:t>
            </w:r>
            <w:r w:rsidR="00E90AE6">
              <w:rPr>
                <w:rFonts w:ascii="Times New Roman" w:hAnsi="Times New Roman"/>
                <w:b/>
                <w:i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сочено </w:t>
            </w:r>
            <w:r w:rsidR="00A75EC0">
              <w:rPr>
                <w:rFonts w:ascii="Times New Roman" w:hAnsi="Times New Roman"/>
                <w:b/>
                <w:i/>
                <w:sz w:val="20"/>
                <w:szCs w:val="20"/>
              </w:rPr>
              <w:t>допълващо</w:t>
            </w:r>
            <w:r w:rsidR="00E90AE6">
              <w:rPr>
                <w:rFonts w:ascii="Times New Roman" w:hAnsi="Times New Roman"/>
                <w:b/>
                <w:i/>
                <w:sz w:val="20"/>
                <w:szCs w:val="20"/>
              </w:rPr>
              <w:t>то</w:t>
            </w:r>
            <w:r w:rsidR="00A75EC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финансиране по ПКИП</w:t>
            </w:r>
            <w:r w:rsidR="000B757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за всеки МИГ</w:t>
            </w:r>
            <w:r w:rsidR="00BB1873" w:rsidRPr="00B84DB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="00BB1873">
              <w:rPr>
                <w:rFonts w:ascii="Times New Roman" w:hAnsi="Times New Roman"/>
                <w:b/>
                <w:i/>
                <w:sz w:val="20"/>
                <w:szCs w:val="20"/>
              </w:rPr>
              <w:t>и разпределението</w:t>
            </w:r>
            <w:r w:rsidR="000B757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му</w:t>
            </w:r>
            <w:r w:rsidR="00BB18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по приоритети</w:t>
            </w:r>
            <w:r w:rsidR="004B6CAD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  <w:r w:rsidR="00BB18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  <w:p w14:paraId="02E66704" w14:textId="6B74356D" w:rsidR="00EB6C9C" w:rsidRPr="000B23ED" w:rsidRDefault="0038311F" w:rsidP="002D03E2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Управляващият орган </w:t>
            </w:r>
            <w:r w:rsidR="009A142A" w:rsidRPr="007D66CC">
              <w:rPr>
                <w:rFonts w:ascii="Times New Roman" w:hAnsi="Times New Roman"/>
                <w:i/>
                <w:sz w:val="20"/>
                <w:szCs w:val="20"/>
              </w:rPr>
              <w:t>си запазва правото при наличие на кандидати, които успешно са преминали етапа на оценка на проектни предложения, но за които не достига финансиране</w:t>
            </w:r>
            <w:r w:rsidR="005A709F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9A142A" w:rsidRPr="007D66C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5A709F">
              <w:rPr>
                <w:rFonts w:ascii="Times New Roman" w:hAnsi="Times New Roman"/>
                <w:i/>
                <w:sz w:val="20"/>
                <w:szCs w:val="20"/>
              </w:rPr>
              <w:t>да осигури допълнителен ресурс до размера на с</w:t>
            </w:r>
            <w:r w:rsidR="00C8110E">
              <w:rPr>
                <w:rFonts w:ascii="Times New Roman" w:hAnsi="Times New Roman"/>
                <w:i/>
                <w:sz w:val="20"/>
                <w:szCs w:val="20"/>
              </w:rPr>
              <w:t>редствата,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предвидени за допълващо финансиране на подхода ВОМР по ПКИП,</w:t>
            </w:r>
            <w:r w:rsidR="005A709F">
              <w:rPr>
                <w:rFonts w:ascii="Times New Roman" w:hAnsi="Times New Roman"/>
                <w:i/>
                <w:sz w:val="20"/>
                <w:szCs w:val="20"/>
              </w:rPr>
              <w:t xml:space="preserve"> които не са заявени и/или одобрени в рамките на процеса по подбор на стратегии. </w:t>
            </w:r>
          </w:p>
        </w:tc>
      </w:tr>
      <w:tr w:rsidR="0023731B" w:rsidRPr="00C1711D" w14:paraId="22497400" w14:textId="77777777" w:rsidTr="00C9168C">
        <w:tc>
          <w:tcPr>
            <w:tcW w:w="2429" w:type="dxa"/>
            <w:shd w:val="clear" w:color="auto" w:fill="BFBFBF"/>
          </w:tcPr>
          <w:p w14:paraId="23FF62F6" w14:textId="77777777" w:rsidR="0023731B" w:rsidRPr="00C1711D" w:rsidRDefault="0023731B" w:rsidP="00DC232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711D">
              <w:rPr>
                <w:rFonts w:ascii="Times New Roman" w:hAnsi="Times New Roman"/>
                <w:sz w:val="20"/>
                <w:szCs w:val="20"/>
              </w:rPr>
              <w:t>Режим на държавна</w:t>
            </w:r>
            <w:r w:rsidR="00AC3977" w:rsidRPr="00C1711D">
              <w:rPr>
                <w:rFonts w:ascii="Times New Roman" w:hAnsi="Times New Roman"/>
                <w:sz w:val="20"/>
                <w:szCs w:val="20"/>
              </w:rPr>
              <w:t>/минимална</w:t>
            </w:r>
            <w:r w:rsidRPr="00C1711D">
              <w:rPr>
                <w:rFonts w:ascii="Times New Roman" w:hAnsi="Times New Roman"/>
                <w:sz w:val="20"/>
                <w:szCs w:val="20"/>
              </w:rPr>
              <w:t xml:space="preserve"> помощ</w:t>
            </w:r>
          </w:p>
        </w:tc>
        <w:tc>
          <w:tcPr>
            <w:tcW w:w="8090" w:type="dxa"/>
            <w:shd w:val="clear" w:color="auto" w:fill="auto"/>
          </w:tcPr>
          <w:p w14:paraId="17844AB1" w14:textId="7C400D6F" w:rsidR="00E11D48" w:rsidRDefault="00AB510B" w:rsidP="0010456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Процедурата </w:t>
            </w:r>
            <w:r w:rsidRPr="00AB510B">
              <w:rPr>
                <w:rFonts w:ascii="Times New Roman" w:hAnsi="Times New Roman"/>
                <w:sz w:val="20"/>
                <w:szCs w:val="20"/>
              </w:rPr>
              <w:t xml:space="preserve">ще се изпълнява в съответствие с правилата за минимална помощ (правилото de minimis) </w:t>
            </w:r>
            <w:r w:rsidR="004B6CAD">
              <w:rPr>
                <w:rFonts w:ascii="Times New Roman" w:hAnsi="Times New Roman"/>
                <w:sz w:val="20"/>
                <w:szCs w:val="20"/>
              </w:rPr>
              <w:t>съгласно</w:t>
            </w:r>
            <w:r w:rsidRPr="00AB510B">
              <w:rPr>
                <w:rFonts w:ascii="Times New Roman" w:hAnsi="Times New Roman"/>
                <w:sz w:val="20"/>
                <w:szCs w:val="20"/>
              </w:rPr>
              <w:t xml:space="preserve"> РЕГЛАМЕНТ (ЕС) 2023/2831 НА КОМИСИЯТА от 13 декември 2023 година относно прилагането на членове 107 и 108 от Договора за функционирането на Европейския съюз към помощта de minimis, с който се заменя Регламент (ЕС) № 1407/2013.</w:t>
            </w:r>
          </w:p>
          <w:p w14:paraId="49321B2D" w14:textId="7C30E03D" w:rsidR="00AB510B" w:rsidRPr="00AB510B" w:rsidRDefault="000D678A" w:rsidP="00B71D52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D678A">
              <w:rPr>
                <w:rFonts w:ascii="Times New Roman" w:hAnsi="Times New Roman"/>
                <w:sz w:val="20"/>
                <w:szCs w:val="20"/>
              </w:rPr>
              <w:t xml:space="preserve">Максималният размер на помощта за едно и също предприятие в режим „минимална помощ” (de minimis), за която се кандидатства, заедно с другите получени минимални помощи от </w:t>
            </w:r>
            <w:r w:rsidRPr="000D678A">
              <w:rPr>
                <w:rFonts w:ascii="Times New Roman" w:hAnsi="Times New Roman"/>
                <w:sz w:val="20"/>
                <w:szCs w:val="20"/>
              </w:rPr>
              <w:lastRenderedPageBreak/>
              <w:t>кандидата, не може да надхвърля 300 000 евро за период от три предходни години, считано от датата на предоставяне на помощта.</w:t>
            </w:r>
          </w:p>
        </w:tc>
      </w:tr>
      <w:tr w:rsidR="00FD4246" w:rsidRPr="00C1711D" w14:paraId="087DBCDE" w14:textId="77777777" w:rsidTr="00C9168C">
        <w:tc>
          <w:tcPr>
            <w:tcW w:w="10519" w:type="dxa"/>
            <w:gridSpan w:val="2"/>
            <w:shd w:val="clear" w:color="auto" w:fill="BFBFBF"/>
          </w:tcPr>
          <w:p w14:paraId="76F3F7FE" w14:textId="77777777" w:rsidR="00FD4246" w:rsidRPr="00C1711D" w:rsidRDefault="00D7775B" w:rsidP="00DC2329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1711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2. </w:t>
            </w:r>
            <w:r w:rsidR="00E30102" w:rsidRPr="00C1711D">
              <w:rPr>
                <w:rFonts w:ascii="Times New Roman" w:hAnsi="Times New Roman"/>
                <w:b/>
                <w:sz w:val="20"/>
                <w:szCs w:val="20"/>
              </w:rPr>
              <w:t>Методология и к</w:t>
            </w:r>
            <w:r w:rsidRPr="00C1711D">
              <w:rPr>
                <w:rFonts w:ascii="Times New Roman" w:hAnsi="Times New Roman"/>
                <w:b/>
                <w:sz w:val="20"/>
                <w:szCs w:val="20"/>
              </w:rPr>
              <w:t xml:space="preserve">ритерии за </w:t>
            </w:r>
            <w:r w:rsidR="00952728" w:rsidRPr="00C1711D">
              <w:rPr>
                <w:rFonts w:ascii="Times New Roman" w:hAnsi="Times New Roman"/>
                <w:b/>
                <w:sz w:val="20"/>
                <w:szCs w:val="20"/>
              </w:rPr>
              <w:t xml:space="preserve"> подбор на операции</w:t>
            </w:r>
          </w:p>
        </w:tc>
      </w:tr>
      <w:tr w:rsidR="00E30102" w:rsidRPr="00C1711D" w14:paraId="3BA17659" w14:textId="77777777" w:rsidTr="00C9168C">
        <w:tc>
          <w:tcPr>
            <w:tcW w:w="2429" w:type="dxa"/>
            <w:shd w:val="clear" w:color="auto" w:fill="BFBFBF"/>
          </w:tcPr>
          <w:p w14:paraId="5AC35236" w14:textId="77777777" w:rsidR="00E30102" w:rsidRPr="00C1711D" w:rsidRDefault="00E30102" w:rsidP="00DC232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711D">
              <w:rPr>
                <w:rFonts w:ascii="Times New Roman" w:hAnsi="Times New Roman"/>
                <w:sz w:val="20"/>
                <w:szCs w:val="20"/>
              </w:rPr>
              <w:t>Вид процедура за предоставяне на безвъзмездна финансова помощ</w:t>
            </w:r>
          </w:p>
        </w:tc>
        <w:tc>
          <w:tcPr>
            <w:tcW w:w="8090" w:type="dxa"/>
            <w:shd w:val="clear" w:color="auto" w:fill="auto"/>
          </w:tcPr>
          <w:p w14:paraId="1235B8FD" w14:textId="5070F6B5" w:rsidR="00CD7CDD" w:rsidRPr="00CD7CDD" w:rsidRDefault="004C0B75" w:rsidP="00CD7CD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0B75">
              <w:rPr>
                <w:rFonts w:ascii="Times New Roman" w:hAnsi="Times New Roman"/>
                <w:sz w:val="20"/>
                <w:szCs w:val="20"/>
              </w:rPr>
              <w:t>Предоставянето на безвъзмездната финансова помощ се извършва чрез процедури за подбор на проектни предложения при условията и по реда на Закона за управление на средствата от Европейските фондове при споделено управление (ЗУСЕФСУ) и на Постановление на Министерския съвет № 23 от 2023 г. за определяне на детайлни правила за предоставяне на безвъзмездна финансова помощ по програмите, финансирани от Европейските фондове при споделено управление за програмен период 2021 – 2027 г. (ПМС № 23/2023)</w:t>
            </w:r>
            <w:r w:rsidR="00CD7CDD" w:rsidRPr="00CD7CD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CD7CDD" w:rsidRPr="00CD7C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6BA843D" w14:textId="77777777" w:rsidR="00E30102" w:rsidRDefault="002B2785" w:rsidP="00DC2329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3367">
              <w:rPr>
                <w:rFonts w:ascii="Times New Roman" w:hAnsi="Times New Roman"/>
                <w:sz w:val="20"/>
                <w:szCs w:val="20"/>
              </w:rPr>
              <w:t>Ще се прилага процедура на подбор на проектни предложения, съгласно чл. 25, ал. 1, т. 1 и чл. 29, ал. 1 от</w:t>
            </w:r>
            <w:r w:rsidR="003F5307" w:rsidRPr="00CB3367">
              <w:rPr>
                <w:rFonts w:ascii="Times New Roman" w:hAnsi="Times New Roman"/>
                <w:sz w:val="20"/>
                <w:szCs w:val="20"/>
              </w:rPr>
              <w:t xml:space="preserve"> Закона за управление на средствата от европейските фондове при споделено управление (ЗУСЕФСУ)</w:t>
            </w:r>
            <w:r w:rsidR="00E301D6" w:rsidRPr="00CB33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2066D72" w14:textId="5698D8D8" w:rsidR="00BB443D" w:rsidRPr="00CB3367" w:rsidRDefault="00BB443D" w:rsidP="00DC2329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Процедурата на подбор е предвидено да бъде с два крайни срока за кандидатстване</w:t>
            </w:r>
            <w:r w:rsidR="00B02495">
              <w:rPr>
                <w:rFonts w:ascii="Times New Roman" w:hAnsi="Times New Roman"/>
                <w:sz w:val="20"/>
                <w:szCs w:val="20"/>
              </w:rPr>
              <w:t xml:space="preserve"> при спазване на изискванията на чл.</w:t>
            </w:r>
            <w:r w:rsidR="00327072">
              <w:rPr>
                <w:rFonts w:ascii="Times New Roman" w:hAnsi="Times New Roman"/>
                <w:sz w:val="20"/>
                <w:szCs w:val="20"/>
              </w:rPr>
              <w:t>12, ал. 4 на</w:t>
            </w:r>
            <w:r w:rsidR="00B024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7072">
              <w:rPr>
                <w:rFonts w:ascii="Times New Roman" w:hAnsi="Times New Roman"/>
                <w:sz w:val="20"/>
                <w:szCs w:val="20"/>
              </w:rPr>
              <w:t>ПМС 23/2023 г.</w:t>
            </w:r>
          </w:p>
        </w:tc>
      </w:tr>
      <w:tr w:rsidR="004846C7" w:rsidRPr="00167A70" w14:paraId="6AE1C807" w14:textId="77777777" w:rsidTr="00C9168C">
        <w:tc>
          <w:tcPr>
            <w:tcW w:w="2429" w:type="dxa"/>
            <w:shd w:val="clear" w:color="auto" w:fill="BFBFBF"/>
          </w:tcPr>
          <w:p w14:paraId="3C45F632" w14:textId="77777777" w:rsidR="004846C7" w:rsidRPr="00C1711D" w:rsidRDefault="002C2139" w:rsidP="00DC232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711D">
              <w:rPr>
                <w:rFonts w:ascii="Times New Roman" w:hAnsi="Times New Roman"/>
                <w:sz w:val="20"/>
                <w:szCs w:val="20"/>
              </w:rPr>
              <w:t>Допустими кандидати</w:t>
            </w:r>
          </w:p>
        </w:tc>
        <w:tc>
          <w:tcPr>
            <w:tcW w:w="8090" w:type="dxa"/>
            <w:shd w:val="clear" w:color="auto" w:fill="auto"/>
          </w:tcPr>
          <w:p w14:paraId="6302A90A" w14:textId="3FF28350" w:rsidR="00E06C3F" w:rsidRPr="00167A70" w:rsidRDefault="00E06C3F" w:rsidP="00E06C3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167A70">
              <w:rPr>
                <w:rFonts w:ascii="Times New Roman" w:hAnsi="Times New Roman"/>
                <w:b/>
                <w:sz w:val="20"/>
                <w:szCs w:val="20"/>
              </w:rPr>
              <w:t>Основните целеви групи на територи</w:t>
            </w:r>
            <w:r w:rsidR="000D0D19" w:rsidRPr="00167A70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167A70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="000D0D19" w:rsidRPr="00167A70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167A70">
              <w:rPr>
                <w:rFonts w:ascii="Times New Roman" w:hAnsi="Times New Roman"/>
                <w:b/>
                <w:sz w:val="20"/>
                <w:szCs w:val="20"/>
              </w:rPr>
              <w:t xml:space="preserve"> на МИГ по линия на ПКИП са микро, малки и средни предприятия съгласно Закона за малките и средните предприятия</w:t>
            </w:r>
            <w:r w:rsidR="003926D0" w:rsidRPr="00167A70">
              <w:rPr>
                <w:rFonts w:ascii="Times New Roman" w:hAnsi="Times New Roman"/>
                <w:b/>
                <w:sz w:val="20"/>
                <w:szCs w:val="20"/>
              </w:rPr>
              <w:t xml:space="preserve">, посочени като допустима категория в </w:t>
            </w:r>
            <w:r w:rsidR="00BB443D">
              <w:rPr>
                <w:rFonts w:ascii="Times New Roman" w:hAnsi="Times New Roman"/>
                <w:b/>
                <w:sz w:val="20"/>
                <w:szCs w:val="20"/>
              </w:rPr>
              <w:t xml:space="preserve">съответната </w:t>
            </w:r>
            <w:r w:rsidR="003926D0" w:rsidRPr="00167A70">
              <w:rPr>
                <w:rFonts w:ascii="Times New Roman" w:hAnsi="Times New Roman"/>
                <w:b/>
                <w:sz w:val="20"/>
                <w:szCs w:val="20"/>
              </w:rPr>
              <w:t>стратегия за местно развитие</w:t>
            </w:r>
            <w:r w:rsidRPr="00167A70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781BCC68" w14:textId="77777777" w:rsidR="00E06C3F" w:rsidRPr="00167A70" w:rsidRDefault="00E06C3F" w:rsidP="00E06C3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D7DA193" w14:textId="55A46F40" w:rsidR="00E06C3F" w:rsidRPr="00167A70" w:rsidRDefault="00E06C3F" w:rsidP="00E06C3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67A70">
              <w:rPr>
                <w:rFonts w:ascii="Times New Roman" w:hAnsi="Times New Roman"/>
                <w:sz w:val="20"/>
                <w:szCs w:val="20"/>
              </w:rPr>
              <w:t>1) Да са търговци по смисъла на Търговския закон или Закона за кооперациите.</w:t>
            </w:r>
          </w:p>
          <w:p w14:paraId="37AC5E8B" w14:textId="1D027CC4" w:rsidR="00E06C3F" w:rsidRPr="00167A70" w:rsidRDefault="00E06C3F" w:rsidP="00E06C3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67A70">
              <w:rPr>
                <w:rFonts w:ascii="Times New Roman" w:hAnsi="Times New Roman"/>
                <w:sz w:val="20"/>
                <w:szCs w:val="20"/>
              </w:rPr>
              <w:t>2) Да са регистрирани не по-късно от 31.12.</w:t>
            </w:r>
            <w:r w:rsidR="00BB443D" w:rsidRPr="00167A70">
              <w:rPr>
                <w:rFonts w:ascii="Times New Roman" w:hAnsi="Times New Roman"/>
                <w:sz w:val="20"/>
                <w:szCs w:val="20"/>
              </w:rPr>
              <w:t>202</w:t>
            </w:r>
            <w:r w:rsidR="00BB443D">
              <w:rPr>
                <w:rFonts w:ascii="Times New Roman" w:hAnsi="Times New Roman"/>
                <w:sz w:val="20"/>
                <w:szCs w:val="20"/>
              </w:rPr>
              <w:t>3</w:t>
            </w:r>
            <w:r w:rsidR="00BB443D" w:rsidRPr="00167A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7A70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14:paraId="4DB3D3CB" w14:textId="505B6A16" w:rsidR="00EA7F1C" w:rsidRPr="00167A70" w:rsidRDefault="00E06C3F" w:rsidP="00E06C3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67A70">
              <w:rPr>
                <w:rFonts w:ascii="Times New Roman" w:hAnsi="Times New Roman"/>
                <w:sz w:val="20"/>
                <w:szCs w:val="20"/>
              </w:rPr>
              <w:t>3) Да са микро-, малки и средни предприятия по смисъла на чл. 3 и чл. 4 от Закона за малките и средните предприятия</w:t>
            </w:r>
            <w:r w:rsidR="008A6E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A6EBF" w:rsidRPr="008A6EBF">
              <w:rPr>
                <w:rFonts w:ascii="Times New Roman" w:hAnsi="Times New Roman"/>
                <w:sz w:val="20"/>
                <w:szCs w:val="20"/>
              </w:rPr>
              <w:t>и Препоръка на Комисията от 6 май 2003 г. (ОВ L 124, 20.5.2003 г., стр. 36)</w:t>
            </w:r>
            <w:r w:rsidRPr="00167A7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876C39F" w14:textId="130486CF" w:rsidR="00E06C3F" w:rsidRPr="00167A70" w:rsidRDefault="00E06C3F" w:rsidP="00C8110E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67A70">
              <w:rPr>
                <w:rFonts w:ascii="Times New Roman" w:hAnsi="Times New Roman"/>
                <w:sz w:val="20"/>
                <w:szCs w:val="20"/>
              </w:rPr>
              <w:t>4) Да са реализирали</w:t>
            </w:r>
            <w:r w:rsidR="00B024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7A70">
              <w:rPr>
                <w:rFonts w:ascii="Times New Roman" w:hAnsi="Times New Roman"/>
                <w:sz w:val="20"/>
                <w:szCs w:val="20"/>
              </w:rPr>
              <w:t>нетни приходи от продажби</w:t>
            </w:r>
            <w:r w:rsidR="002758D8" w:rsidRPr="00167A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7F1C">
              <w:rPr>
                <w:rFonts w:ascii="Times New Roman" w:hAnsi="Times New Roman"/>
                <w:sz w:val="20"/>
                <w:szCs w:val="20"/>
              </w:rPr>
              <w:t xml:space="preserve">за </w:t>
            </w:r>
            <w:r w:rsidR="002758D8" w:rsidRPr="00167A70">
              <w:rPr>
                <w:rFonts w:ascii="Times New Roman" w:hAnsi="Times New Roman"/>
                <w:sz w:val="20"/>
                <w:szCs w:val="20"/>
              </w:rPr>
              <w:t>съответната категория предприятие</w:t>
            </w:r>
            <w:r w:rsidRPr="00167A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7F1C">
              <w:rPr>
                <w:rFonts w:ascii="Times New Roman" w:hAnsi="Times New Roman"/>
                <w:sz w:val="20"/>
                <w:szCs w:val="20"/>
              </w:rPr>
              <w:t>в размер</w:t>
            </w:r>
            <w:r w:rsidR="00042F7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042F76">
              <w:rPr>
                <w:rFonts w:ascii="Times New Roman" w:hAnsi="Times New Roman"/>
                <w:sz w:val="20"/>
                <w:szCs w:val="20"/>
              </w:rPr>
              <w:t xml:space="preserve">съгласно </w:t>
            </w:r>
            <w:r w:rsidRPr="00167A70">
              <w:rPr>
                <w:rFonts w:ascii="Times New Roman" w:hAnsi="Times New Roman"/>
                <w:sz w:val="20"/>
                <w:szCs w:val="20"/>
              </w:rPr>
              <w:t>посочен</w:t>
            </w:r>
            <w:r w:rsidR="00042F76">
              <w:rPr>
                <w:rFonts w:ascii="Times New Roman" w:hAnsi="Times New Roman"/>
                <w:sz w:val="20"/>
                <w:szCs w:val="20"/>
              </w:rPr>
              <w:t>ото</w:t>
            </w:r>
            <w:r w:rsidRPr="00167A70">
              <w:rPr>
                <w:rFonts w:ascii="Times New Roman" w:hAnsi="Times New Roman"/>
                <w:sz w:val="20"/>
                <w:szCs w:val="20"/>
              </w:rPr>
              <w:t xml:space="preserve"> в Условията за кандидатстване.</w:t>
            </w:r>
          </w:p>
          <w:p w14:paraId="3A5DF867" w14:textId="7A178E79" w:rsidR="00EA7F1C" w:rsidRDefault="00EA7F1C" w:rsidP="00D6754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311F">
              <w:rPr>
                <w:rFonts w:ascii="Times New Roman" w:hAnsi="Times New Roman"/>
                <w:sz w:val="20"/>
                <w:szCs w:val="20"/>
              </w:rPr>
              <w:t xml:space="preserve">5) </w:t>
            </w:r>
            <w:r w:rsidR="00C8110E" w:rsidRPr="0038311F">
              <w:rPr>
                <w:rFonts w:ascii="Times New Roman" w:hAnsi="Times New Roman"/>
                <w:sz w:val="20"/>
                <w:szCs w:val="20"/>
              </w:rPr>
              <w:t>Д</w:t>
            </w:r>
            <w:r w:rsidR="009719FD" w:rsidRPr="0038311F">
              <w:rPr>
                <w:rFonts w:ascii="Times New Roman" w:hAnsi="Times New Roman"/>
                <w:sz w:val="20"/>
                <w:szCs w:val="20"/>
              </w:rPr>
              <w:t>а</w:t>
            </w:r>
            <w:r w:rsidR="009719FD" w:rsidRPr="00043D6D">
              <w:rPr>
                <w:rFonts w:ascii="Times New Roman" w:hAnsi="Times New Roman"/>
                <w:sz w:val="20"/>
                <w:szCs w:val="20"/>
              </w:rPr>
              <w:t xml:space="preserve"> извършват дейността си</w:t>
            </w:r>
            <w:r w:rsidR="001430EA">
              <w:rPr>
                <w:rFonts w:ascii="Times New Roman" w:hAnsi="Times New Roman"/>
                <w:sz w:val="20"/>
                <w:szCs w:val="20"/>
              </w:rPr>
              <w:t xml:space="preserve"> на територията на МИГ</w:t>
            </w:r>
            <w:r w:rsidR="009719FD" w:rsidRPr="00043D6D">
              <w:rPr>
                <w:rFonts w:ascii="Times New Roman" w:hAnsi="Times New Roman"/>
                <w:sz w:val="20"/>
                <w:szCs w:val="20"/>
              </w:rPr>
              <w:t xml:space="preserve"> и да са заявили подкрепа за дейности,</w:t>
            </w:r>
            <w:r w:rsidR="001430EA">
              <w:rPr>
                <w:rFonts w:ascii="Times New Roman" w:hAnsi="Times New Roman"/>
                <w:sz w:val="20"/>
                <w:szCs w:val="20"/>
              </w:rPr>
              <w:t xml:space="preserve"> които ще бъдат</w:t>
            </w:r>
            <w:r w:rsidR="009719FD" w:rsidRPr="00043D6D">
              <w:rPr>
                <w:rFonts w:ascii="Times New Roman" w:hAnsi="Times New Roman"/>
                <w:sz w:val="20"/>
                <w:szCs w:val="20"/>
              </w:rPr>
              <w:t xml:space="preserve"> осъществявани на</w:t>
            </w:r>
            <w:r w:rsidR="001430EA">
              <w:rPr>
                <w:rFonts w:ascii="Times New Roman" w:hAnsi="Times New Roman"/>
                <w:sz w:val="20"/>
                <w:szCs w:val="20"/>
              </w:rPr>
              <w:t xml:space="preserve"> тази</w:t>
            </w:r>
            <w:r w:rsidR="009719FD" w:rsidRPr="00043D6D">
              <w:rPr>
                <w:rFonts w:ascii="Times New Roman" w:hAnsi="Times New Roman"/>
                <w:sz w:val="20"/>
                <w:szCs w:val="20"/>
              </w:rPr>
              <w:t xml:space="preserve"> територия</w:t>
            </w:r>
            <w:r w:rsidRPr="00043D6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1B8684A" w14:textId="77777777" w:rsidR="00043D6D" w:rsidRDefault="00043D6D" w:rsidP="00D6754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F3B8ECB" w14:textId="299C469B" w:rsidR="00E06C3F" w:rsidRPr="00167A70" w:rsidRDefault="002E673D" w:rsidP="00F53C7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8BF">
              <w:rPr>
                <w:rFonts w:ascii="Times New Roman" w:hAnsi="Times New Roman"/>
                <w:b/>
                <w:i/>
                <w:sz w:val="20"/>
                <w:szCs w:val="20"/>
              </w:rPr>
              <w:t>ВАЖНО:</w:t>
            </w:r>
            <w:r w:rsidRPr="00C8110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A7F1C" w:rsidRPr="00C8110E">
              <w:rPr>
                <w:rFonts w:ascii="Times New Roman" w:hAnsi="Times New Roman"/>
                <w:i/>
                <w:sz w:val="20"/>
                <w:szCs w:val="20"/>
              </w:rPr>
              <w:t>По процедурата са допустими за подкрепа единствено кандидати от територии на МИГ, които имат о</w:t>
            </w:r>
            <w:r w:rsidR="00F53C76" w:rsidRPr="00C8110E">
              <w:rPr>
                <w:rFonts w:ascii="Times New Roman" w:hAnsi="Times New Roman"/>
                <w:i/>
                <w:sz w:val="20"/>
                <w:szCs w:val="20"/>
              </w:rPr>
              <w:t>добрени стратегии</w:t>
            </w:r>
            <w:r w:rsidR="00EA7F1C" w:rsidRPr="00C8110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78389A">
              <w:rPr>
                <w:rFonts w:ascii="Times New Roman" w:hAnsi="Times New Roman"/>
                <w:i/>
                <w:sz w:val="20"/>
                <w:szCs w:val="20"/>
              </w:rPr>
              <w:t>с включено</w:t>
            </w:r>
            <w:r w:rsidR="001430E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A7F1C" w:rsidRPr="00C8110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CD7CDD" w:rsidRPr="00C8110E">
              <w:rPr>
                <w:rFonts w:ascii="Times New Roman" w:hAnsi="Times New Roman"/>
                <w:i/>
                <w:sz w:val="20"/>
                <w:szCs w:val="20"/>
              </w:rPr>
              <w:t>допълващо финансиране по ПКИП</w:t>
            </w:r>
            <w:r w:rsidR="00CD7CDD" w:rsidRPr="00EA7F1C">
              <w:rPr>
                <w:rFonts w:ascii="Times New Roman" w:hAnsi="Times New Roman"/>
                <w:sz w:val="20"/>
                <w:szCs w:val="20"/>
              </w:rPr>
              <w:t>.</w:t>
            </w:r>
            <w:r w:rsidR="00E06C3F" w:rsidRPr="00167A7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846C7" w:rsidRPr="00C1711D" w14:paraId="07FAD08F" w14:textId="77777777" w:rsidTr="00C9168C">
        <w:trPr>
          <w:trHeight w:val="853"/>
        </w:trPr>
        <w:tc>
          <w:tcPr>
            <w:tcW w:w="2429" w:type="dxa"/>
            <w:shd w:val="clear" w:color="auto" w:fill="BFBFBF"/>
          </w:tcPr>
          <w:p w14:paraId="72C39CEA" w14:textId="77777777" w:rsidR="004846C7" w:rsidRPr="00C1711D" w:rsidRDefault="00436A21" w:rsidP="00DC232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711D">
              <w:rPr>
                <w:rFonts w:ascii="Times New Roman" w:hAnsi="Times New Roman"/>
                <w:sz w:val="20"/>
                <w:szCs w:val="20"/>
              </w:rPr>
              <w:t xml:space="preserve">Изисквания към партньори </w:t>
            </w:r>
            <w:r w:rsidRPr="00C1711D">
              <w:rPr>
                <w:rFonts w:ascii="Times New Roman" w:hAnsi="Times New Roman"/>
                <w:i/>
                <w:sz w:val="20"/>
                <w:szCs w:val="20"/>
              </w:rPr>
              <w:t>(ако е приложимо)</w:t>
            </w:r>
          </w:p>
        </w:tc>
        <w:tc>
          <w:tcPr>
            <w:tcW w:w="8090" w:type="dxa"/>
            <w:shd w:val="clear" w:color="auto" w:fill="auto"/>
          </w:tcPr>
          <w:p w14:paraId="5567BE42" w14:textId="77777777" w:rsidR="004846C7" w:rsidRPr="00CB3367" w:rsidRDefault="007515E9" w:rsidP="004D034D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4404C">
              <w:rPr>
                <w:rFonts w:ascii="Times New Roman" w:hAnsi="Times New Roman"/>
                <w:sz w:val="20"/>
                <w:szCs w:val="20"/>
              </w:rPr>
              <w:t>Неприложимо</w:t>
            </w:r>
          </w:p>
        </w:tc>
      </w:tr>
      <w:tr w:rsidR="004846C7" w:rsidRPr="00C1711D" w14:paraId="523F3AFA" w14:textId="77777777" w:rsidTr="00C9168C">
        <w:tc>
          <w:tcPr>
            <w:tcW w:w="2429" w:type="dxa"/>
            <w:shd w:val="clear" w:color="auto" w:fill="BFBFBF"/>
          </w:tcPr>
          <w:p w14:paraId="3C1FA49D" w14:textId="77777777" w:rsidR="004846C7" w:rsidRPr="00C1711D" w:rsidRDefault="00094BA3" w:rsidP="00DC232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711D">
              <w:rPr>
                <w:rFonts w:ascii="Times New Roman" w:hAnsi="Times New Roman"/>
                <w:sz w:val="20"/>
                <w:szCs w:val="20"/>
              </w:rPr>
              <w:t xml:space="preserve">Допустими </w:t>
            </w:r>
            <w:r w:rsidR="00D7451B" w:rsidRPr="00C1711D">
              <w:rPr>
                <w:rFonts w:ascii="Times New Roman" w:hAnsi="Times New Roman"/>
                <w:sz w:val="20"/>
                <w:szCs w:val="20"/>
              </w:rPr>
              <w:t>проекти/</w:t>
            </w:r>
            <w:r w:rsidRPr="00C1711D">
              <w:rPr>
                <w:rFonts w:ascii="Times New Roman" w:hAnsi="Times New Roman"/>
                <w:sz w:val="20"/>
                <w:szCs w:val="20"/>
              </w:rPr>
              <w:t>дейности</w:t>
            </w:r>
          </w:p>
        </w:tc>
        <w:tc>
          <w:tcPr>
            <w:tcW w:w="8090" w:type="dxa"/>
            <w:shd w:val="clear" w:color="auto" w:fill="auto"/>
          </w:tcPr>
          <w:p w14:paraId="24FAEA63" w14:textId="77777777" w:rsidR="000D0D19" w:rsidRDefault="00423642" w:rsidP="00764D6A">
            <w:pPr>
              <w:spacing w:before="120" w:after="12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2364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97222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. </w:t>
            </w:r>
            <w:r w:rsidRPr="00A53D65">
              <w:rPr>
                <w:rFonts w:ascii="Times New Roman" w:hAnsi="Times New Roman"/>
                <w:b/>
                <w:sz w:val="20"/>
                <w:szCs w:val="20"/>
              </w:rPr>
              <w:t>Допустими проекти:</w:t>
            </w:r>
          </w:p>
          <w:p w14:paraId="48FE9927" w14:textId="16A68791" w:rsidR="000D0D19" w:rsidRPr="000D0D19" w:rsidRDefault="000D0D19" w:rsidP="000D0D19">
            <w:pPr>
              <w:spacing w:before="120" w:after="12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0D19">
              <w:rPr>
                <w:rFonts w:ascii="Times New Roman" w:hAnsi="Times New Roman"/>
                <w:b/>
                <w:sz w:val="20"/>
                <w:szCs w:val="20"/>
              </w:rPr>
              <w:t xml:space="preserve">1) </w:t>
            </w:r>
            <w:r w:rsidR="002758D8" w:rsidRPr="002758D8">
              <w:rPr>
                <w:rFonts w:ascii="Times New Roman" w:hAnsi="Times New Roman"/>
                <w:b/>
                <w:sz w:val="20"/>
                <w:szCs w:val="20"/>
              </w:rPr>
              <w:t>Проектите трябва да са насочени към в</w:t>
            </w:r>
            <w:r w:rsidR="0078389A">
              <w:rPr>
                <w:rFonts w:ascii="Times New Roman" w:hAnsi="Times New Roman"/>
                <w:b/>
                <w:sz w:val="20"/>
                <w:szCs w:val="20"/>
              </w:rPr>
              <w:t>недряване</w:t>
            </w:r>
            <w:r w:rsidR="002758D8" w:rsidRPr="002758D8">
              <w:rPr>
                <w:rFonts w:ascii="Times New Roman" w:hAnsi="Times New Roman"/>
                <w:b/>
                <w:sz w:val="20"/>
                <w:szCs w:val="20"/>
              </w:rPr>
              <w:t xml:space="preserve"> на поне една иновация </w:t>
            </w:r>
            <w:r w:rsidR="002758D8" w:rsidRPr="00595D58">
              <w:rPr>
                <w:rFonts w:ascii="Times New Roman" w:hAnsi="Times New Roman"/>
                <w:b/>
                <w:sz w:val="20"/>
                <w:szCs w:val="20"/>
              </w:rPr>
              <w:t>на ниво предприятие,</w:t>
            </w:r>
            <w:r w:rsidR="002758D8" w:rsidRPr="002758D8">
              <w:rPr>
                <w:rFonts w:ascii="Times New Roman" w:hAnsi="Times New Roman"/>
                <w:b/>
                <w:sz w:val="20"/>
                <w:szCs w:val="20"/>
              </w:rPr>
              <w:t xml:space="preserve"> свързана с производство на нов или подобрен продукт</w:t>
            </w:r>
            <w:r w:rsidR="001E6E5D">
              <w:rPr>
                <w:rFonts w:ascii="Times New Roman" w:hAnsi="Times New Roman"/>
                <w:b/>
                <w:sz w:val="20"/>
                <w:szCs w:val="20"/>
              </w:rPr>
              <w:t xml:space="preserve"> (стока или услуга)</w:t>
            </w:r>
            <w:r w:rsidR="002758D8" w:rsidRPr="002758D8">
              <w:rPr>
                <w:rFonts w:ascii="Times New Roman" w:hAnsi="Times New Roman"/>
                <w:b/>
                <w:sz w:val="20"/>
                <w:szCs w:val="20"/>
              </w:rPr>
              <w:t xml:space="preserve"> или бизнес процес</w:t>
            </w:r>
            <w:r w:rsidRPr="000D0D1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6A46480E" w14:textId="61C40C04" w:rsidR="002758D8" w:rsidRPr="002758D8" w:rsidRDefault="002758D8" w:rsidP="009719FD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58D8">
              <w:rPr>
                <w:rFonts w:ascii="Times New Roman" w:hAnsi="Times New Roman"/>
                <w:sz w:val="20"/>
                <w:szCs w:val="20"/>
              </w:rPr>
              <w:lastRenderedPageBreak/>
              <w:t>За целите на настоящата процедура, определението за иновация се базира на посоченото в Наръчника от Осло 2018 (Oslo Manual 2018: Guidelines for Collecting, Reporting and Using Data on Innovation, 4th Edition, OECD/Eurostat (2018), © OECD, European Union, 2018)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5472797" w14:textId="36BA4F8A" w:rsidR="002758D8" w:rsidRPr="002758D8" w:rsidRDefault="002758D8" w:rsidP="009719FD">
            <w:pPr>
              <w:spacing w:before="120" w:after="120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758D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Иновация </w:t>
            </w:r>
            <w:r w:rsidRPr="002758D8">
              <w:rPr>
                <w:rFonts w:ascii="Times New Roman" w:hAnsi="Times New Roman"/>
                <w:i/>
                <w:sz w:val="20"/>
                <w:szCs w:val="20"/>
              </w:rPr>
              <w:t xml:space="preserve">е въвеждане на поне един нов или подобрен продукт (стока и/или услуга) или процес (или комбинация от двете), който значително се различава от предишните продукти или процеси на предприятието и който е предоставен на потенциални потребители (продукт) или е въведен в употреба от предприятието (процес). </w:t>
            </w:r>
          </w:p>
          <w:p w14:paraId="1784D28D" w14:textId="4B95D2C9" w:rsidR="00485474" w:rsidRDefault="002758D8" w:rsidP="009719FD">
            <w:pPr>
              <w:spacing w:before="120" w:after="12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58D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85474" w:rsidRPr="00485474">
              <w:rPr>
                <w:rFonts w:ascii="Times New Roman" w:hAnsi="Times New Roman"/>
                <w:b/>
                <w:sz w:val="20"/>
                <w:szCs w:val="20"/>
              </w:rPr>
              <w:t>2) Проектите следва да попада</w:t>
            </w:r>
            <w:r w:rsidR="00F53C76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="00485474" w:rsidRPr="00485474">
              <w:rPr>
                <w:rFonts w:ascii="Times New Roman" w:hAnsi="Times New Roman"/>
                <w:b/>
                <w:sz w:val="20"/>
                <w:szCs w:val="20"/>
              </w:rPr>
              <w:t xml:space="preserve"> в обхвата на ЕДНА от изброените по-долу тематични области на ИСИС 2021-2027:</w:t>
            </w:r>
          </w:p>
          <w:p w14:paraId="5D8E199A" w14:textId="77777777" w:rsidR="00A66085" w:rsidRPr="00485474" w:rsidRDefault="00A66085" w:rsidP="009719FD">
            <w:pPr>
              <w:pStyle w:val="ListParagraph"/>
              <w:numPr>
                <w:ilvl w:val="0"/>
                <w:numId w:val="19"/>
              </w:numPr>
              <w:spacing w:before="12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5474">
              <w:rPr>
                <w:rFonts w:ascii="Times New Roman" w:hAnsi="Times New Roman"/>
                <w:sz w:val="20"/>
                <w:szCs w:val="20"/>
              </w:rPr>
              <w:t>Тематична област „Информатика и ИКТ“;</w:t>
            </w:r>
          </w:p>
          <w:p w14:paraId="2F79137F" w14:textId="77777777" w:rsidR="00A66085" w:rsidRPr="00A66085" w:rsidRDefault="00A66085" w:rsidP="009719FD">
            <w:pPr>
              <w:pStyle w:val="ListParagraph"/>
              <w:numPr>
                <w:ilvl w:val="0"/>
                <w:numId w:val="19"/>
              </w:numPr>
              <w:spacing w:before="12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6085">
              <w:rPr>
                <w:rFonts w:ascii="Times New Roman" w:hAnsi="Times New Roman"/>
                <w:sz w:val="20"/>
                <w:szCs w:val="20"/>
              </w:rPr>
              <w:t>Тематична област „Мехатроника и микроелектроника”;</w:t>
            </w:r>
          </w:p>
          <w:p w14:paraId="52EDADDA" w14:textId="77777777" w:rsidR="00A66085" w:rsidRPr="00A66085" w:rsidRDefault="00A66085" w:rsidP="009719FD">
            <w:pPr>
              <w:pStyle w:val="ListParagraph"/>
              <w:numPr>
                <w:ilvl w:val="0"/>
                <w:numId w:val="19"/>
              </w:numPr>
              <w:spacing w:before="12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6085">
              <w:rPr>
                <w:rFonts w:ascii="Times New Roman" w:hAnsi="Times New Roman"/>
                <w:sz w:val="20"/>
                <w:szCs w:val="20"/>
              </w:rPr>
              <w:t>Тематична област „Индустрия за здравословен живот, биоикономика и биотехнологии“;</w:t>
            </w:r>
          </w:p>
          <w:p w14:paraId="03335F50" w14:textId="77777777" w:rsidR="00A66085" w:rsidRPr="00A66085" w:rsidRDefault="00A66085" w:rsidP="009719FD">
            <w:pPr>
              <w:pStyle w:val="ListParagraph"/>
              <w:numPr>
                <w:ilvl w:val="0"/>
                <w:numId w:val="19"/>
              </w:numPr>
              <w:spacing w:before="12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6085">
              <w:rPr>
                <w:rFonts w:ascii="Times New Roman" w:hAnsi="Times New Roman"/>
                <w:sz w:val="20"/>
                <w:szCs w:val="20"/>
              </w:rPr>
              <w:t>Тематична област „Нови технологии в креативните и рекреативните индустрии“;</w:t>
            </w:r>
          </w:p>
          <w:p w14:paraId="64DC2EBE" w14:textId="77777777" w:rsidR="00A66085" w:rsidRPr="00A66085" w:rsidRDefault="00A66085" w:rsidP="009719FD">
            <w:pPr>
              <w:pStyle w:val="ListParagraph"/>
              <w:numPr>
                <w:ilvl w:val="0"/>
                <w:numId w:val="19"/>
              </w:numPr>
              <w:spacing w:before="12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6085">
              <w:rPr>
                <w:rFonts w:ascii="Times New Roman" w:hAnsi="Times New Roman"/>
                <w:sz w:val="20"/>
                <w:szCs w:val="20"/>
              </w:rPr>
              <w:t>Тематична област „Чисти технологии, кръгова и нисковъглеродна икономика“.</w:t>
            </w:r>
          </w:p>
          <w:p w14:paraId="6DFA0F15" w14:textId="77777777" w:rsidR="00A66085" w:rsidRDefault="00924B3B" w:rsidP="009719FD">
            <w:pPr>
              <w:spacing w:before="120" w:after="12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A66085" w:rsidRPr="00A66085">
              <w:rPr>
                <w:rFonts w:ascii="Times New Roman" w:hAnsi="Times New Roman"/>
                <w:b/>
                <w:sz w:val="20"/>
                <w:szCs w:val="20"/>
              </w:rPr>
              <w:t>) Проектите следва да водят до постигане на целта на процедурата.</w:t>
            </w:r>
          </w:p>
          <w:p w14:paraId="2D21843A" w14:textId="4CB73AF0" w:rsidR="00924B3B" w:rsidRPr="00A66085" w:rsidRDefault="00924B3B" w:rsidP="00A66085">
            <w:pPr>
              <w:spacing w:before="120" w:after="12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924B3B">
              <w:rPr>
                <w:rFonts w:ascii="Times New Roman" w:hAnsi="Times New Roman"/>
                <w:b/>
                <w:sz w:val="20"/>
                <w:szCs w:val="20"/>
              </w:rPr>
              <w:t>) Проектите следва да се изпълняват на териториите на МИГ</w:t>
            </w:r>
            <w:r w:rsidR="00F53C76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924B3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53C76" w:rsidRPr="00F53C76">
              <w:rPr>
                <w:rFonts w:ascii="Times New Roman" w:hAnsi="Times New Roman"/>
                <w:b/>
                <w:sz w:val="20"/>
                <w:szCs w:val="20"/>
              </w:rPr>
              <w:t>които имат о</w:t>
            </w:r>
            <w:r w:rsidR="00F53C76">
              <w:rPr>
                <w:rFonts w:ascii="Times New Roman" w:hAnsi="Times New Roman"/>
                <w:b/>
                <w:sz w:val="20"/>
                <w:szCs w:val="20"/>
              </w:rPr>
              <w:t>добрени стратегии</w:t>
            </w:r>
            <w:r w:rsidR="00F53C76" w:rsidRPr="00F53C7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8389A">
              <w:rPr>
                <w:rFonts w:ascii="Times New Roman" w:hAnsi="Times New Roman"/>
                <w:b/>
                <w:sz w:val="20"/>
                <w:szCs w:val="20"/>
              </w:rPr>
              <w:t>с включено</w:t>
            </w:r>
            <w:r w:rsidR="00F53C76" w:rsidRPr="00F53C7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D7CDD" w:rsidRPr="00CD7CDD">
              <w:rPr>
                <w:rFonts w:ascii="Times New Roman" w:hAnsi="Times New Roman"/>
                <w:b/>
                <w:sz w:val="20"/>
                <w:szCs w:val="20"/>
              </w:rPr>
              <w:t>допълващо финансиране по ПКИП.</w:t>
            </w:r>
          </w:p>
          <w:p w14:paraId="79DA789D" w14:textId="77777777" w:rsidR="00A66085" w:rsidRDefault="00924B3B" w:rsidP="00A66085">
            <w:pPr>
              <w:spacing w:before="120" w:after="12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A66085" w:rsidRPr="00A66085">
              <w:rPr>
                <w:rFonts w:ascii="Times New Roman" w:hAnsi="Times New Roman"/>
                <w:b/>
                <w:sz w:val="20"/>
                <w:szCs w:val="20"/>
              </w:rPr>
              <w:t>) Проектите следва да са в съответствие с хоризонталните принципи съгласно чл. 9 от Регламент (ЕС) 2021/1060, както и с принципа за „ненанасяне на значителни вреди“.</w:t>
            </w:r>
          </w:p>
          <w:p w14:paraId="5FD07826" w14:textId="77777777" w:rsidR="0029038A" w:rsidRPr="002662CF" w:rsidRDefault="0029038A" w:rsidP="00764D6A">
            <w:pPr>
              <w:spacing w:before="120" w:after="12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62CF">
              <w:rPr>
                <w:rFonts w:ascii="Times New Roman" w:hAnsi="Times New Roman"/>
                <w:b/>
                <w:sz w:val="20"/>
                <w:szCs w:val="20"/>
              </w:rPr>
              <w:t>II. Допустими дейности:</w:t>
            </w:r>
          </w:p>
          <w:p w14:paraId="5B9E2CDC" w14:textId="77777777" w:rsidR="00FA2897" w:rsidRPr="00FA2897" w:rsidRDefault="00FA2897" w:rsidP="00FA2897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2897">
              <w:rPr>
                <w:rFonts w:ascii="Times New Roman" w:hAnsi="Times New Roman"/>
                <w:sz w:val="20"/>
                <w:szCs w:val="20"/>
              </w:rPr>
              <w:t xml:space="preserve">Допустими по процедурата са проектни предложения, включващи </w:t>
            </w:r>
            <w:r w:rsidRPr="00FA2897">
              <w:rPr>
                <w:rFonts w:ascii="Times New Roman" w:hAnsi="Times New Roman"/>
                <w:b/>
                <w:sz w:val="20"/>
                <w:szCs w:val="20"/>
              </w:rPr>
              <w:t>следната задължителна дейност</w:t>
            </w:r>
            <w:r w:rsidRPr="00FA289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5E2BD2B4" w14:textId="39FB3E96" w:rsidR="00A3321D" w:rsidRPr="00CB3367" w:rsidRDefault="00924B3B" w:rsidP="004F442C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24B3B">
              <w:rPr>
                <w:rFonts w:ascii="Times New Roman" w:hAnsi="Times New Roman"/>
                <w:b/>
                <w:sz w:val="20"/>
                <w:szCs w:val="20"/>
              </w:rPr>
              <w:t>Дейност 1. В</w:t>
            </w:r>
            <w:r w:rsidR="00410799">
              <w:rPr>
                <w:rFonts w:ascii="Times New Roman" w:hAnsi="Times New Roman"/>
                <w:b/>
                <w:sz w:val="20"/>
                <w:szCs w:val="20"/>
              </w:rPr>
              <w:t>недряване</w:t>
            </w:r>
            <w:r w:rsidRPr="00924B3B">
              <w:rPr>
                <w:rFonts w:ascii="Times New Roman" w:hAnsi="Times New Roman"/>
                <w:b/>
                <w:sz w:val="20"/>
                <w:szCs w:val="20"/>
              </w:rPr>
              <w:t xml:space="preserve"> на иновации в дейността на предприятията, свързани с нови или подобрени</w:t>
            </w:r>
            <w:r w:rsidR="00BF4DE2" w:rsidRPr="000C39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BF4DE2">
              <w:rPr>
                <w:rFonts w:ascii="Times New Roman" w:hAnsi="Times New Roman"/>
                <w:b/>
                <w:sz w:val="20"/>
                <w:szCs w:val="20"/>
              </w:rPr>
              <w:t>продукти</w:t>
            </w:r>
            <w:r w:rsidRPr="00924B3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F4DE2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924B3B">
              <w:rPr>
                <w:rFonts w:ascii="Times New Roman" w:hAnsi="Times New Roman"/>
                <w:b/>
                <w:sz w:val="20"/>
                <w:szCs w:val="20"/>
              </w:rPr>
              <w:t>стоки и/или услуги</w:t>
            </w:r>
            <w:r w:rsidR="00BF4DE2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924B3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37154">
              <w:rPr>
                <w:rFonts w:ascii="Times New Roman" w:hAnsi="Times New Roman"/>
                <w:b/>
                <w:sz w:val="20"/>
                <w:szCs w:val="20"/>
              </w:rPr>
              <w:t>и/</w:t>
            </w:r>
            <w:r w:rsidRPr="00924B3B">
              <w:rPr>
                <w:rFonts w:ascii="Times New Roman" w:hAnsi="Times New Roman"/>
                <w:b/>
                <w:sz w:val="20"/>
                <w:szCs w:val="20"/>
              </w:rPr>
              <w:t>или бизнес процеси.</w:t>
            </w:r>
          </w:p>
        </w:tc>
      </w:tr>
      <w:tr w:rsidR="004846C7" w:rsidRPr="00C1711D" w14:paraId="7CD83A37" w14:textId="77777777" w:rsidTr="00C9168C">
        <w:tc>
          <w:tcPr>
            <w:tcW w:w="2429" w:type="dxa"/>
            <w:shd w:val="clear" w:color="auto" w:fill="BFBFBF"/>
          </w:tcPr>
          <w:p w14:paraId="5EC65EC3" w14:textId="77777777" w:rsidR="004846C7" w:rsidRPr="00C1711D" w:rsidRDefault="003751FB" w:rsidP="00DC232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711D">
              <w:rPr>
                <w:rFonts w:ascii="Times New Roman" w:hAnsi="Times New Roman"/>
                <w:sz w:val="20"/>
                <w:szCs w:val="20"/>
              </w:rPr>
              <w:lastRenderedPageBreak/>
              <w:t>Допустими разходи</w:t>
            </w:r>
          </w:p>
        </w:tc>
        <w:tc>
          <w:tcPr>
            <w:tcW w:w="8090" w:type="dxa"/>
            <w:shd w:val="clear" w:color="auto" w:fill="auto"/>
          </w:tcPr>
          <w:p w14:paraId="7B2E45CA" w14:textId="77777777" w:rsidR="00295A98" w:rsidRPr="00295A98" w:rsidRDefault="00295A98" w:rsidP="00764D6A">
            <w:pPr>
              <w:spacing w:before="120" w:after="1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295A98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Допустими по процедурата са следните видове разходи: </w:t>
            </w:r>
          </w:p>
          <w:p w14:paraId="39384640" w14:textId="769CD455" w:rsidR="009721A4" w:rsidRPr="009721A4" w:rsidRDefault="009721A4" w:rsidP="00764D6A">
            <w:pPr>
              <w:spacing w:before="120" w:after="1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9721A4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1) Разходи за придобиване на </w:t>
            </w:r>
            <w:r w:rsidR="007C7820" w:rsidRPr="009721A4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дълготрайни материални активи (ДМА)</w:t>
            </w:r>
            <w:r w:rsidR="007C7820" w:rsidRPr="0097222B">
              <w:rPr>
                <w:rFonts w:ascii="Times New Roman" w:eastAsia="Times New Roman" w:hAnsi="Times New Roman"/>
                <w:sz w:val="20"/>
                <w:szCs w:val="20"/>
                <w:lang w:val="ru-RU" w:eastAsia="bg-BG"/>
              </w:rPr>
              <w:t xml:space="preserve"> - </w:t>
            </w:r>
            <w:r w:rsidRPr="009721A4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машини, съоръжения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и</w:t>
            </w:r>
            <w:r w:rsidRPr="009721A4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 оборудване, необходими за </w:t>
            </w:r>
            <w:r w:rsidR="004F442C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внедряването на иновацията</w:t>
            </w:r>
            <w:r w:rsidRPr="009721A4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.</w:t>
            </w:r>
          </w:p>
          <w:p w14:paraId="7AF3FA5A" w14:textId="798ACAE5" w:rsidR="005C2042" w:rsidRPr="00CB3367" w:rsidRDefault="009721A4" w:rsidP="004F442C">
            <w:pPr>
              <w:spacing w:before="120" w:after="120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bg-BG"/>
              </w:rPr>
            </w:pPr>
            <w:r w:rsidRPr="009721A4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2) Разходи за придобиване на дълготрайни нематериални активи (ДНА) – софтуер, патенти, </w:t>
            </w:r>
            <w:r w:rsidR="00261146" w:rsidRPr="00261146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полезни модели, промишлени дизайни и лицензии</w:t>
            </w:r>
            <w:r w:rsidRPr="009721A4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 xml:space="preserve">, необходими за </w:t>
            </w:r>
            <w:r w:rsidR="004F442C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внедряването на иновацията</w:t>
            </w:r>
            <w:r w:rsidRPr="009721A4"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  <w:t>.</w:t>
            </w:r>
          </w:p>
        </w:tc>
      </w:tr>
      <w:tr w:rsidR="004846C7" w:rsidRPr="00C1711D" w14:paraId="739F47E3" w14:textId="77777777" w:rsidTr="00C9168C">
        <w:tc>
          <w:tcPr>
            <w:tcW w:w="2429" w:type="dxa"/>
            <w:shd w:val="clear" w:color="auto" w:fill="BFBFBF"/>
          </w:tcPr>
          <w:p w14:paraId="0E3E4300" w14:textId="77777777" w:rsidR="004846C7" w:rsidRPr="00C1711D" w:rsidRDefault="00A00706" w:rsidP="00DC232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711D">
              <w:rPr>
                <w:rFonts w:ascii="Times New Roman" w:hAnsi="Times New Roman"/>
                <w:sz w:val="20"/>
                <w:szCs w:val="20"/>
              </w:rPr>
              <w:t xml:space="preserve">Минимален размер на </w:t>
            </w:r>
            <w:r w:rsidR="003416E9" w:rsidRPr="00C1711D">
              <w:rPr>
                <w:rFonts w:ascii="Times New Roman" w:hAnsi="Times New Roman"/>
                <w:sz w:val="20"/>
                <w:szCs w:val="20"/>
              </w:rPr>
              <w:t>помощта</w:t>
            </w:r>
          </w:p>
        </w:tc>
        <w:tc>
          <w:tcPr>
            <w:tcW w:w="8090" w:type="dxa"/>
            <w:shd w:val="clear" w:color="auto" w:fill="auto"/>
          </w:tcPr>
          <w:p w14:paraId="059D0396" w14:textId="77777777" w:rsidR="003416E9" w:rsidRPr="00910A6C" w:rsidRDefault="00924B3B" w:rsidP="00924B3B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466888" w:rsidRPr="00910A6C">
              <w:rPr>
                <w:rFonts w:ascii="Times New Roman" w:hAnsi="Times New Roman"/>
                <w:sz w:val="20"/>
                <w:szCs w:val="20"/>
              </w:rPr>
              <w:t xml:space="preserve"> 000 </w:t>
            </w:r>
            <w:r>
              <w:rPr>
                <w:rFonts w:ascii="Times New Roman" w:hAnsi="Times New Roman"/>
                <w:sz w:val="20"/>
                <w:szCs w:val="20"/>
              </w:rPr>
              <w:t>евро</w:t>
            </w:r>
          </w:p>
        </w:tc>
      </w:tr>
      <w:tr w:rsidR="00A00706" w:rsidRPr="00C1711D" w14:paraId="7F366C38" w14:textId="77777777" w:rsidTr="00C9168C">
        <w:tc>
          <w:tcPr>
            <w:tcW w:w="2429" w:type="dxa"/>
            <w:shd w:val="clear" w:color="auto" w:fill="BFBFBF"/>
          </w:tcPr>
          <w:p w14:paraId="4095CAB9" w14:textId="77777777" w:rsidR="00A00706" w:rsidRPr="00C1711D" w:rsidRDefault="00A00706" w:rsidP="00DC232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711D">
              <w:rPr>
                <w:rFonts w:ascii="Times New Roman" w:hAnsi="Times New Roman"/>
                <w:sz w:val="20"/>
                <w:szCs w:val="20"/>
              </w:rPr>
              <w:lastRenderedPageBreak/>
              <w:t>Максимален размер на помощта</w:t>
            </w:r>
          </w:p>
        </w:tc>
        <w:tc>
          <w:tcPr>
            <w:tcW w:w="8090" w:type="dxa"/>
            <w:shd w:val="clear" w:color="auto" w:fill="auto"/>
          </w:tcPr>
          <w:p w14:paraId="45D8D60D" w14:textId="264C3080" w:rsidR="00E55D62" w:rsidRDefault="00924B3B" w:rsidP="00924B3B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53D9">
              <w:rPr>
                <w:rFonts w:ascii="Times New Roman" w:hAnsi="Times New Roman"/>
                <w:sz w:val="20"/>
                <w:szCs w:val="20"/>
              </w:rPr>
              <w:t>10</w:t>
            </w:r>
            <w:r w:rsidR="00A53D65" w:rsidRPr="005E53D9">
              <w:rPr>
                <w:rFonts w:ascii="Times New Roman" w:hAnsi="Times New Roman"/>
                <w:sz w:val="20"/>
                <w:szCs w:val="20"/>
              </w:rPr>
              <w:t>2</w:t>
            </w:r>
            <w:r w:rsidRPr="005E53D9">
              <w:rPr>
                <w:rFonts w:ascii="Times New Roman" w:hAnsi="Times New Roman"/>
                <w:sz w:val="20"/>
                <w:szCs w:val="20"/>
              </w:rPr>
              <w:t> 5</w:t>
            </w:r>
            <w:r w:rsidR="00466888" w:rsidRPr="005E53D9">
              <w:rPr>
                <w:rFonts w:ascii="Times New Roman" w:hAnsi="Times New Roman"/>
                <w:sz w:val="20"/>
                <w:szCs w:val="20"/>
              </w:rPr>
              <w:t>00</w:t>
            </w:r>
            <w:r w:rsidR="00066D1A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4"/>
            </w:r>
            <w:r w:rsidR="00466888" w:rsidRPr="005E53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53D9">
              <w:rPr>
                <w:rFonts w:ascii="Times New Roman" w:hAnsi="Times New Roman"/>
                <w:sz w:val="20"/>
                <w:szCs w:val="20"/>
              </w:rPr>
              <w:t>евро</w:t>
            </w:r>
          </w:p>
          <w:p w14:paraId="4D8EED67" w14:textId="28FAF841" w:rsidR="00BF6BF3" w:rsidRPr="00910A6C" w:rsidRDefault="00BF6BF3" w:rsidP="00924B3B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6C7" w:rsidRPr="00C1711D" w14:paraId="1A0F41BB" w14:textId="77777777" w:rsidTr="00C9168C">
        <w:tc>
          <w:tcPr>
            <w:tcW w:w="2429" w:type="dxa"/>
            <w:shd w:val="clear" w:color="auto" w:fill="BFBFBF"/>
          </w:tcPr>
          <w:p w14:paraId="65E29E72" w14:textId="77777777" w:rsidR="004846C7" w:rsidRPr="00C1711D" w:rsidRDefault="0037629B" w:rsidP="00DC2329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711D">
              <w:rPr>
                <w:rFonts w:ascii="Times New Roman" w:hAnsi="Times New Roman"/>
                <w:sz w:val="20"/>
                <w:szCs w:val="20"/>
              </w:rPr>
              <w:t>Интензитет на помощта</w:t>
            </w:r>
          </w:p>
        </w:tc>
        <w:tc>
          <w:tcPr>
            <w:tcW w:w="8090" w:type="dxa"/>
            <w:shd w:val="clear" w:color="auto" w:fill="auto"/>
          </w:tcPr>
          <w:p w14:paraId="41E5703A" w14:textId="11D2E4C2" w:rsidR="00595642" w:rsidRPr="00CB3367" w:rsidRDefault="006C3871" w:rsidP="00E04704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14C94">
              <w:rPr>
                <w:rFonts w:ascii="Times New Roman" w:hAnsi="Times New Roman"/>
                <w:sz w:val="20"/>
                <w:szCs w:val="20"/>
              </w:rPr>
              <w:t>до</w:t>
            </w:r>
            <w:r w:rsidRPr="00E047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3D65" w:rsidRPr="00E04704">
              <w:rPr>
                <w:rFonts w:ascii="Times New Roman" w:hAnsi="Times New Roman"/>
                <w:sz w:val="20"/>
                <w:szCs w:val="20"/>
              </w:rPr>
              <w:t>75</w:t>
            </w:r>
            <w:r w:rsidR="00466888" w:rsidRPr="00C23C55">
              <w:rPr>
                <w:rFonts w:ascii="Times New Roman" w:hAnsi="Times New Roman"/>
                <w:sz w:val="20"/>
                <w:szCs w:val="20"/>
              </w:rPr>
              <w:t>%</w:t>
            </w:r>
            <w:r w:rsidR="00DB2E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7629B" w:rsidRPr="00C1711D" w14:paraId="64AAEC9A" w14:textId="77777777" w:rsidTr="00C9168C">
        <w:trPr>
          <w:trHeight w:val="141"/>
        </w:trPr>
        <w:tc>
          <w:tcPr>
            <w:tcW w:w="2429" w:type="dxa"/>
            <w:tcBorders>
              <w:bottom w:val="single" w:sz="4" w:space="0" w:color="auto"/>
            </w:tcBorders>
            <w:shd w:val="clear" w:color="auto" w:fill="BFBFBF"/>
          </w:tcPr>
          <w:p w14:paraId="5659628C" w14:textId="77777777" w:rsidR="0037629B" w:rsidRPr="00C1711D" w:rsidRDefault="00A65D0B" w:rsidP="00DC2329">
            <w:pPr>
              <w:spacing w:before="12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711D">
              <w:rPr>
                <w:rFonts w:ascii="Times New Roman" w:hAnsi="Times New Roman"/>
                <w:sz w:val="20"/>
                <w:szCs w:val="20"/>
              </w:rPr>
              <w:t xml:space="preserve">Кръстосано финансиране </w:t>
            </w:r>
            <w:r w:rsidRPr="00C1711D">
              <w:rPr>
                <w:rFonts w:ascii="Times New Roman" w:hAnsi="Times New Roman"/>
                <w:i/>
                <w:sz w:val="20"/>
                <w:szCs w:val="20"/>
              </w:rPr>
              <w:t>(ако е приложимо)</w:t>
            </w:r>
          </w:p>
        </w:tc>
        <w:tc>
          <w:tcPr>
            <w:tcW w:w="8090" w:type="dxa"/>
            <w:tcBorders>
              <w:bottom w:val="single" w:sz="4" w:space="0" w:color="auto"/>
            </w:tcBorders>
            <w:shd w:val="clear" w:color="auto" w:fill="auto"/>
          </w:tcPr>
          <w:p w14:paraId="3E2676DE" w14:textId="77777777" w:rsidR="0037629B" w:rsidRPr="00CB3367" w:rsidRDefault="00466888" w:rsidP="00764D6A">
            <w:pPr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4404C">
              <w:rPr>
                <w:rFonts w:ascii="Times New Roman" w:hAnsi="Times New Roman"/>
                <w:sz w:val="20"/>
                <w:szCs w:val="20"/>
              </w:rPr>
              <w:t>Неприложимо</w:t>
            </w:r>
          </w:p>
        </w:tc>
      </w:tr>
      <w:tr w:rsidR="00E30102" w:rsidRPr="00C1711D" w14:paraId="310BFC50" w14:textId="77777777" w:rsidTr="00C9168C">
        <w:trPr>
          <w:trHeight w:val="141"/>
        </w:trPr>
        <w:tc>
          <w:tcPr>
            <w:tcW w:w="2429" w:type="dxa"/>
            <w:tcBorders>
              <w:bottom w:val="single" w:sz="4" w:space="0" w:color="auto"/>
            </w:tcBorders>
            <w:shd w:val="clear" w:color="auto" w:fill="BFBFBF"/>
          </w:tcPr>
          <w:p w14:paraId="0C43B481" w14:textId="77777777" w:rsidR="00E30102" w:rsidRPr="00C1711D" w:rsidRDefault="00E30102" w:rsidP="00E849C1">
            <w:pPr>
              <w:spacing w:before="12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711D">
              <w:rPr>
                <w:rFonts w:ascii="Times New Roman" w:hAnsi="Times New Roman"/>
                <w:sz w:val="20"/>
                <w:szCs w:val="20"/>
              </w:rPr>
              <w:t xml:space="preserve">Критерии за </w:t>
            </w:r>
            <w:r w:rsidR="00E849C1" w:rsidRPr="00C1711D">
              <w:rPr>
                <w:rFonts w:ascii="Times New Roman" w:hAnsi="Times New Roman"/>
                <w:sz w:val="20"/>
                <w:szCs w:val="20"/>
              </w:rPr>
              <w:t>подбор</w:t>
            </w:r>
            <w:r w:rsidR="006179AC" w:rsidRPr="00C1711D">
              <w:rPr>
                <w:rFonts w:ascii="Times New Roman" w:hAnsi="Times New Roman"/>
                <w:sz w:val="20"/>
                <w:szCs w:val="20"/>
              </w:rPr>
              <w:t>/</w:t>
            </w:r>
            <w:r w:rsidR="006179AC" w:rsidRPr="00C1711D">
              <w:rPr>
                <w:rFonts w:ascii="Times New Roman" w:hAnsi="Times New Roman"/>
              </w:rPr>
              <w:t xml:space="preserve"> </w:t>
            </w:r>
            <w:r w:rsidR="006179AC" w:rsidRPr="00C1711D">
              <w:rPr>
                <w:rFonts w:ascii="Times New Roman" w:hAnsi="Times New Roman"/>
                <w:sz w:val="20"/>
                <w:szCs w:val="20"/>
              </w:rPr>
              <w:t>оценка на съответствието</w:t>
            </w:r>
          </w:p>
        </w:tc>
        <w:tc>
          <w:tcPr>
            <w:tcW w:w="8090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92"/>
              <w:gridCol w:w="739"/>
            </w:tblGrid>
            <w:tr w:rsidR="00DB2E1C" w:rsidRPr="000F15EE" w14:paraId="24706186" w14:textId="77777777" w:rsidTr="00155EF4">
              <w:tc>
                <w:tcPr>
                  <w:tcW w:w="6392" w:type="dxa"/>
                  <w:shd w:val="clear" w:color="auto" w:fill="auto"/>
                </w:tcPr>
                <w:p w14:paraId="1C706333" w14:textId="591883CC" w:rsidR="00DB2E1C" w:rsidRPr="0097222B" w:rsidRDefault="00DB2E1C" w:rsidP="00DB2E1C">
                  <w:pPr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val="ru-RU" w:eastAsia="bg-BG"/>
                    </w:rPr>
                  </w:pPr>
                  <w:r w:rsidRPr="000F15EE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pl-PL"/>
                    </w:rPr>
                    <w:t>I. Иновативност и приложимост на подкрепяната иновация</w:t>
                  </w:r>
                  <w:r w:rsidRPr="00394C13">
                    <w:rPr>
                      <w:rFonts w:ascii="Times New Roman" w:eastAsia="Times New Roman" w:hAnsi="Times New Roman"/>
                      <w:bCs/>
                      <w:sz w:val="20"/>
                      <w:szCs w:val="20"/>
                      <w:lang w:eastAsia="pl-PL"/>
                    </w:rPr>
                    <w:t>: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14:paraId="1E9A670F" w14:textId="314FF9C3" w:rsidR="00DB2E1C" w:rsidRPr="005E53D9" w:rsidRDefault="005E53D9" w:rsidP="00EA5B60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 w:eastAsia="bg-BG"/>
                    </w:rPr>
                    <w:t>38</w:t>
                  </w:r>
                </w:p>
              </w:tc>
            </w:tr>
            <w:tr w:rsidR="00BD2723" w:rsidRPr="000F15EE" w14:paraId="7A6642F5" w14:textId="77777777" w:rsidTr="00155EF4">
              <w:tc>
                <w:tcPr>
                  <w:tcW w:w="6392" w:type="dxa"/>
                  <w:shd w:val="clear" w:color="auto" w:fill="auto"/>
                </w:tcPr>
                <w:p w14:paraId="065A1891" w14:textId="5C5959AC" w:rsidR="007D66CC" w:rsidRPr="00F40165" w:rsidRDefault="00BD2723" w:rsidP="00BD2723">
                  <w:pPr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  <w:t>1</w:t>
                  </w:r>
                  <w:r w:rsidRPr="00A3507C"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  <w:t>. Степен на защита на в</w:t>
                  </w:r>
                  <w:r w:rsidR="003B2B2A"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  <w:t>недряваната</w:t>
                  </w:r>
                  <w:r w:rsidRPr="00A3507C"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  <w:t xml:space="preserve"> по проекта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  <w:t>иновация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14:paraId="496D1FB5" w14:textId="77777777" w:rsidR="00BD2723" w:rsidRPr="00353CCE" w:rsidRDefault="00BD2723" w:rsidP="00BD2723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bg-BG"/>
                    </w:rPr>
                    <w:t>8</w:t>
                  </w:r>
                </w:p>
              </w:tc>
            </w:tr>
            <w:tr w:rsidR="00BD2723" w:rsidRPr="000F15EE" w14:paraId="4324ABAD" w14:textId="77777777" w:rsidTr="00155EF4">
              <w:tc>
                <w:tcPr>
                  <w:tcW w:w="6392" w:type="dxa"/>
                  <w:shd w:val="clear" w:color="auto" w:fill="auto"/>
                </w:tcPr>
                <w:p w14:paraId="4023B9E6" w14:textId="1B1AF462" w:rsidR="007D66CC" w:rsidRPr="00F40165" w:rsidRDefault="00BD2723" w:rsidP="007D66CC">
                  <w:pPr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</w:pPr>
                  <w:r w:rsidRPr="00722557"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  <w:t>2. Технологична готовност на кандидата за внедряване на иновацията по проекта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14:paraId="359F8100" w14:textId="77777777" w:rsidR="00BD2723" w:rsidRPr="00722557" w:rsidRDefault="00BD2723" w:rsidP="00BD2723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  <w:t>10</w:t>
                  </w:r>
                </w:p>
              </w:tc>
            </w:tr>
            <w:tr w:rsidR="00BD2723" w:rsidRPr="000F15EE" w14:paraId="30871797" w14:textId="77777777" w:rsidTr="00155EF4">
              <w:tc>
                <w:tcPr>
                  <w:tcW w:w="6392" w:type="dxa"/>
                  <w:shd w:val="clear" w:color="auto" w:fill="auto"/>
                </w:tcPr>
                <w:p w14:paraId="70DADB0B" w14:textId="0AD4518F" w:rsidR="007D66CC" w:rsidRPr="00F40165" w:rsidRDefault="00BD2723" w:rsidP="00FA727D">
                  <w:pPr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  <w:t>3</w:t>
                  </w:r>
                  <w:r w:rsidRPr="007C5402"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  <w:t>. Пазарно влияние</w:t>
                  </w:r>
                  <w:r w:rsidR="001E6E5D"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  <w:t xml:space="preserve"> и жизнеспособност</w:t>
                  </w:r>
                  <w:r w:rsidRPr="007C5402"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  <w:t xml:space="preserve"> на стоките/услугите, </w:t>
                  </w:r>
                  <w:r w:rsidR="003B2B2A"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  <w:t>свързани с</w:t>
                  </w:r>
                  <w:r w:rsidRPr="007C5402"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  <w:t xml:space="preserve"> в</w:t>
                  </w:r>
                  <w:r w:rsidR="003B2B2A"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  <w:t>недряваната</w:t>
                  </w:r>
                  <w:r w:rsidRPr="007C5402"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  <w:t xml:space="preserve"> по проекта иновация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14:paraId="171234FA" w14:textId="50FE30BB" w:rsidR="00BD2723" w:rsidRPr="000A79AA" w:rsidRDefault="001E6E5D" w:rsidP="00BD2723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  <w:t>10</w:t>
                  </w:r>
                </w:p>
              </w:tc>
            </w:tr>
            <w:tr w:rsidR="00BD2723" w:rsidRPr="000F15EE" w14:paraId="3D96BC3A" w14:textId="77777777" w:rsidTr="00155EF4">
              <w:tc>
                <w:tcPr>
                  <w:tcW w:w="6392" w:type="dxa"/>
                  <w:shd w:val="clear" w:color="auto" w:fill="auto"/>
                </w:tcPr>
                <w:p w14:paraId="49A0BB3F" w14:textId="5C8E6164" w:rsidR="00FA727D" w:rsidRPr="00F40165" w:rsidRDefault="00BD2723" w:rsidP="00BD2723">
                  <w:pPr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</w:pPr>
                  <w:r w:rsidRPr="005E53D9"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  <w:t xml:space="preserve">4. </w:t>
                  </w:r>
                  <w:r w:rsidRPr="00D739D8"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  <w:t xml:space="preserve">Принос на внедряваната иновация за </w:t>
                  </w:r>
                  <w:r w:rsidR="00D15FE5" w:rsidRPr="00D739D8"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  <w:t xml:space="preserve">разрешаване на конкретни проблеми на </w:t>
                  </w:r>
                  <w:r w:rsidRPr="00D739D8"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  <w:t>територията на МИГ</w:t>
                  </w:r>
                  <w:bookmarkStart w:id="0" w:name="_GoBack"/>
                  <w:bookmarkEnd w:id="0"/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14:paraId="363C2CFD" w14:textId="3E11DA0B" w:rsidR="00BD2723" w:rsidRPr="006A22F7" w:rsidRDefault="00BF6BF3" w:rsidP="00EA5B60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  <w:t>10</w:t>
                  </w:r>
                </w:p>
              </w:tc>
            </w:tr>
            <w:tr w:rsidR="00DB2E1C" w:rsidRPr="000F15EE" w14:paraId="31487ABD" w14:textId="77777777" w:rsidTr="00155EF4">
              <w:tc>
                <w:tcPr>
                  <w:tcW w:w="6392" w:type="dxa"/>
                  <w:shd w:val="clear" w:color="auto" w:fill="auto"/>
                </w:tcPr>
                <w:p w14:paraId="3005901B" w14:textId="77777777" w:rsidR="00DB2E1C" w:rsidRPr="000F15EE" w:rsidRDefault="00DB2E1C" w:rsidP="00DB2E1C">
                  <w:pPr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</w:pPr>
                  <w:r w:rsidRPr="000F15EE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 xml:space="preserve">II. </w:t>
                  </w:r>
                  <w:r w:rsidRPr="00583CC5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bg-BG"/>
                    </w:rPr>
                    <w:t xml:space="preserve">Финансова стабилност на </w:t>
                  </w: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bg-BG"/>
                    </w:rPr>
                    <w:t>кандидата преди изпълнението на проекта: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14:paraId="60763126" w14:textId="77777777" w:rsidR="00DB2E1C" w:rsidRPr="000F15EE" w:rsidRDefault="00DB2E1C" w:rsidP="00DB2E1C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bg-BG"/>
                    </w:rPr>
                    <w:t>30</w:t>
                  </w:r>
                </w:p>
              </w:tc>
            </w:tr>
            <w:tr w:rsidR="00BD2723" w:rsidRPr="000F15EE" w14:paraId="7A796B14" w14:textId="77777777" w:rsidTr="00155EF4">
              <w:tc>
                <w:tcPr>
                  <w:tcW w:w="6392" w:type="dxa"/>
                  <w:shd w:val="clear" w:color="auto" w:fill="auto"/>
                </w:tcPr>
                <w:p w14:paraId="449968C5" w14:textId="744A4E82" w:rsidR="00BD2723" w:rsidRPr="00A65537" w:rsidRDefault="00BD2723" w:rsidP="00314C94">
                  <w:pPr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>1</w:t>
                  </w:r>
                  <w:r w:rsidRPr="00A65537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 xml:space="preserve">. </w:t>
                  </w:r>
                  <w:r w:rsidRPr="00583CC5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 xml:space="preserve">Претеглен коефициент на рентабилност на EBITDA за </w:t>
                  </w:r>
                  <w:r w:rsidRPr="00335B6D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>202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>3</w:t>
                  </w:r>
                  <w:r w:rsidRPr="00335B6D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 xml:space="preserve"> г., 202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>4</w:t>
                  </w:r>
                  <w:r w:rsidRPr="00335B6D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 xml:space="preserve"> г. и 202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>5</w:t>
                  </w:r>
                  <w:r w:rsidRPr="00335B6D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 xml:space="preserve"> г.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14:paraId="4C552BAD" w14:textId="77777777" w:rsidR="00BD2723" w:rsidRPr="00A65537" w:rsidRDefault="00BD2723" w:rsidP="00BD2723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</w:tr>
            <w:tr w:rsidR="00BD2723" w:rsidRPr="000F15EE" w14:paraId="0F8A0662" w14:textId="77777777" w:rsidTr="00EA7F1C">
              <w:tc>
                <w:tcPr>
                  <w:tcW w:w="6392" w:type="dxa"/>
                  <w:shd w:val="clear" w:color="auto" w:fill="auto"/>
                </w:tcPr>
                <w:p w14:paraId="1F0DD94D" w14:textId="77777777" w:rsidR="00BD2723" w:rsidRDefault="00BD2723" w:rsidP="00BD2723">
                  <w:pPr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 xml:space="preserve">2. </w:t>
                  </w:r>
                  <w:r w:rsidRPr="0091385B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>Съпоставимост между претеглената стойност на EBITDA за 202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>3</w:t>
                  </w:r>
                  <w:r w:rsidRPr="0091385B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 xml:space="preserve"> г., 202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>4</w:t>
                  </w:r>
                  <w:r w:rsidRPr="0091385B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 xml:space="preserve"> г. и 202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>5</w:t>
                  </w:r>
                  <w:r w:rsidRPr="0091385B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 xml:space="preserve"> г. и стойността на общите допустими разходи по проекта.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14:paraId="71561C56" w14:textId="77777777" w:rsidR="00BD2723" w:rsidRDefault="00BD2723" w:rsidP="00BD2723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</w:tr>
            <w:tr w:rsidR="00BD2723" w:rsidRPr="000F15EE" w14:paraId="60618412" w14:textId="77777777" w:rsidTr="00EA7F1C">
              <w:tc>
                <w:tcPr>
                  <w:tcW w:w="6392" w:type="dxa"/>
                  <w:shd w:val="clear" w:color="auto" w:fill="auto"/>
                </w:tcPr>
                <w:p w14:paraId="3D2389E2" w14:textId="15204E71" w:rsidR="00BD2723" w:rsidRPr="00A65537" w:rsidRDefault="00BD2723" w:rsidP="00314C94">
                  <w:pPr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>3</w:t>
                  </w:r>
                  <w:r w:rsidRPr="00A65537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 xml:space="preserve">. </w:t>
                  </w:r>
                  <w:r w:rsidRPr="00583CC5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 xml:space="preserve">Претеглен коефициент на брутна добавена стойност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>за 2023 г., 2024 г. и 2025 г.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14:paraId="176D8A5B" w14:textId="77777777" w:rsidR="00BD2723" w:rsidRPr="00A65537" w:rsidRDefault="00BD2723" w:rsidP="00BD2723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bg-BG"/>
                    </w:rPr>
                    <w:t>10</w:t>
                  </w:r>
                </w:p>
              </w:tc>
            </w:tr>
            <w:tr w:rsidR="00BD2723" w:rsidRPr="000F15EE" w14:paraId="1F12DD81" w14:textId="77777777" w:rsidTr="00EA7F1C">
              <w:tc>
                <w:tcPr>
                  <w:tcW w:w="6392" w:type="dxa"/>
                  <w:shd w:val="clear" w:color="auto" w:fill="auto"/>
                </w:tcPr>
                <w:p w14:paraId="18149D87" w14:textId="7D4E7FED" w:rsidR="00BD2723" w:rsidRPr="00DC0A06" w:rsidRDefault="00BD2723" w:rsidP="00314C94">
                  <w:pPr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>4</w:t>
                  </w:r>
                  <w:r w:rsidRPr="00DC0A06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 xml:space="preserve">. Претеглен коефициент на разходите за данъци спрямо реализираните приходи </w:t>
                  </w:r>
                  <w:r w:rsidRPr="0091385B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>за 2023 г., 2024 г. и 2025 г.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14:paraId="69EC089A" w14:textId="77777777" w:rsidR="00BD2723" w:rsidRPr="00A65537" w:rsidRDefault="00BD2723" w:rsidP="00BD2723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</w:tr>
            <w:tr w:rsidR="00DB2E1C" w:rsidRPr="000F15EE" w14:paraId="1CEFB56A" w14:textId="77777777" w:rsidTr="00155EF4">
              <w:tc>
                <w:tcPr>
                  <w:tcW w:w="6392" w:type="dxa"/>
                  <w:shd w:val="clear" w:color="auto" w:fill="auto"/>
                </w:tcPr>
                <w:p w14:paraId="31C8645F" w14:textId="77777777" w:rsidR="00DB2E1C" w:rsidRPr="00DC0A06" w:rsidRDefault="00DB2E1C" w:rsidP="00DB2E1C">
                  <w:pPr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pPr>
                  <w:r w:rsidRPr="00DC0A0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>III.</w:t>
                  </w:r>
                  <w:r w:rsidRPr="00DC0A06" w:rsidDel="001948BC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DC0A06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>Приоритизиране на проекти:</w:t>
                  </w:r>
                </w:p>
              </w:tc>
              <w:tc>
                <w:tcPr>
                  <w:tcW w:w="739" w:type="dxa"/>
                  <w:shd w:val="clear" w:color="auto" w:fill="auto"/>
                </w:tcPr>
                <w:p w14:paraId="6FBF676D" w14:textId="77777777" w:rsidR="00DB2E1C" w:rsidRPr="000F15EE" w:rsidRDefault="00DB2E1C" w:rsidP="00DB2E1C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>15</w:t>
                  </w:r>
                </w:p>
              </w:tc>
            </w:tr>
            <w:tr w:rsidR="00DB2E1C" w:rsidRPr="000F15EE" w14:paraId="3369F2AD" w14:textId="77777777" w:rsidTr="00155EF4">
              <w:tc>
                <w:tcPr>
                  <w:tcW w:w="6392" w:type="dxa"/>
                  <w:shd w:val="clear" w:color="auto" w:fill="auto"/>
                </w:tcPr>
                <w:p w14:paraId="330F5DE1" w14:textId="77777777" w:rsidR="00DB2E1C" w:rsidRPr="00DC0A06" w:rsidRDefault="00DB2E1C" w:rsidP="00DB2E1C">
                  <w:pPr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pPr>
                  <w:r w:rsidRPr="00DC0A06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 xml:space="preserve">1.  Регионална приоритизация на проектите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>на територията на МИГ</w:t>
                  </w:r>
                  <w:r w:rsidRPr="00DC0A06">
                    <w:t xml:space="preserve"> </w:t>
                  </w:r>
                  <w:r w:rsidRPr="00DC0A06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>съгласно ИСИС 2021-2027.</w:t>
                  </w:r>
                </w:p>
              </w:tc>
              <w:tc>
                <w:tcPr>
                  <w:tcW w:w="739" w:type="dxa"/>
                  <w:shd w:val="clear" w:color="auto" w:fill="auto"/>
                </w:tcPr>
                <w:p w14:paraId="6F914751" w14:textId="77777777" w:rsidR="00DB2E1C" w:rsidRPr="000F15EE" w:rsidRDefault="00DB2E1C" w:rsidP="00DB2E1C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>10</w:t>
                  </w:r>
                </w:p>
              </w:tc>
            </w:tr>
            <w:tr w:rsidR="00DB2E1C" w:rsidRPr="000F15EE" w14:paraId="74BF0196" w14:textId="77777777" w:rsidTr="00155EF4">
              <w:tc>
                <w:tcPr>
                  <w:tcW w:w="6392" w:type="dxa"/>
                  <w:shd w:val="clear" w:color="auto" w:fill="auto"/>
                </w:tcPr>
                <w:p w14:paraId="028FA141" w14:textId="77777777" w:rsidR="00DB2E1C" w:rsidRPr="00DC0A06" w:rsidRDefault="00DB2E1C" w:rsidP="00DB2E1C">
                  <w:pPr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pPr>
                  <w:r w:rsidRPr="00DC0A06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lastRenderedPageBreak/>
                    <w:t>2. Приоритизация съгласно Националната стратегия за малките и средните предприятия 2021-20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>30</w:t>
                  </w:r>
                  <w:r w:rsidRPr="00DC0A06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 xml:space="preserve"> г.</w:t>
                  </w:r>
                </w:p>
              </w:tc>
              <w:tc>
                <w:tcPr>
                  <w:tcW w:w="739" w:type="dxa"/>
                  <w:shd w:val="clear" w:color="auto" w:fill="auto"/>
                </w:tcPr>
                <w:p w14:paraId="5B29FC40" w14:textId="77777777" w:rsidR="00DB2E1C" w:rsidRPr="000F15EE" w:rsidRDefault="00DB2E1C" w:rsidP="00DB2E1C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pPr>
                  <w:r w:rsidRPr="000F15EE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</w:tr>
            <w:tr w:rsidR="00DB2E1C" w:rsidRPr="00CB3367" w14:paraId="05EDCD86" w14:textId="77777777" w:rsidTr="00155EF4">
              <w:tc>
                <w:tcPr>
                  <w:tcW w:w="6392" w:type="dxa"/>
                  <w:shd w:val="clear" w:color="auto" w:fill="auto"/>
                </w:tcPr>
                <w:p w14:paraId="5EACBC45" w14:textId="6884110C" w:rsidR="00DB2E1C" w:rsidRPr="00DC0A06" w:rsidRDefault="00DB2E1C" w:rsidP="00E756E8">
                  <w:pPr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pPr>
                  <w:r w:rsidRPr="00DC0A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IV. </w:t>
                  </w:r>
                  <w:r w:rsidR="00E756E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Бюджет на</w:t>
                  </w:r>
                  <w:r w:rsidRPr="00DC0A0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проекта:</w:t>
                  </w:r>
                </w:p>
              </w:tc>
              <w:tc>
                <w:tcPr>
                  <w:tcW w:w="739" w:type="dxa"/>
                  <w:shd w:val="clear" w:color="auto" w:fill="auto"/>
                </w:tcPr>
                <w:p w14:paraId="23BF88BF" w14:textId="77777777" w:rsidR="00DB2E1C" w:rsidRPr="00DC0A06" w:rsidRDefault="00DB2E1C" w:rsidP="00DB2E1C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</w:tr>
            <w:tr w:rsidR="00DB2E1C" w:rsidRPr="00CB3367" w14:paraId="432F8C68" w14:textId="77777777" w:rsidTr="00155EF4">
              <w:tc>
                <w:tcPr>
                  <w:tcW w:w="6392" w:type="dxa"/>
                  <w:shd w:val="clear" w:color="auto" w:fill="auto"/>
                </w:tcPr>
                <w:p w14:paraId="0EF241C2" w14:textId="2D8EDCF1" w:rsidR="00DB2E1C" w:rsidRPr="00DC0A06" w:rsidRDefault="00DB2E1C" w:rsidP="00E756E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C0A06">
                    <w:rPr>
                      <w:rFonts w:ascii="Times New Roman" w:hAnsi="Times New Roman"/>
                      <w:sz w:val="20"/>
                      <w:szCs w:val="20"/>
                    </w:rPr>
                    <w:t xml:space="preserve">1. </w:t>
                  </w:r>
                  <w:r w:rsidR="00E756E8">
                    <w:rPr>
                      <w:rFonts w:ascii="Times New Roman" w:hAnsi="Times New Roman"/>
                      <w:sz w:val="20"/>
                      <w:szCs w:val="20"/>
                    </w:rPr>
                    <w:t>Бюджет на</w:t>
                  </w:r>
                  <w:r w:rsidRPr="00C6109A">
                    <w:rPr>
                      <w:rFonts w:ascii="Times New Roman" w:hAnsi="Times New Roman"/>
                      <w:sz w:val="20"/>
                      <w:szCs w:val="20"/>
                    </w:rPr>
                    <w:t xml:space="preserve"> проекта</w:t>
                  </w:r>
                </w:p>
              </w:tc>
              <w:tc>
                <w:tcPr>
                  <w:tcW w:w="739" w:type="dxa"/>
                  <w:shd w:val="clear" w:color="auto" w:fill="auto"/>
                </w:tcPr>
                <w:p w14:paraId="7ED16C2A" w14:textId="77777777" w:rsidR="00DB2E1C" w:rsidRPr="000F15EE" w:rsidRDefault="00DB2E1C" w:rsidP="00DB2E1C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</w:tr>
            <w:tr w:rsidR="00DB2E1C" w:rsidRPr="00CB3367" w14:paraId="3E24282E" w14:textId="77777777" w:rsidTr="00155EF4">
              <w:tc>
                <w:tcPr>
                  <w:tcW w:w="6392" w:type="dxa"/>
                  <w:shd w:val="clear" w:color="auto" w:fill="auto"/>
                </w:tcPr>
                <w:p w14:paraId="122A4315" w14:textId="77777777" w:rsidR="00DB2E1C" w:rsidRPr="000F15EE" w:rsidRDefault="00DB2E1C" w:rsidP="00DB2E1C">
                  <w:pPr>
                    <w:spacing w:before="60" w:after="60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0F15E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Общ брой точки</w:t>
                  </w:r>
                </w:p>
              </w:tc>
              <w:tc>
                <w:tcPr>
                  <w:tcW w:w="739" w:type="dxa"/>
                  <w:shd w:val="clear" w:color="auto" w:fill="auto"/>
                </w:tcPr>
                <w:p w14:paraId="7A5C332C" w14:textId="264CAFE6" w:rsidR="00DB2E1C" w:rsidRPr="000F15EE" w:rsidRDefault="00BF6BF3" w:rsidP="00EA5B60">
                  <w:pPr>
                    <w:spacing w:before="60" w:after="60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>88</w:t>
                  </w:r>
                </w:p>
              </w:tc>
            </w:tr>
          </w:tbl>
          <w:p w14:paraId="0C2636AB" w14:textId="77777777" w:rsidR="00E30102" w:rsidRPr="00CB3367" w:rsidRDefault="00E30102" w:rsidP="00764D6A">
            <w:pPr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30102" w:rsidRPr="00EC0314" w14:paraId="1B9C4D36" w14:textId="77777777" w:rsidTr="00C9168C">
        <w:trPr>
          <w:trHeight w:val="141"/>
        </w:trPr>
        <w:tc>
          <w:tcPr>
            <w:tcW w:w="2429" w:type="dxa"/>
            <w:tcBorders>
              <w:bottom w:val="single" w:sz="4" w:space="0" w:color="auto"/>
            </w:tcBorders>
            <w:shd w:val="clear" w:color="auto" w:fill="BFBFBF"/>
          </w:tcPr>
          <w:p w14:paraId="33DB59C3" w14:textId="77777777" w:rsidR="00E30102" w:rsidRPr="00C1711D" w:rsidRDefault="00E30102" w:rsidP="00DC2329">
            <w:pPr>
              <w:spacing w:before="12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711D">
              <w:rPr>
                <w:rFonts w:ascii="Times New Roman" w:hAnsi="Times New Roman"/>
                <w:sz w:val="20"/>
                <w:szCs w:val="20"/>
              </w:rPr>
              <w:lastRenderedPageBreak/>
              <w:t>Индикатори</w:t>
            </w:r>
          </w:p>
        </w:tc>
        <w:tc>
          <w:tcPr>
            <w:tcW w:w="8090" w:type="dxa"/>
            <w:tcBorders>
              <w:bottom w:val="single" w:sz="4" w:space="0" w:color="auto"/>
            </w:tcBorders>
            <w:shd w:val="clear" w:color="auto" w:fill="auto"/>
          </w:tcPr>
          <w:p w14:paraId="010F595F" w14:textId="77777777" w:rsidR="00B62664" w:rsidRPr="00563187" w:rsidRDefault="00133E54" w:rsidP="00764D6A">
            <w:pPr>
              <w:spacing w:before="12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187">
              <w:rPr>
                <w:rFonts w:ascii="Times New Roman" w:hAnsi="Times New Roman"/>
                <w:b/>
                <w:sz w:val="20"/>
                <w:szCs w:val="20"/>
              </w:rPr>
              <w:t>ПОКАЗАТЕЛИ ЗА РЕЗУЛТАТ</w:t>
            </w:r>
            <w:r w:rsidR="00B62664" w:rsidRPr="0097222B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</w:p>
          <w:p w14:paraId="44E44896" w14:textId="77777777" w:rsidR="002662CF" w:rsidRPr="00133E54" w:rsidRDefault="002662CF" w:rsidP="00764D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E54">
              <w:rPr>
                <w:rFonts w:ascii="Times New Roman" w:hAnsi="Times New Roman"/>
                <w:sz w:val="20"/>
                <w:szCs w:val="20"/>
              </w:rPr>
              <w:t>1) Частни инвестиции, допълващи публичното подпомагане (в т.ч.: безвъзмездни средства, финансови инструменти)</w:t>
            </w:r>
            <w:r w:rsidR="00133E54" w:rsidRPr="00133E54">
              <w:rPr>
                <w:rFonts w:ascii="Times New Roman" w:hAnsi="Times New Roman"/>
                <w:sz w:val="20"/>
                <w:szCs w:val="20"/>
              </w:rPr>
              <w:t xml:space="preserve"> – индикатор, приложим за ВСИЧКИ кандидати</w:t>
            </w:r>
            <w:r w:rsidRPr="00133E5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04C16961" w14:textId="76C45D21" w:rsidR="00133E54" w:rsidRPr="00133E54" w:rsidRDefault="002662CF" w:rsidP="00764D6A">
            <w:pPr>
              <w:spacing w:before="12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E54">
              <w:rPr>
                <w:rFonts w:ascii="Times New Roman" w:hAnsi="Times New Roman"/>
                <w:sz w:val="20"/>
                <w:szCs w:val="20"/>
              </w:rPr>
              <w:t xml:space="preserve">2) Малки и средни предприятия (МСП), въвеждащи иновация в продукт или в процес </w:t>
            </w:r>
            <w:r w:rsidR="00133E54" w:rsidRPr="00133E54">
              <w:rPr>
                <w:rFonts w:ascii="Times New Roman" w:hAnsi="Times New Roman"/>
                <w:sz w:val="20"/>
                <w:szCs w:val="20"/>
              </w:rPr>
              <w:t xml:space="preserve">– индикатор, </w:t>
            </w:r>
            <w:r w:rsidR="00133E54" w:rsidRPr="009948B6">
              <w:rPr>
                <w:rFonts w:ascii="Times New Roman" w:hAnsi="Times New Roman"/>
                <w:sz w:val="20"/>
                <w:szCs w:val="20"/>
              </w:rPr>
              <w:t xml:space="preserve">приложим за </w:t>
            </w:r>
            <w:r w:rsidR="00133E54" w:rsidRPr="001430EA">
              <w:rPr>
                <w:rFonts w:ascii="Times New Roman" w:hAnsi="Times New Roman"/>
                <w:sz w:val="20"/>
                <w:szCs w:val="20"/>
              </w:rPr>
              <w:t>кандидати</w:t>
            </w:r>
            <w:r w:rsidR="009948B6" w:rsidRPr="00F40165">
              <w:rPr>
                <w:rFonts w:ascii="Times New Roman" w:hAnsi="Times New Roman"/>
                <w:sz w:val="20"/>
                <w:szCs w:val="20"/>
              </w:rPr>
              <w:t>, чиито</w:t>
            </w:r>
            <w:r w:rsidR="009948B6" w:rsidRPr="009948B6">
              <w:rPr>
                <w:rFonts w:ascii="Times New Roman" w:hAnsi="Times New Roman"/>
                <w:sz w:val="20"/>
                <w:szCs w:val="20"/>
              </w:rPr>
              <w:t xml:space="preserve"> проект</w:t>
            </w:r>
            <w:r w:rsidR="009948B6" w:rsidRPr="001430EA">
              <w:rPr>
                <w:rFonts w:ascii="Times New Roman" w:hAnsi="Times New Roman"/>
                <w:sz w:val="20"/>
                <w:szCs w:val="20"/>
              </w:rPr>
              <w:t xml:space="preserve">и водят до внедряване на иновация </w:t>
            </w:r>
            <w:r w:rsidR="009948B6" w:rsidRPr="001737AB">
              <w:rPr>
                <w:rFonts w:ascii="Times New Roman" w:hAnsi="Times New Roman"/>
                <w:sz w:val="20"/>
                <w:szCs w:val="20"/>
              </w:rPr>
              <w:t xml:space="preserve">в тематична област </w:t>
            </w:r>
            <w:r w:rsidR="009948B6" w:rsidRPr="006E534B">
              <w:rPr>
                <w:rFonts w:ascii="Times New Roman" w:hAnsi="Times New Roman"/>
                <w:sz w:val="20"/>
                <w:szCs w:val="20"/>
              </w:rPr>
              <w:t>„Информатика и ИКТ”, “Мехатроника и микроелектроника”</w:t>
            </w:r>
            <w:r w:rsidR="009948B6" w:rsidRPr="00B71D52">
              <w:rPr>
                <w:rFonts w:ascii="Times New Roman" w:hAnsi="Times New Roman"/>
                <w:sz w:val="20"/>
                <w:szCs w:val="20"/>
              </w:rPr>
              <w:t>, “Индустрии за здравословен живот, биоикономика и биотехнологии</w:t>
            </w:r>
            <w:r w:rsidR="009948B6" w:rsidRPr="009948B6">
              <w:rPr>
                <w:rFonts w:ascii="Times New Roman" w:hAnsi="Times New Roman"/>
                <w:sz w:val="20"/>
                <w:szCs w:val="20"/>
              </w:rPr>
              <w:t>” или “Нови технологии в креативни и рекреативни индустрии”</w:t>
            </w:r>
            <w:r w:rsidR="00F673EB" w:rsidRPr="00043BE2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14:paraId="32D0173C" w14:textId="25457C05" w:rsidR="00764D6A" w:rsidRDefault="00F673EB" w:rsidP="00764D6A">
            <w:pPr>
              <w:spacing w:before="12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3BE2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133E54" w:rsidRPr="00133E54">
              <w:rPr>
                <w:rFonts w:ascii="Times New Roman" w:hAnsi="Times New Roman"/>
                <w:sz w:val="20"/>
                <w:szCs w:val="20"/>
              </w:rPr>
              <w:t xml:space="preserve">) МСП, въвели продуктова или процесова иновация в област “Чисти технологии, кръгова и нисковъглеродна икономика” – индикатор, приложим САМО за кандидати, </w:t>
            </w:r>
            <w:r w:rsidR="009948B6">
              <w:rPr>
                <w:rFonts w:ascii="Times New Roman" w:hAnsi="Times New Roman"/>
                <w:sz w:val="20"/>
                <w:szCs w:val="20"/>
              </w:rPr>
              <w:t>чиито</w:t>
            </w:r>
            <w:r w:rsidR="00133E54" w:rsidRPr="00133E54">
              <w:rPr>
                <w:rFonts w:ascii="Times New Roman" w:hAnsi="Times New Roman"/>
                <w:sz w:val="20"/>
                <w:szCs w:val="20"/>
              </w:rPr>
              <w:t xml:space="preserve"> проект</w:t>
            </w:r>
            <w:r w:rsidR="009948B6">
              <w:rPr>
                <w:rFonts w:ascii="Times New Roman" w:hAnsi="Times New Roman"/>
                <w:sz w:val="20"/>
                <w:szCs w:val="20"/>
              </w:rPr>
              <w:t>и</w:t>
            </w:r>
            <w:r w:rsidR="00133E54" w:rsidRPr="00133E54">
              <w:rPr>
                <w:rFonts w:ascii="Times New Roman" w:hAnsi="Times New Roman"/>
                <w:sz w:val="20"/>
                <w:szCs w:val="20"/>
              </w:rPr>
              <w:t xml:space="preserve"> вод</w:t>
            </w:r>
            <w:r w:rsidR="009948B6">
              <w:rPr>
                <w:rFonts w:ascii="Times New Roman" w:hAnsi="Times New Roman"/>
                <w:sz w:val="20"/>
                <w:szCs w:val="20"/>
              </w:rPr>
              <w:t>ят</w:t>
            </w:r>
            <w:r w:rsidR="00133E54" w:rsidRPr="00133E54">
              <w:rPr>
                <w:rFonts w:ascii="Times New Roman" w:hAnsi="Times New Roman"/>
                <w:sz w:val="20"/>
                <w:szCs w:val="20"/>
              </w:rPr>
              <w:t xml:space="preserve"> до внедряване на иновация в тематична област „Чисти технологии, кръгова и нисковъглеродна икономика“ на ИСИС 2021-2027.</w:t>
            </w:r>
          </w:p>
          <w:p w14:paraId="741819C2" w14:textId="77777777" w:rsidR="00764D6A" w:rsidRDefault="00133E54" w:rsidP="00764D6A">
            <w:pPr>
              <w:spacing w:before="12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3187">
              <w:rPr>
                <w:rFonts w:ascii="Times New Roman" w:hAnsi="Times New Roman"/>
                <w:b/>
                <w:sz w:val="20"/>
                <w:szCs w:val="20"/>
              </w:rPr>
              <w:t>ПОКАЗАТЕЛИ ЗА КРА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ЕН</w:t>
            </w:r>
            <w:r w:rsidRPr="00563187">
              <w:rPr>
                <w:rFonts w:ascii="Times New Roman" w:hAnsi="Times New Roman"/>
                <w:b/>
                <w:sz w:val="20"/>
                <w:szCs w:val="20"/>
              </w:rPr>
              <w:t xml:space="preserve"> ПРОДУКТ:</w:t>
            </w:r>
          </w:p>
          <w:p w14:paraId="5BA113D2" w14:textId="1DD3D942" w:rsidR="00133E54" w:rsidRPr="00133E54" w:rsidRDefault="00F51C6B" w:rsidP="00764D6A">
            <w:pPr>
              <w:spacing w:before="12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E54">
              <w:rPr>
                <w:rFonts w:ascii="Times New Roman" w:hAnsi="Times New Roman"/>
                <w:sz w:val="20"/>
                <w:szCs w:val="20"/>
              </w:rPr>
              <w:t>1</w:t>
            </w:r>
            <w:r w:rsidR="002662CF" w:rsidRPr="00133E54">
              <w:rPr>
                <w:rFonts w:ascii="Times New Roman" w:hAnsi="Times New Roman"/>
                <w:sz w:val="20"/>
                <w:szCs w:val="20"/>
              </w:rPr>
              <w:t>) Подпомагани предприятия (в т.ч.: микро-, малки, средни, големи предприятия)</w:t>
            </w:r>
            <w:r w:rsidR="00C20080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="00C20080" w:rsidRPr="00C20080">
              <w:rPr>
                <w:rFonts w:ascii="Times New Roman" w:hAnsi="Times New Roman"/>
                <w:sz w:val="20"/>
                <w:szCs w:val="20"/>
              </w:rPr>
              <w:t xml:space="preserve"> индикатор, приложим за ВСИЧКИ кандидати</w:t>
            </w:r>
            <w:r w:rsidR="002662CF" w:rsidRPr="00133E5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D82524E" w14:textId="2A7A4BD0" w:rsidR="002662CF" w:rsidRPr="00563187" w:rsidRDefault="00F51C6B" w:rsidP="00764D6A">
            <w:pPr>
              <w:spacing w:before="12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E54">
              <w:rPr>
                <w:rFonts w:ascii="Times New Roman" w:hAnsi="Times New Roman"/>
                <w:sz w:val="20"/>
                <w:szCs w:val="20"/>
              </w:rPr>
              <w:t>2</w:t>
            </w:r>
            <w:r w:rsidR="002662CF" w:rsidRPr="00133E54">
              <w:rPr>
                <w:rFonts w:ascii="Times New Roman" w:hAnsi="Times New Roman"/>
                <w:sz w:val="20"/>
                <w:szCs w:val="20"/>
              </w:rPr>
              <w:t>) Подпомагани предприятия чрез безвъзмездни средства</w:t>
            </w:r>
            <w:r w:rsidR="00C20080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="00C20080" w:rsidRPr="00C20080">
              <w:rPr>
                <w:rFonts w:ascii="Times New Roman" w:hAnsi="Times New Roman"/>
                <w:sz w:val="20"/>
                <w:szCs w:val="20"/>
              </w:rPr>
              <w:t xml:space="preserve"> индикатор, приложим за ВСИЧКИ кандидати</w:t>
            </w:r>
            <w:r w:rsidR="00C200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62CF" w:rsidRPr="00133E5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564AC00C" w14:textId="77777777" w:rsidR="00C6183E" w:rsidRDefault="00C6183E" w:rsidP="00FC0FC3">
      <w:pPr>
        <w:rPr>
          <w:rFonts w:ascii="Times New Roman" w:hAnsi="Times New Roman"/>
        </w:rPr>
      </w:pPr>
    </w:p>
    <w:sectPr w:rsidR="00C6183E" w:rsidSect="00323030">
      <w:headerReference w:type="default" r:id="rId8"/>
      <w:pgSz w:w="11906" w:h="16838"/>
      <w:pgMar w:top="1417" w:right="1417" w:bottom="1276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930E4" w14:textId="77777777" w:rsidR="00D04E7B" w:rsidRDefault="00D04E7B" w:rsidP="008F4E92">
      <w:pPr>
        <w:spacing w:after="0" w:line="240" w:lineRule="auto"/>
      </w:pPr>
      <w:r>
        <w:separator/>
      </w:r>
    </w:p>
  </w:endnote>
  <w:endnote w:type="continuationSeparator" w:id="0">
    <w:p w14:paraId="75EDFF9A" w14:textId="77777777" w:rsidR="00D04E7B" w:rsidRDefault="00D04E7B" w:rsidP="008F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MV Bol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97464" w14:textId="77777777" w:rsidR="00D04E7B" w:rsidRDefault="00D04E7B" w:rsidP="008F4E92">
      <w:pPr>
        <w:spacing w:after="0" w:line="240" w:lineRule="auto"/>
      </w:pPr>
      <w:r>
        <w:separator/>
      </w:r>
    </w:p>
  </w:footnote>
  <w:footnote w:type="continuationSeparator" w:id="0">
    <w:p w14:paraId="77208321" w14:textId="77777777" w:rsidR="00D04E7B" w:rsidRDefault="00D04E7B" w:rsidP="008F4E92">
      <w:pPr>
        <w:spacing w:after="0" w:line="240" w:lineRule="auto"/>
      </w:pPr>
      <w:r>
        <w:continuationSeparator/>
      </w:r>
    </w:p>
  </w:footnote>
  <w:footnote w:id="1">
    <w:p w14:paraId="6656CED0" w14:textId="26F520D6" w:rsidR="00EA7F1C" w:rsidRPr="009719FD" w:rsidRDefault="00EA7F1C" w:rsidP="00081B3B">
      <w:pPr>
        <w:pStyle w:val="FootnoteText"/>
        <w:ind w:right="-426"/>
        <w:jc w:val="both"/>
        <w:rPr>
          <w:sz w:val="16"/>
          <w:szCs w:val="16"/>
        </w:rPr>
      </w:pPr>
      <w:r w:rsidRPr="009719FD">
        <w:rPr>
          <w:rStyle w:val="FootnoteReference"/>
          <w:sz w:val="16"/>
          <w:szCs w:val="16"/>
        </w:rPr>
        <w:footnoteRef/>
      </w:r>
      <w:r w:rsidRPr="009719FD">
        <w:rPr>
          <w:sz w:val="16"/>
          <w:szCs w:val="16"/>
        </w:rPr>
        <w:t xml:space="preserve"> Съгласно Решение за одобрение на стратегията за местно развитие с допълващо финансиране по ПКИП, издадено от Ръководителя на Управляващия орган на Стратегическия план за развитие на земеделието и селските райони за периода 2023–2027 г. на основание чл. 31, ал. 5-6  на Постановление № 494 на Министерския съвет от 30 декември 2024 г. за определяне на правила за прилагане на подхода „Водено от общностите местно развитие“ за периода 2021 – 2027 г. (ПМС № 494/2024). Решенията ще бъдат приложени към документите по процедурата.</w:t>
      </w:r>
    </w:p>
  </w:footnote>
  <w:footnote w:id="2">
    <w:p w14:paraId="3485FAA7" w14:textId="6FEB9E66" w:rsidR="00EA7F1C" w:rsidRPr="00A84D0D" w:rsidRDefault="00EA7F1C" w:rsidP="00A84D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A84D0D">
          <w:rPr>
            <w:rStyle w:val="Hyperlink"/>
          </w:rPr>
          <w:t>https://ec.europa.eu/transparency/documents-register/detail?ref=SWD(2025)302&amp;lang=en</w:t>
        </w:r>
      </w:hyperlink>
    </w:p>
  </w:footnote>
  <w:footnote w:id="3">
    <w:p w14:paraId="11344FE6" w14:textId="233358B9" w:rsidR="00F65ADB" w:rsidRPr="00F65ADB" w:rsidRDefault="00F65ADB" w:rsidP="00F65ADB">
      <w:pPr>
        <w:pStyle w:val="FootnoteText"/>
        <w:jc w:val="both"/>
        <w:rPr>
          <w:sz w:val="16"/>
          <w:szCs w:val="16"/>
        </w:rPr>
      </w:pPr>
      <w:r w:rsidRPr="00B75808">
        <w:rPr>
          <w:sz w:val="16"/>
          <w:szCs w:val="16"/>
        </w:rPr>
        <w:footnoteRef/>
      </w:r>
      <w:r w:rsidRPr="00B75808">
        <w:rPr>
          <w:sz w:val="16"/>
          <w:szCs w:val="16"/>
        </w:rPr>
        <w:t xml:space="preserve"> Приложението е разработено на основа на утвърдени от Ръководителя на Управляващия орган на ПКИП</w:t>
      </w:r>
      <w:r w:rsidR="005008A7" w:rsidRPr="00B75808">
        <w:rPr>
          <w:sz w:val="16"/>
          <w:szCs w:val="16"/>
        </w:rPr>
        <w:t>, съгласно чл. 10 на</w:t>
      </w:r>
      <w:r w:rsidR="005008A7" w:rsidRPr="00B75808">
        <w:rPr>
          <w:rFonts w:eastAsia="Calibri"/>
          <w:lang w:eastAsia="en-US"/>
        </w:rPr>
        <w:t xml:space="preserve"> </w:t>
      </w:r>
      <w:r w:rsidR="005008A7" w:rsidRPr="00B75808">
        <w:rPr>
          <w:sz w:val="16"/>
          <w:szCs w:val="16"/>
        </w:rPr>
        <w:t>ПМС № 494/2024</w:t>
      </w:r>
      <w:r w:rsidR="00566206" w:rsidRPr="00B75808">
        <w:rPr>
          <w:sz w:val="16"/>
          <w:szCs w:val="16"/>
        </w:rPr>
        <w:t>,</w:t>
      </w:r>
      <w:r w:rsidR="005008A7" w:rsidRPr="00B75808">
        <w:rPr>
          <w:sz w:val="16"/>
          <w:szCs w:val="16"/>
        </w:rPr>
        <w:t xml:space="preserve"> </w:t>
      </w:r>
      <w:r w:rsidRPr="00B75808">
        <w:rPr>
          <w:sz w:val="16"/>
          <w:szCs w:val="16"/>
        </w:rPr>
        <w:t>Указания с изисквания относно осигуряването на допълващо финансиране под формата на безвъзмездна финансова помощ за изпълнение на подхода ВОМР по ПКИП</w:t>
      </w:r>
      <w:r w:rsidR="009719FD" w:rsidRPr="00B75808">
        <w:rPr>
          <w:sz w:val="16"/>
          <w:szCs w:val="16"/>
        </w:rPr>
        <w:t xml:space="preserve"> (Приложение 16 </w:t>
      </w:r>
      <w:r w:rsidRPr="00B75808">
        <w:rPr>
          <w:sz w:val="16"/>
          <w:szCs w:val="16"/>
        </w:rPr>
        <w:t>по процедура BG06AFSP001-01.001</w:t>
      </w:r>
      <w:r w:rsidR="009719FD" w:rsidRPr="00B75808">
        <w:rPr>
          <w:sz w:val="16"/>
          <w:szCs w:val="16"/>
        </w:rPr>
        <w:t>)</w:t>
      </w:r>
      <w:r w:rsidRPr="00B75808">
        <w:rPr>
          <w:sz w:val="16"/>
          <w:szCs w:val="16"/>
        </w:rPr>
        <w:t>.</w:t>
      </w:r>
    </w:p>
    <w:p w14:paraId="1CAAA61C" w14:textId="4E469125" w:rsidR="00F65ADB" w:rsidRPr="00F65ADB" w:rsidRDefault="00F65ADB">
      <w:pPr>
        <w:pStyle w:val="FootnoteText"/>
        <w:rPr>
          <w:sz w:val="16"/>
          <w:szCs w:val="16"/>
        </w:rPr>
      </w:pPr>
    </w:p>
  </w:footnote>
  <w:footnote w:id="4">
    <w:p w14:paraId="53ED5486" w14:textId="202F324D" w:rsidR="00066D1A" w:rsidRPr="00D739D8" w:rsidRDefault="00066D1A" w:rsidP="00D739D8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739D8">
        <w:rPr>
          <w:sz w:val="16"/>
          <w:szCs w:val="16"/>
        </w:rPr>
        <w:t>УО си запазва пр</w:t>
      </w:r>
      <w:r w:rsidR="00D739D8" w:rsidRPr="00D739D8">
        <w:rPr>
          <w:sz w:val="16"/>
          <w:szCs w:val="16"/>
        </w:rPr>
        <w:t>авото да обяви процедурата и с по-висок максимален размер на помощта в случай, че посоченото е обект на промяна в резултат на общественото обсъждане на процедурата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35791" w14:textId="77777777" w:rsidR="00EA7F1C" w:rsidRDefault="00EA7F1C">
    <w:pPr>
      <w:pStyle w:val="Header"/>
    </w:pPr>
  </w:p>
  <w:tbl>
    <w:tblPr>
      <w:tblW w:w="9930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7"/>
      <w:gridCol w:w="1702"/>
      <w:gridCol w:w="3971"/>
      <w:gridCol w:w="1560"/>
    </w:tblGrid>
    <w:tr w:rsidR="00EA7F1C" w:rsidRPr="00CE47A0" w14:paraId="0909212D" w14:textId="77777777" w:rsidTr="00DA34DC">
      <w:trPr>
        <w:trHeight w:val="997"/>
        <w:tblHeader/>
        <w:jc w:val="center"/>
      </w:trPr>
      <w:tc>
        <w:tcPr>
          <w:tcW w:w="2697" w:type="dxa"/>
          <w:vMerge w:val="restart"/>
          <w:tcBorders>
            <w:top w:val="single" w:sz="4" w:space="0" w:color="auto"/>
            <w:left w:val="single" w:sz="2" w:space="0" w:color="000000"/>
            <w:right w:val="nil"/>
          </w:tcBorders>
          <w:vAlign w:val="center"/>
        </w:tcPr>
        <w:p w14:paraId="4B63125F" w14:textId="77777777" w:rsidR="00EA7F1C" w:rsidRPr="00CE47A0" w:rsidRDefault="00EA7F1C" w:rsidP="00CE47A0">
          <w:pPr>
            <w:widowControl w:val="0"/>
            <w:suppressLineNumbers/>
            <w:suppressAutoHyphens/>
            <w:spacing w:after="0"/>
            <w:jc w:val="center"/>
            <w:rPr>
              <w:rFonts w:ascii="Times New Roman" w:eastAsia="HG Mincho Light J" w:hAnsi="Times New Roman"/>
              <w:b/>
              <w:color w:val="000000"/>
              <w:sz w:val="20"/>
            </w:rPr>
          </w:pPr>
          <w:r w:rsidRPr="00CE47A0">
            <w:rPr>
              <w:rFonts w:ascii="Times New Roman" w:eastAsia="HG Mincho Light J" w:hAnsi="Times New Roman"/>
              <w:b/>
              <w:color w:val="000000"/>
              <w:sz w:val="20"/>
            </w:rPr>
            <w:t xml:space="preserve">Министерство на </w:t>
          </w:r>
          <w:r w:rsidRPr="00982C49">
            <w:rPr>
              <w:rFonts w:ascii="Times New Roman" w:eastAsia="HG Mincho Light J" w:hAnsi="Times New Roman"/>
              <w:b/>
              <w:color w:val="000000"/>
              <w:sz w:val="20"/>
            </w:rPr>
            <w:t>иновациите и растежа</w:t>
          </w:r>
          <w:r w:rsidRPr="00982C49" w:rsidDel="00982C49">
            <w:rPr>
              <w:rFonts w:ascii="Times New Roman" w:eastAsia="HG Mincho Light J" w:hAnsi="Times New Roman"/>
              <w:b/>
              <w:color w:val="000000"/>
              <w:sz w:val="20"/>
            </w:rPr>
            <w:t xml:space="preserve"> </w:t>
          </w:r>
        </w:p>
        <w:p w14:paraId="32C495F0" w14:textId="77777777" w:rsidR="00EA7F1C" w:rsidRPr="00CE47A0" w:rsidRDefault="00EA7F1C" w:rsidP="00CE47A0">
          <w:pPr>
            <w:widowControl w:val="0"/>
            <w:suppressLineNumbers/>
            <w:suppressAutoHyphens/>
            <w:spacing w:after="0"/>
            <w:jc w:val="center"/>
            <w:rPr>
              <w:rFonts w:ascii="Times New Roman" w:eastAsia="HG Mincho Light J" w:hAnsi="Times New Roman"/>
              <w:b/>
              <w:color w:val="000000"/>
              <w:sz w:val="20"/>
              <w:szCs w:val="24"/>
            </w:rPr>
          </w:pPr>
          <w:r w:rsidRPr="00CE47A0">
            <w:rPr>
              <w:rFonts w:ascii="Times New Roman" w:eastAsia="HG Mincho Light J" w:hAnsi="Times New Roman"/>
              <w:b/>
              <w:color w:val="000000"/>
              <w:sz w:val="20"/>
            </w:rPr>
            <w:t xml:space="preserve">Главна дирекция “Европейски фондове за конкурентоспособност” – Управляващ орган на </w:t>
          </w:r>
          <w:r>
            <w:rPr>
              <w:rFonts w:ascii="Times New Roman" w:eastAsia="HG Mincho Light J" w:hAnsi="Times New Roman"/>
              <w:b/>
              <w:color w:val="000000"/>
              <w:sz w:val="20"/>
            </w:rPr>
            <w:t>ПКИП</w:t>
          </w:r>
        </w:p>
      </w:tc>
      <w:tc>
        <w:tcPr>
          <w:tcW w:w="5673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3AB8E058" w14:textId="77777777" w:rsidR="00EA7F1C" w:rsidRPr="00CE47A0" w:rsidRDefault="00EA7F1C" w:rsidP="00CE47A0">
          <w:pPr>
            <w:widowControl w:val="0"/>
            <w:suppressLineNumbers/>
            <w:suppressAutoHyphens/>
            <w:spacing w:after="0"/>
            <w:jc w:val="center"/>
            <w:rPr>
              <w:rFonts w:ascii="Times New Roman" w:eastAsia="HG Mincho Light J" w:hAnsi="Times New Roman"/>
              <w:b/>
              <w:color w:val="000000"/>
              <w:sz w:val="20"/>
              <w:szCs w:val="24"/>
            </w:rPr>
          </w:pPr>
          <w:r w:rsidRPr="00CE47A0">
            <w:rPr>
              <w:rFonts w:ascii="Times New Roman" w:eastAsia="HG Mincho Light J" w:hAnsi="Times New Roman"/>
              <w:b/>
              <w:color w:val="000000"/>
              <w:sz w:val="20"/>
            </w:rPr>
            <w:t xml:space="preserve">НАРЪЧНИК </w:t>
          </w:r>
          <w:r w:rsidRPr="00BC728D">
            <w:rPr>
              <w:rFonts w:ascii="Times New Roman" w:eastAsia="HG Mincho Light J" w:hAnsi="Times New Roman"/>
              <w:b/>
              <w:color w:val="000000"/>
              <w:sz w:val="20"/>
            </w:rPr>
            <w:t>ПО ПРОГРАМА „КОНКУРЕНТОСПОСОБНОСТ И ИНОВАЦИИ В ПРЕДПРИЯТИЯТА“ ЗА ПЕРИОДА 2021-2027 Г. (ПКИП)</w:t>
          </w:r>
        </w:p>
      </w:tc>
      <w:tc>
        <w:tcPr>
          <w:tcW w:w="156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618366BC" w14:textId="2613BBFE" w:rsidR="00EA7F1C" w:rsidRPr="005579D6" w:rsidRDefault="00EA7F1C" w:rsidP="005579D6">
          <w:pPr>
            <w:widowControl w:val="0"/>
            <w:suppressLineNumbers/>
            <w:suppressAutoHyphens/>
            <w:spacing w:after="0"/>
            <w:jc w:val="center"/>
            <w:rPr>
              <w:rFonts w:ascii="Times New Roman" w:eastAsia="HG Mincho Light J" w:hAnsi="Times New Roman"/>
              <w:b/>
              <w:color w:val="000000"/>
              <w:sz w:val="20"/>
              <w:szCs w:val="24"/>
            </w:rPr>
          </w:pPr>
          <w:r w:rsidRPr="00CE47A0">
            <w:rPr>
              <w:rFonts w:ascii="Times New Roman" w:eastAsia="HG Mincho Light J" w:hAnsi="Times New Roman"/>
              <w:b/>
              <w:color w:val="000000"/>
              <w:sz w:val="20"/>
            </w:rPr>
            <w:t>Вариант</w:t>
          </w:r>
          <w:r>
            <w:rPr>
              <w:rFonts w:ascii="Times New Roman" w:eastAsia="HG Mincho Light J" w:hAnsi="Times New Roman"/>
              <w:b/>
              <w:color w:val="000000"/>
              <w:sz w:val="20"/>
            </w:rPr>
            <w:t xml:space="preserve"> </w:t>
          </w:r>
          <w:r w:rsidR="005579D6">
            <w:rPr>
              <w:rFonts w:ascii="Times New Roman" w:eastAsia="HG Mincho Light J" w:hAnsi="Times New Roman"/>
              <w:b/>
              <w:color w:val="000000"/>
              <w:sz w:val="20"/>
            </w:rPr>
            <w:t>6</w:t>
          </w:r>
        </w:p>
      </w:tc>
    </w:tr>
    <w:tr w:rsidR="00EA7F1C" w:rsidRPr="00CE47A0" w14:paraId="2AB5190B" w14:textId="77777777" w:rsidTr="00824D88">
      <w:trPr>
        <w:trHeight w:val="572"/>
        <w:jc w:val="center"/>
      </w:trPr>
      <w:tc>
        <w:tcPr>
          <w:tcW w:w="2697" w:type="dxa"/>
          <w:vMerge/>
          <w:tcBorders>
            <w:left w:val="single" w:sz="2" w:space="0" w:color="000000"/>
            <w:right w:val="nil"/>
          </w:tcBorders>
          <w:vAlign w:val="center"/>
          <w:hideMark/>
        </w:tcPr>
        <w:p w14:paraId="3E4A7DE2" w14:textId="77777777" w:rsidR="00EA7F1C" w:rsidRPr="00CE47A0" w:rsidRDefault="00EA7F1C" w:rsidP="00CE47A0">
          <w:pPr>
            <w:spacing w:after="0" w:line="240" w:lineRule="auto"/>
            <w:rPr>
              <w:rFonts w:ascii="Times New Roman" w:eastAsia="HG Mincho Light J" w:hAnsi="Times New Roman"/>
              <w:b/>
              <w:color w:val="000000"/>
              <w:sz w:val="20"/>
              <w:szCs w:val="24"/>
            </w:rPr>
          </w:pPr>
        </w:p>
      </w:tc>
      <w:tc>
        <w:tcPr>
          <w:tcW w:w="1702" w:type="dxa"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4ACC2C54" w14:textId="77777777" w:rsidR="00EA7F1C" w:rsidRPr="007E7D41" w:rsidRDefault="00EA7F1C" w:rsidP="00DA34DC">
          <w:pPr>
            <w:widowControl w:val="0"/>
            <w:suppressLineNumbers/>
            <w:suppressAutoHyphens/>
            <w:spacing w:after="0" w:line="240" w:lineRule="auto"/>
            <w:jc w:val="center"/>
            <w:rPr>
              <w:rFonts w:ascii="Times New Roman" w:eastAsia="HG Mincho Light J" w:hAnsi="Times New Roman"/>
              <w:b/>
              <w:color w:val="000000"/>
              <w:sz w:val="20"/>
              <w:szCs w:val="20"/>
            </w:rPr>
          </w:pPr>
          <w:r w:rsidRPr="007E7D41">
            <w:rPr>
              <w:rFonts w:ascii="Times New Roman" w:eastAsia="HG Mincho Light J" w:hAnsi="Times New Roman"/>
              <w:b/>
              <w:color w:val="000000"/>
              <w:sz w:val="20"/>
              <w:szCs w:val="20"/>
            </w:rPr>
            <w:t>Глава 4</w:t>
          </w:r>
        </w:p>
        <w:p w14:paraId="15CD7B91" w14:textId="77777777" w:rsidR="00EA7F1C" w:rsidRPr="007E7D41" w:rsidRDefault="00EA7F1C" w:rsidP="00DA34DC">
          <w:pPr>
            <w:widowControl w:val="0"/>
            <w:suppressLineNumbers/>
            <w:suppressAutoHyphens/>
            <w:spacing w:after="0" w:line="240" w:lineRule="auto"/>
            <w:jc w:val="center"/>
            <w:rPr>
              <w:rFonts w:ascii="Times New Roman" w:eastAsia="HG Mincho Light J" w:hAnsi="Times New Roman"/>
              <w:b/>
              <w:color w:val="000000"/>
              <w:sz w:val="20"/>
              <w:szCs w:val="20"/>
            </w:rPr>
          </w:pPr>
          <w:r w:rsidRPr="007E7D41">
            <w:rPr>
              <w:rFonts w:ascii="Times New Roman" w:eastAsia="HG Mincho Light J" w:hAnsi="Times New Roman"/>
              <w:b/>
              <w:color w:val="000000"/>
              <w:sz w:val="20"/>
              <w:szCs w:val="20"/>
            </w:rPr>
            <w:t>Приложение</w:t>
          </w:r>
        </w:p>
        <w:p w14:paraId="070A367B" w14:textId="77777777" w:rsidR="00EA7F1C" w:rsidRPr="00CE47A0" w:rsidRDefault="00EA7F1C" w:rsidP="00CE47A0">
          <w:pPr>
            <w:widowControl w:val="0"/>
            <w:suppressLineNumbers/>
            <w:suppressAutoHyphens/>
            <w:spacing w:after="0"/>
            <w:jc w:val="center"/>
            <w:rPr>
              <w:rFonts w:ascii="Times New Roman" w:eastAsia="HG Mincho Light J" w:hAnsi="Times New Roman"/>
              <w:b/>
              <w:color w:val="000000"/>
              <w:sz w:val="20"/>
              <w:szCs w:val="24"/>
            </w:rPr>
          </w:pPr>
          <w:r w:rsidRPr="007E7D41">
            <w:rPr>
              <w:rFonts w:ascii="Times New Roman" w:eastAsia="HG Mincho Light J" w:hAnsi="Times New Roman"/>
              <w:b/>
              <w:color w:val="000000"/>
              <w:sz w:val="20"/>
              <w:szCs w:val="20"/>
            </w:rPr>
            <w:t>4.I.</w:t>
          </w:r>
          <w:r>
            <w:rPr>
              <w:rFonts w:ascii="Times New Roman" w:eastAsia="HG Mincho Light J" w:hAnsi="Times New Roman"/>
              <w:b/>
              <w:color w:val="000000"/>
              <w:sz w:val="20"/>
              <w:szCs w:val="20"/>
            </w:rPr>
            <w:t>3</w:t>
          </w:r>
          <w:r w:rsidRPr="007E7D41">
            <w:rPr>
              <w:rFonts w:ascii="Times New Roman" w:eastAsia="HG Mincho Light J" w:hAnsi="Times New Roman"/>
              <w:b/>
              <w:color w:val="000000"/>
              <w:sz w:val="20"/>
              <w:szCs w:val="20"/>
            </w:rPr>
            <w:t>.</w:t>
          </w:r>
        </w:p>
      </w:tc>
      <w:tc>
        <w:tcPr>
          <w:tcW w:w="3971" w:type="dxa"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2DD8C721" w14:textId="77777777" w:rsidR="00EA7F1C" w:rsidRPr="007E7D41" w:rsidRDefault="00EA7F1C" w:rsidP="00DA34DC">
          <w:pPr>
            <w:widowControl w:val="0"/>
            <w:suppressLineNumbers/>
            <w:suppressAutoHyphens/>
            <w:spacing w:after="0" w:line="240" w:lineRule="auto"/>
            <w:jc w:val="center"/>
            <w:rPr>
              <w:rFonts w:ascii="Times New Roman" w:eastAsia="HG Mincho Light J" w:hAnsi="Times New Roman"/>
              <w:b/>
              <w:color w:val="000000"/>
              <w:sz w:val="20"/>
              <w:szCs w:val="20"/>
            </w:rPr>
          </w:pPr>
          <w:r w:rsidRPr="007E7D41">
            <w:rPr>
              <w:rFonts w:ascii="Times New Roman" w:eastAsia="HG Mincho Light J" w:hAnsi="Times New Roman"/>
              <w:b/>
              <w:color w:val="000000"/>
              <w:sz w:val="20"/>
              <w:szCs w:val="20"/>
            </w:rPr>
            <w:t xml:space="preserve">ПРОЦЕДУРИ ЗА ПРЕДОСТАВЯНЕ НА БЕЗВЪЗМЕЗДНА ФИНАНСОВА ПОМОЩ </w:t>
          </w:r>
        </w:p>
        <w:p w14:paraId="705C0A89" w14:textId="77777777" w:rsidR="00EA7F1C" w:rsidRPr="007E7D41" w:rsidRDefault="00EA7F1C" w:rsidP="00DA34DC">
          <w:pPr>
            <w:widowControl w:val="0"/>
            <w:suppressLineNumbers/>
            <w:suppressAutoHyphens/>
            <w:spacing w:after="0" w:line="240" w:lineRule="auto"/>
            <w:jc w:val="center"/>
            <w:rPr>
              <w:rFonts w:ascii="Times New Roman" w:eastAsia="HG Mincho Light J" w:hAnsi="Times New Roman"/>
              <w:b/>
              <w:color w:val="000000"/>
              <w:sz w:val="20"/>
              <w:szCs w:val="20"/>
            </w:rPr>
          </w:pPr>
        </w:p>
        <w:p w14:paraId="160D29E6" w14:textId="77777777" w:rsidR="00EA7F1C" w:rsidRPr="007E7D41" w:rsidRDefault="00EA7F1C" w:rsidP="00DA34DC">
          <w:pPr>
            <w:widowControl w:val="0"/>
            <w:suppressLineNumbers/>
            <w:suppressAutoHyphens/>
            <w:spacing w:after="0" w:line="240" w:lineRule="auto"/>
            <w:jc w:val="center"/>
            <w:rPr>
              <w:rFonts w:ascii="Times New Roman" w:eastAsia="HG Mincho Light J" w:hAnsi="Times New Roman"/>
              <w:b/>
              <w:color w:val="000000"/>
              <w:sz w:val="20"/>
              <w:szCs w:val="20"/>
            </w:rPr>
          </w:pPr>
          <w:r w:rsidRPr="007E7D41">
            <w:rPr>
              <w:rFonts w:ascii="Times New Roman" w:eastAsia="HG Mincho Light J" w:hAnsi="Times New Roman"/>
              <w:b/>
              <w:color w:val="000000"/>
              <w:sz w:val="20"/>
              <w:szCs w:val="20"/>
            </w:rPr>
            <w:t xml:space="preserve">Образец на </w:t>
          </w:r>
          <w:r w:rsidRPr="00080CE6">
            <w:rPr>
              <w:rFonts w:ascii="Times New Roman" w:eastAsia="HG Mincho Light J" w:hAnsi="Times New Roman"/>
              <w:b/>
              <w:color w:val="000000"/>
              <w:sz w:val="20"/>
              <w:szCs w:val="20"/>
            </w:rPr>
            <w:t>Методология</w:t>
          </w:r>
          <w:r w:rsidRPr="003C19A1">
            <w:rPr>
              <w:rFonts w:ascii="Times New Roman" w:eastAsia="HG Mincho Light J" w:hAnsi="Times New Roman"/>
              <w:b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eastAsia="HG Mincho Light J" w:hAnsi="Times New Roman"/>
              <w:b/>
              <w:color w:val="000000"/>
              <w:sz w:val="20"/>
              <w:szCs w:val="20"/>
            </w:rPr>
            <w:t>и критерии</w:t>
          </w:r>
          <w:r w:rsidRPr="007E7D41">
            <w:rPr>
              <w:rFonts w:ascii="Times New Roman" w:eastAsia="HG Mincho Light J" w:hAnsi="Times New Roman"/>
              <w:b/>
              <w:color w:val="000000"/>
              <w:sz w:val="20"/>
              <w:szCs w:val="20"/>
            </w:rPr>
            <w:t xml:space="preserve"> за подбор на операции</w:t>
          </w:r>
        </w:p>
        <w:p w14:paraId="120D2769" w14:textId="77777777" w:rsidR="00EA7F1C" w:rsidRPr="00CE47A0" w:rsidRDefault="00EA7F1C" w:rsidP="00CE47A0">
          <w:pPr>
            <w:widowControl w:val="0"/>
            <w:suppressLineNumbers/>
            <w:suppressAutoHyphens/>
            <w:spacing w:after="0"/>
            <w:jc w:val="center"/>
            <w:rPr>
              <w:rFonts w:ascii="Times New Roman" w:eastAsia="HG Mincho Light J" w:hAnsi="Times New Roman"/>
              <w:b/>
              <w:color w:val="000000"/>
              <w:sz w:val="20"/>
              <w:szCs w:val="24"/>
            </w:rPr>
          </w:pPr>
        </w:p>
      </w:tc>
      <w:tc>
        <w:tcPr>
          <w:tcW w:w="1560" w:type="dxa"/>
          <w:tcBorders>
            <w:top w:val="nil"/>
            <w:left w:val="single" w:sz="2" w:space="0" w:color="000000"/>
            <w:bottom w:val="single" w:sz="4" w:space="0" w:color="auto"/>
            <w:right w:val="single" w:sz="2" w:space="0" w:color="000000"/>
          </w:tcBorders>
          <w:vAlign w:val="center"/>
          <w:hideMark/>
        </w:tcPr>
        <w:p w14:paraId="1DADAC3B" w14:textId="354542B6" w:rsidR="00EA7F1C" w:rsidRPr="00CE47A0" w:rsidRDefault="00EA7F1C" w:rsidP="00CE47A0">
          <w:pPr>
            <w:widowControl w:val="0"/>
            <w:suppressLineNumbers/>
            <w:suppressAutoHyphens/>
            <w:spacing w:after="0"/>
            <w:jc w:val="center"/>
            <w:rPr>
              <w:rFonts w:ascii="Times New Roman" w:eastAsia="HG Mincho Light J" w:hAnsi="Times New Roman"/>
              <w:b/>
              <w:color w:val="000000"/>
              <w:sz w:val="20"/>
              <w:szCs w:val="24"/>
            </w:rPr>
          </w:pPr>
          <w:r w:rsidRPr="00CE47A0">
            <w:rPr>
              <w:rFonts w:ascii="Times New Roman" w:eastAsia="Times New Roman" w:hAnsi="Times New Roman"/>
              <w:b/>
              <w:sz w:val="20"/>
              <w:szCs w:val="24"/>
              <w:lang w:eastAsia="bg-BG"/>
            </w:rPr>
            <w:t xml:space="preserve">страница: </w:t>
          </w:r>
          <w:r w:rsidRPr="00CE47A0">
            <w:rPr>
              <w:rFonts w:ascii="Times New Roman" w:eastAsia="Times New Roman" w:hAnsi="Times New Roman"/>
              <w:b/>
              <w:sz w:val="20"/>
              <w:szCs w:val="20"/>
              <w:lang w:val="pl-PL" w:eastAsia="pl-PL"/>
            </w:rPr>
            <w:fldChar w:fldCharType="begin"/>
          </w:r>
          <w:r w:rsidRPr="00CE47A0">
            <w:rPr>
              <w:rFonts w:ascii="Times New Roman" w:eastAsia="Times New Roman" w:hAnsi="Times New Roman"/>
              <w:b/>
              <w:sz w:val="20"/>
              <w:szCs w:val="20"/>
              <w:lang w:val="pl-PL" w:eastAsia="pl-PL"/>
            </w:rPr>
            <w:instrText xml:space="preserve"> PAGE </w:instrText>
          </w:r>
          <w:r w:rsidRPr="00CE47A0">
            <w:rPr>
              <w:rFonts w:ascii="Times New Roman" w:eastAsia="Times New Roman" w:hAnsi="Times New Roman"/>
              <w:b/>
              <w:sz w:val="20"/>
              <w:szCs w:val="20"/>
              <w:lang w:val="pl-PL" w:eastAsia="pl-PL"/>
            </w:rPr>
            <w:fldChar w:fldCharType="separate"/>
          </w:r>
          <w:r w:rsidR="00F40165">
            <w:rPr>
              <w:rFonts w:ascii="Times New Roman" w:eastAsia="Times New Roman" w:hAnsi="Times New Roman"/>
              <w:b/>
              <w:noProof/>
              <w:sz w:val="20"/>
              <w:szCs w:val="20"/>
              <w:lang w:val="pl-PL" w:eastAsia="pl-PL"/>
            </w:rPr>
            <w:t>5</w:t>
          </w:r>
          <w:r w:rsidRPr="00CE47A0">
            <w:rPr>
              <w:rFonts w:ascii="Times New Roman" w:eastAsia="Times New Roman" w:hAnsi="Times New Roman"/>
              <w:b/>
              <w:sz w:val="20"/>
              <w:szCs w:val="20"/>
              <w:lang w:val="pl-PL" w:eastAsia="pl-PL"/>
            </w:rPr>
            <w:fldChar w:fldCharType="end"/>
          </w:r>
          <w:r w:rsidRPr="00CE47A0">
            <w:rPr>
              <w:rFonts w:ascii="Times New Roman" w:eastAsia="Times New Roman" w:hAnsi="Times New Roman"/>
              <w:b/>
              <w:sz w:val="20"/>
              <w:szCs w:val="20"/>
              <w:lang w:val="pl-PL" w:eastAsia="pl-PL"/>
            </w:rPr>
            <w:t>/</w:t>
          </w:r>
          <w:r w:rsidRPr="00CE47A0">
            <w:rPr>
              <w:rFonts w:ascii="Times New Roman" w:eastAsia="Times New Roman" w:hAnsi="Times New Roman"/>
              <w:b/>
              <w:sz w:val="20"/>
              <w:szCs w:val="20"/>
              <w:lang w:val="pl-PL" w:eastAsia="pl-PL"/>
            </w:rPr>
            <w:fldChar w:fldCharType="begin"/>
          </w:r>
          <w:r w:rsidRPr="00CE47A0">
            <w:rPr>
              <w:rFonts w:ascii="Times New Roman" w:eastAsia="Times New Roman" w:hAnsi="Times New Roman"/>
              <w:b/>
              <w:sz w:val="20"/>
              <w:szCs w:val="20"/>
              <w:lang w:val="pl-PL" w:eastAsia="pl-PL"/>
            </w:rPr>
            <w:instrText xml:space="preserve"> NUMPAGES </w:instrText>
          </w:r>
          <w:r w:rsidRPr="00CE47A0">
            <w:rPr>
              <w:rFonts w:ascii="Times New Roman" w:eastAsia="Times New Roman" w:hAnsi="Times New Roman"/>
              <w:b/>
              <w:sz w:val="20"/>
              <w:szCs w:val="20"/>
              <w:lang w:val="pl-PL" w:eastAsia="pl-PL"/>
            </w:rPr>
            <w:fldChar w:fldCharType="separate"/>
          </w:r>
          <w:r w:rsidR="00F40165">
            <w:rPr>
              <w:rFonts w:ascii="Times New Roman" w:eastAsia="Times New Roman" w:hAnsi="Times New Roman"/>
              <w:b/>
              <w:noProof/>
              <w:sz w:val="20"/>
              <w:szCs w:val="20"/>
              <w:lang w:val="pl-PL" w:eastAsia="pl-PL"/>
            </w:rPr>
            <w:t>8</w:t>
          </w:r>
          <w:r w:rsidRPr="00CE47A0">
            <w:rPr>
              <w:rFonts w:ascii="Times New Roman" w:eastAsia="Times New Roman" w:hAnsi="Times New Roman"/>
              <w:b/>
              <w:sz w:val="20"/>
              <w:szCs w:val="20"/>
              <w:lang w:val="pl-PL" w:eastAsia="pl-PL"/>
            </w:rPr>
            <w:fldChar w:fldCharType="end"/>
          </w:r>
        </w:p>
      </w:tc>
    </w:tr>
    <w:tr w:rsidR="00EA7F1C" w:rsidRPr="00CE47A0" w14:paraId="419254C2" w14:textId="77777777" w:rsidTr="00703CD6">
      <w:trPr>
        <w:trHeight w:val="256"/>
        <w:jc w:val="center"/>
      </w:trPr>
      <w:tc>
        <w:tcPr>
          <w:tcW w:w="2697" w:type="dxa"/>
          <w:vMerge/>
          <w:tcBorders>
            <w:left w:val="single" w:sz="2" w:space="0" w:color="000000"/>
            <w:right w:val="nil"/>
          </w:tcBorders>
          <w:vAlign w:val="center"/>
          <w:hideMark/>
        </w:tcPr>
        <w:p w14:paraId="008E8B06" w14:textId="77777777" w:rsidR="00EA7F1C" w:rsidRPr="00CE47A0" w:rsidRDefault="00EA7F1C" w:rsidP="00CE47A0">
          <w:pPr>
            <w:spacing w:after="0" w:line="240" w:lineRule="auto"/>
            <w:rPr>
              <w:rFonts w:ascii="Times New Roman" w:eastAsia="HG Mincho Light J" w:hAnsi="Times New Roman"/>
              <w:b/>
              <w:color w:val="000000"/>
              <w:sz w:val="20"/>
              <w:szCs w:val="24"/>
            </w:rPr>
          </w:pPr>
        </w:p>
      </w:tc>
      <w:tc>
        <w:tcPr>
          <w:tcW w:w="5673" w:type="dxa"/>
          <w:gridSpan w:val="2"/>
          <w:vMerge w:val="restart"/>
          <w:tcBorders>
            <w:top w:val="nil"/>
            <w:left w:val="single" w:sz="2" w:space="0" w:color="000000"/>
            <w:right w:val="single" w:sz="4" w:space="0" w:color="auto"/>
          </w:tcBorders>
          <w:vAlign w:val="center"/>
          <w:hideMark/>
        </w:tcPr>
        <w:p w14:paraId="7778185A" w14:textId="77777777" w:rsidR="00EA7F1C" w:rsidRPr="00CE47A0" w:rsidRDefault="00EA7F1C" w:rsidP="00CE47A0">
          <w:pPr>
            <w:widowControl w:val="0"/>
            <w:suppressLineNumbers/>
            <w:suppressAutoHyphens/>
            <w:spacing w:after="0"/>
            <w:jc w:val="center"/>
            <w:rPr>
              <w:rFonts w:ascii="Times New Roman" w:eastAsia="HG Mincho Light J" w:hAnsi="Times New Roman"/>
              <w:b/>
              <w:color w:val="000000"/>
              <w:sz w:val="20"/>
              <w:szCs w:val="24"/>
            </w:rPr>
          </w:pPr>
          <w:r w:rsidRPr="00CE47A0">
            <w:rPr>
              <w:rFonts w:ascii="Times New Roman" w:eastAsia="HG Mincho Light J" w:hAnsi="Times New Roman"/>
              <w:b/>
              <w:color w:val="000000"/>
              <w:sz w:val="20"/>
            </w:rPr>
            <w:t>Одобрен от: Ръководител на Управляващия орган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554B3738" w14:textId="77777777" w:rsidR="00EA7F1C" w:rsidRPr="002F121E" w:rsidRDefault="00EA7F1C" w:rsidP="00703CD6">
          <w:pPr>
            <w:widowControl w:val="0"/>
            <w:suppressLineNumbers/>
            <w:suppressAutoHyphens/>
            <w:spacing w:after="0"/>
            <w:jc w:val="center"/>
            <w:rPr>
              <w:rFonts w:ascii="Times New Roman" w:eastAsia="HG Mincho Light J" w:hAnsi="Times New Roman"/>
              <w:b/>
              <w:color w:val="000000"/>
              <w:sz w:val="20"/>
              <w:szCs w:val="24"/>
            </w:rPr>
          </w:pPr>
          <w:r w:rsidRPr="002F121E">
            <w:rPr>
              <w:rFonts w:ascii="Times New Roman" w:hAnsi="Times New Roman"/>
              <w:b/>
              <w:sz w:val="20"/>
            </w:rPr>
            <w:t>Дата:</w:t>
          </w:r>
        </w:p>
      </w:tc>
    </w:tr>
    <w:tr w:rsidR="00EA7F1C" w:rsidRPr="00CE47A0" w14:paraId="53AB9729" w14:textId="77777777" w:rsidTr="00824D88">
      <w:trPr>
        <w:trHeight w:val="550"/>
        <w:jc w:val="center"/>
      </w:trPr>
      <w:tc>
        <w:tcPr>
          <w:tcW w:w="2697" w:type="dxa"/>
          <w:vMerge/>
          <w:tcBorders>
            <w:left w:val="single" w:sz="2" w:space="0" w:color="000000"/>
            <w:bottom w:val="single" w:sz="2" w:space="0" w:color="000000"/>
            <w:right w:val="nil"/>
          </w:tcBorders>
          <w:vAlign w:val="center"/>
        </w:tcPr>
        <w:p w14:paraId="25CA6228" w14:textId="77777777" w:rsidR="00EA7F1C" w:rsidRPr="00CE47A0" w:rsidRDefault="00EA7F1C" w:rsidP="00CE47A0">
          <w:pPr>
            <w:spacing w:after="0" w:line="240" w:lineRule="auto"/>
            <w:rPr>
              <w:rFonts w:ascii="Times New Roman" w:eastAsia="HG Mincho Light J" w:hAnsi="Times New Roman"/>
              <w:b/>
              <w:color w:val="000000"/>
              <w:sz w:val="20"/>
              <w:szCs w:val="24"/>
            </w:rPr>
          </w:pPr>
        </w:p>
      </w:tc>
      <w:tc>
        <w:tcPr>
          <w:tcW w:w="5673" w:type="dxa"/>
          <w:gridSpan w:val="2"/>
          <w:vMerge/>
          <w:tcBorders>
            <w:left w:val="single" w:sz="2" w:space="0" w:color="000000"/>
            <w:bottom w:val="single" w:sz="2" w:space="0" w:color="000000"/>
            <w:right w:val="single" w:sz="4" w:space="0" w:color="auto"/>
          </w:tcBorders>
          <w:vAlign w:val="center"/>
        </w:tcPr>
        <w:p w14:paraId="60245D8A" w14:textId="77777777" w:rsidR="00EA7F1C" w:rsidRPr="00CE47A0" w:rsidRDefault="00EA7F1C" w:rsidP="00CE47A0">
          <w:pPr>
            <w:widowControl w:val="0"/>
            <w:suppressLineNumbers/>
            <w:suppressAutoHyphens/>
            <w:spacing w:after="0"/>
            <w:jc w:val="center"/>
            <w:rPr>
              <w:rFonts w:ascii="Times New Roman" w:eastAsia="HG Mincho Light J" w:hAnsi="Times New Roman"/>
              <w:b/>
              <w:color w:val="000000"/>
              <w:sz w:val="20"/>
            </w:rPr>
          </w:pPr>
        </w:p>
      </w:tc>
      <w:tc>
        <w:tcPr>
          <w:tcW w:w="156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E255C22" w14:textId="77777777" w:rsidR="00EA7F1C" w:rsidRPr="00314CD7" w:rsidRDefault="00EA7F1C" w:rsidP="00703CD6">
          <w:pPr>
            <w:widowControl w:val="0"/>
            <w:suppressLineNumbers/>
            <w:suppressAutoHyphens/>
            <w:spacing w:after="0"/>
            <w:jc w:val="center"/>
            <w:rPr>
              <w:rFonts w:ascii="Times New Roman" w:eastAsia="HG Mincho Light J" w:hAnsi="Times New Roman"/>
              <w:b/>
              <w:color w:val="000000"/>
              <w:sz w:val="20"/>
            </w:rPr>
          </w:pPr>
          <w:r>
            <w:rPr>
              <w:rFonts w:ascii="Times New Roman" w:eastAsia="HG Mincho Light J" w:hAnsi="Times New Roman"/>
              <w:b/>
              <w:color w:val="000000"/>
              <w:sz w:val="20"/>
            </w:rPr>
            <w:t>Ноември</w:t>
          </w:r>
        </w:p>
        <w:p w14:paraId="2A4C7EDC" w14:textId="5E1FD284" w:rsidR="00EA7F1C" w:rsidRPr="002F121E" w:rsidRDefault="00EA7F1C" w:rsidP="005579D6">
          <w:pPr>
            <w:widowControl w:val="0"/>
            <w:suppressLineNumbers/>
            <w:suppressAutoHyphens/>
            <w:spacing w:after="0"/>
            <w:jc w:val="center"/>
            <w:rPr>
              <w:rFonts w:ascii="Times New Roman" w:eastAsia="HG Mincho Light J" w:hAnsi="Times New Roman"/>
              <w:b/>
              <w:color w:val="000000"/>
              <w:sz w:val="20"/>
            </w:rPr>
          </w:pPr>
          <w:r w:rsidRPr="002F121E">
            <w:rPr>
              <w:rFonts w:ascii="Times New Roman" w:hAnsi="Times New Roman"/>
              <w:b/>
              <w:sz w:val="20"/>
            </w:rPr>
            <w:t>20</w:t>
          </w:r>
          <w:r>
            <w:rPr>
              <w:rFonts w:ascii="Times New Roman" w:hAnsi="Times New Roman"/>
              <w:b/>
              <w:sz w:val="20"/>
            </w:rPr>
            <w:t>2</w:t>
          </w:r>
          <w:r w:rsidR="005579D6">
            <w:rPr>
              <w:rFonts w:ascii="Times New Roman" w:hAnsi="Times New Roman"/>
              <w:b/>
              <w:sz w:val="20"/>
            </w:rPr>
            <w:t>5</w:t>
          </w:r>
          <w:r w:rsidRPr="002F121E">
            <w:rPr>
              <w:rFonts w:ascii="Times New Roman" w:hAnsi="Times New Roman"/>
              <w:b/>
              <w:sz w:val="20"/>
            </w:rPr>
            <w:t xml:space="preserve"> г.</w:t>
          </w:r>
        </w:p>
      </w:tc>
    </w:tr>
  </w:tbl>
  <w:p w14:paraId="78D2E68B" w14:textId="77777777" w:rsidR="00EA7F1C" w:rsidRDefault="00EA7F1C" w:rsidP="00CE47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EFC"/>
    <w:multiLevelType w:val="hybridMultilevel"/>
    <w:tmpl w:val="F35471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D6178"/>
    <w:multiLevelType w:val="hybridMultilevel"/>
    <w:tmpl w:val="30CC61EA"/>
    <w:lvl w:ilvl="0" w:tplc="6414C9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C39AE"/>
    <w:multiLevelType w:val="hybridMultilevel"/>
    <w:tmpl w:val="4D42737A"/>
    <w:lvl w:ilvl="0" w:tplc="78000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928F3"/>
    <w:multiLevelType w:val="multilevel"/>
    <w:tmpl w:val="3B0A3CE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29E52AA"/>
    <w:multiLevelType w:val="hybridMultilevel"/>
    <w:tmpl w:val="06347D38"/>
    <w:lvl w:ilvl="0" w:tplc="ADCACD30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00985"/>
    <w:multiLevelType w:val="hybridMultilevel"/>
    <w:tmpl w:val="910CDC5C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6E0903"/>
    <w:multiLevelType w:val="hybridMultilevel"/>
    <w:tmpl w:val="D3168EB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70C22"/>
    <w:multiLevelType w:val="multilevel"/>
    <w:tmpl w:val="0B7AB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5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8" w15:restartNumberingAfterBreak="0">
    <w:nsid w:val="384B4174"/>
    <w:multiLevelType w:val="hybridMultilevel"/>
    <w:tmpl w:val="8BE415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50F9F"/>
    <w:multiLevelType w:val="hybridMultilevel"/>
    <w:tmpl w:val="3C1C5DBE"/>
    <w:lvl w:ilvl="0" w:tplc="CE5C3B4C">
      <w:start w:val="4"/>
      <w:numFmt w:val="bullet"/>
      <w:lvlText w:val="-"/>
      <w:lvlJc w:val="left"/>
      <w:pPr>
        <w:ind w:left="393" w:hanging="360"/>
      </w:pPr>
      <w:rPr>
        <w:rFonts w:ascii="Verdana" w:eastAsia="Calibri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0" w15:restartNumberingAfterBreak="0">
    <w:nsid w:val="40320257"/>
    <w:multiLevelType w:val="hybridMultilevel"/>
    <w:tmpl w:val="D0CCD9E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A0F38"/>
    <w:multiLevelType w:val="multilevel"/>
    <w:tmpl w:val="12D83CB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34A318D"/>
    <w:multiLevelType w:val="hybridMultilevel"/>
    <w:tmpl w:val="AA9496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2133A"/>
    <w:multiLevelType w:val="hybridMultilevel"/>
    <w:tmpl w:val="ACF8570C"/>
    <w:lvl w:ilvl="0" w:tplc="ADCACD30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F7DAD"/>
    <w:multiLevelType w:val="hybridMultilevel"/>
    <w:tmpl w:val="D33AEE34"/>
    <w:lvl w:ilvl="0" w:tplc="37AC54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129CC"/>
    <w:multiLevelType w:val="hybridMultilevel"/>
    <w:tmpl w:val="8940F88A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B736E"/>
    <w:multiLevelType w:val="multilevel"/>
    <w:tmpl w:val="2F12252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7B04A22"/>
    <w:multiLevelType w:val="hybridMultilevel"/>
    <w:tmpl w:val="90CC57D4"/>
    <w:lvl w:ilvl="0" w:tplc="8C3C4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D474F"/>
    <w:multiLevelType w:val="hybridMultilevel"/>
    <w:tmpl w:val="C1903BBC"/>
    <w:lvl w:ilvl="0" w:tplc="0402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27A4111"/>
    <w:multiLevelType w:val="multilevel"/>
    <w:tmpl w:val="B14ACF5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167493D"/>
    <w:multiLevelType w:val="multilevel"/>
    <w:tmpl w:val="F80EFC6E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48B3855"/>
    <w:multiLevelType w:val="hybridMultilevel"/>
    <w:tmpl w:val="9644536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A53EE9"/>
    <w:multiLevelType w:val="hybridMultilevel"/>
    <w:tmpl w:val="40985A9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C48D3"/>
    <w:multiLevelType w:val="hybridMultilevel"/>
    <w:tmpl w:val="2BE20C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7"/>
  </w:num>
  <w:num w:numId="4">
    <w:abstractNumId w:val="8"/>
  </w:num>
  <w:num w:numId="5">
    <w:abstractNumId w:val="18"/>
  </w:num>
  <w:num w:numId="6">
    <w:abstractNumId w:val="4"/>
  </w:num>
  <w:num w:numId="7">
    <w:abstractNumId w:val="9"/>
  </w:num>
  <w:num w:numId="8">
    <w:abstractNumId w:val="21"/>
  </w:num>
  <w:num w:numId="9">
    <w:abstractNumId w:val="16"/>
  </w:num>
  <w:num w:numId="10">
    <w:abstractNumId w:val="20"/>
  </w:num>
  <w:num w:numId="11">
    <w:abstractNumId w:val="19"/>
  </w:num>
  <w:num w:numId="12">
    <w:abstractNumId w:val="3"/>
  </w:num>
  <w:num w:numId="13">
    <w:abstractNumId w:val="11"/>
  </w:num>
  <w:num w:numId="14">
    <w:abstractNumId w:val="5"/>
  </w:num>
  <w:num w:numId="15">
    <w:abstractNumId w:val="6"/>
  </w:num>
  <w:num w:numId="16">
    <w:abstractNumId w:val="10"/>
  </w:num>
  <w:num w:numId="17">
    <w:abstractNumId w:val="23"/>
  </w:num>
  <w:num w:numId="18">
    <w:abstractNumId w:val="22"/>
  </w:num>
  <w:num w:numId="19">
    <w:abstractNumId w:val="0"/>
  </w:num>
  <w:num w:numId="20">
    <w:abstractNumId w:val="12"/>
  </w:num>
  <w:num w:numId="21">
    <w:abstractNumId w:val="2"/>
  </w:num>
  <w:num w:numId="22">
    <w:abstractNumId w:val="17"/>
  </w:num>
  <w:num w:numId="23">
    <w:abstractNumId w:val="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6C7"/>
    <w:rsid w:val="000034DB"/>
    <w:rsid w:val="00004FFE"/>
    <w:rsid w:val="00007203"/>
    <w:rsid w:val="00011852"/>
    <w:rsid w:val="00012165"/>
    <w:rsid w:val="00012F62"/>
    <w:rsid w:val="0001412C"/>
    <w:rsid w:val="00014EA6"/>
    <w:rsid w:val="000218D3"/>
    <w:rsid w:val="0002222B"/>
    <w:rsid w:val="000264FA"/>
    <w:rsid w:val="00027182"/>
    <w:rsid w:val="00027AA8"/>
    <w:rsid w:val="00030DC1"/>
    <w:rsid w:val="00033E66"/>
    <w:rsid w:val="0003552D"/>
    <w:rsid w:val="00036973"/>
    <w:rsid w:val="000427BD"/>
    <w:rsid w:val="00042F76"/>
    <w:rsid w:val="000437DD"/>
    <w:rsid w:val="00043BE2"/>
    <w:rsid w:val="00043D6D"/>
    <w:rsid w:val="00045AA7"/>
    <w:rsid w:val="00047AF9"/>
    <w:rsid w:val="00050AAD"/>
    <w:rsid w:val="00057515"/>
    <w:rsid w:val="000602CB"/>
    <w:rsid w:val="00066D1A"/>
    <w:rsid w:val="0007036A"/>
    <w:rsid w:val="000720E3"/>
    <w:rsid w:val="00072302"/>
    <w:rsid w:val="000725F8"/>
    <w:rsid w:val="000726EF"/>
    <w:rsid w:val="0007363D"/>
    <w:rsid w:val="00073A79"/>
    <w:rsid w:val="00077DFC"/>
    <w:rsid w:val="00080CE6"/>
    <w:rsid w:val="00081B3B"/>
    <w:rsid w:val="00082031"/>
    <w:rsid w:val="000824CB"/>
    <w:rsid w:val="00082811"/>
    <w:rsid w:val="000841D5"/>
    <w:rsid w:val="000847C1"/>
    <w:rsid w:val="00087FBF"/>
    <w:rsid w:val="0009160D"/>
    <w:rsid w:val="00091E98"/>
    <w:rsid w:val="00094455"/>
    <w:rsid w:val="00094BA3"/>
    <w:rsid w:val="00096114"/>
    <w:rsid w:val="000968E2"/>
    <w:rsid w:val="000979A7"/>
    <w:rsid w:val="000A4EEC"/>
    <w:rsid w:val="000A7618"/>
    <w:rsid w:val="000A79AA"/>
    <w:rsid w:val="000B05D9"/>
    <w:rsid w:val="000B1FF4"/>
    <w:rsid w:val="000B23ED"/>
    <w:rsid w:val="000B2519"/>
    <w:rsid w:val="000B5BAE"/>
    <w:rsid w:val="000B6377"/>
    <w:rsid w:val="000B7578"/>
    <w:rsid w:val="000C3969"/>
    <w:rsid w:val="000C3988"/>
    <w:rsid w:val="000C4333"/>
    <w:rsid w:val="000C43FF"/>
    <w:rsid w:val="000C5E7E"/>
    <w:rsid w:val="000D0D19"/>
    <w:rsid w:val="000D36C1"/>
    <w:rsid w:val="000D3E7C"/>
    <w:rsid w:val="000D641A"/>
    <w:rsid w:val="000D678A"/>
    <w:rsid w:val="000D69EE"/>
    <w:rsid w:val="000D71F9"/>
    <w:rsid w:val="000D76C3"/>
    <w:rsid w:val="000E0710"/>
    <w:rsid w:val="000E2443"/>
    <w:rsid w:val="000E5FA1"/>
    <w:rsid w:val="000E5FB2"/>
    <w:rsid w:val="000F15EE"/>
    <w:rsid w:val="000F33C7"/>
    <w:rsid w:val="000F465B"/>
    <w:rsid w:val="00100641"/>
    <w:rsid w:val="00102F33"/>
    <w:rsid w:val="001043A9"/>
    <w:rsid w:val="0010456D"/>
    <w:rsid w:val="00105191"/>
    <w:rsid w:val="0010687E"/>
    <w:rsid w:val="00107CE4"/>
    <w:rsid w:val="0011554A"/>
    <w:rsid w:val="0011700C"/>
    <w:rsid w:val="00117D40"/>
    <w:rsid w:val="00121244"/>
    <w:rsid w:val="00125D87"/>
    <w:rsid w:val="001267D0"/>
    <w:rsid w:val="0012693D"/>
    <w:rsid w:val="00133E54"/>
    <w:rsid w:val="0013645A"/>
    <w:rsid w:val="00141E9B"/>
    <w:rsid w:val="001430EA"/>
    <w:rsid w:val="001439A6"/>
    <w:rsid w:val="00143AEA"/>
    <w:rsid w:val="00143EC4"/>
    <w:rsid w:val="0014404C"/>
    <w:rsid w:val="001442E4"/>
    <w:rsid w:val="0015173E"/>
    <w:rsid w:val="0015387E"/>
    <w:rsid w:val="001556C3"/>
    <w:rsid w:val="00155EF4"/>
    <w:rsid w:val="001561A9"/>
    <w:rsid w:val="00156951"/>
    <w:rsid w:val="00163113"/>
    <w:rsid w:val="00163325"/>
    <w:rsid w:val="001637B3"/>
    <w:rsid w:val="00164121"/>
    <w:rsid w:val="001658BF"/>
    <w:rsid w:val="00165F00"/>
    <w:rsid w:val="00166CEC"/>
    <w:rsid w:val="0016742D"/>
    <w:rsid w:val="00167A70"/>
    <w:rsid w:val="00170308"/>
    <w:rsid w:val="00170B29"/>
    <w:rsid w:val="001737AB"/>
    <w:rsid w:val="00173A5F"/>
    <w:rsid w:val="00175122"/>
    <w:rsid w:val="001752FF"/>
    <w:rsid w:val="0017606B"/>
    <w:rsid w:val="001803DD"/>
    <w:rsid w:val="00182A16"/>
    <w:rsid w:val="00185E1C"/>
    <w:rsid w:val="00186835"/>
    <w:rsid w:val="00190518"/>
    <w:rsid w:val="00192610"/>
    <w:rsid w:val="001928AE"/>
    <w:rsid w:val="00193EDE"/>
    <w:rsid w:val="0019488B"/>
    <w:rsid w:val="001975FE"/>
    <w:rsid w:val="001A11C8"/>
    <w:rsid w:val="001A192E"/>
    <w:rsid w:val="001A45F9"/>
    <w:rsid w:val="001A7D1B"/>
    <w:rsid w:val="001B0E9D"/>
    <w:rsid w:val="001B4396"/>
    <w:rsid w:val="001B6B5B"/>
    <w:rsid w:val="001B713E"/>
    <w:rsid w:val="001D1392"/>
    <w:rsid w:val="001E0ECE"/>
    <w:rsid w:val="001E3579"/>
    <w:rsid w:val="001E36F9"/>
    <w:rsid w:val="001E6E5D"/>
    <w:rsid w:val="001F0100"/>
    <w:rsid w:val="001F2ADA"/>
    <w:rsid w:val="001F30CE"/>
    <w:rsid w:val="0020042A"/>
    <w:rsid w:val="00201F46"/>
    <w:rsid w:val="002021AD"/>
    <w:rsid w:val="0020562A"/>
    <w:rsid w:val="00206F5B"/>
    <w:rsid w:val="002141AB"/>
    <w:rsid w:val="002144CE"/>
    <w:rsid w:val="00226488"/>
    <w:rsid w:val="0022684B"/>
    <w:rsid w:val="00230475"/>
    <w:rsid w:val="002320BA"/>
    <w:rsid w:val="0023283F"/>
    <w:rsid w:val="00233D10"/>
    <w:rsid w:val="0023731B"/>
    <w:rsid w:val="002411BF"/>
    <w:rsid w:val="00243703"/>
    <w:rsid w:val="00246AC8"/>
    <w:rsid w:val="00251884"/>
    <w:rsid w:val="002547AA"/>
    <w:rsid w:val="00254EF1"/>
    <w:rsid w:val="002571FE"/>
    <w:rsid w:val="002574FA"/>
    <w:rsid w:val="00261146"/>
    <w:rsid w:val="0026265C"/>
    <w:rsid w:val="00262A8D"/>
    <w:rsid w:val="00263074"/>
    <w:rsid w:val="00263D26"/>
    <w:rsid w:val="002662CF"/>
    <w:rsid w:val="00267700"/>
    <w:rsid w:val="00267F3E"/>
    <w:rsid w:val="00271344"/>
    <w:rsid w:val="00272C8C"/>
    <w:rsid w:val="00274C69"/>
    <w:rsid w:val="002758D8"/>
    <w:rsid w:val="00275CC2"/>
    <w:rsid w:val="002769CD"/>
    <w:rsid w:val="00280EE5"/>
    <w:rsid w:val="00282634"/>
    <w:rsid w:val="002878B6"/>
    <w:rsid w:val="00287C8D"/>
    <w:rsid w:val="0029038A"/>
    <w:rsid w:val="002912DF"/>
    <w:rsid w:val="00292181"/>
    <w:rsid w:val="00292FC3"/>
    <w:rsid w:val="00294336"/>
    <w:rsid w:val="00295A98"/>
    <w:rsid w:val="002967BA"/>
    <w:rsid w:val="002A1C86"/>
    <w:rsid w:val="002A5602"/>
    <w:rsid w:val="002A669B"/>
    <w:rsid w:val="002B23BA"/>
    <w:rsid w:val="002B2785"/>
    <w:rsid w:val="002B383A"/>
    <w:rsid w:val="002B4F23"/>
    <w:rsid w:val="002B516B"/>
    <w:rsid w:val="002C13B1"/>
    <w:rsid w:val="002C2139"/>
    <w:rsid w:val="002C3DAA"/>
    <w:rsid w:val="002C553A"/>
    <w:rsid w:val="002C6E27"/>
    <w:rsid w:val="002D03E2"/>
    <w:rsid w:val="002D1211"/>
    <w:rsid w:val="002E03CD"/>
    <w:rsid w:val="002E1BBB"/>
    <w:rsid w:val="002E673D"/>
    <w:rsid w:val="002E75D2"/>
    <w:rsid w:val="002F121E"/>
    <w:rsid w:val="002F350E"/>
    <w:rsid w:val="003127D2"/>
    <w:rsid w:val="003130AD"/>
    <w:rsid w:val="00314A27"/>
    <w:rsid w:val="00314C94"/>
    <w:rsid w:val="00314CD7"/>
    <w:rsid w:val="00315408"/>
    <w:rsid w:val="00317509"/>
    <w:rsid w:val="003208CF"/>
    <w:rsid w:val="00323030"/>
    <w:rsid w:val="00323860"/>
    <w:rsid w:val="00326200"/>
    <w:rsid w:val="00326EAE"/>
    <w:rsid w:val="00327072"/>
    <w:rsid w:val="00330204"/>
    <w:rsid w:val="00330C0A"/>
    <w:rsid w:val="00331961"/>
    <w:rsid w:val="00331EE1"/>
    <w:rsid w:val="003332BB"/>
    <w:rsid w:val="0033721D"/>
    <w:rsid w:val="00337C0D"/>
    <w:rsid w:val="003410E2"/>
    <w:rsid w:val="003416E9"/>
    <w:rsid w:val="0034325B"/>
    <w:rsid w:val="00343E62"/>
    <w:rsid w:val="00345085"/>
    <w:rsid w:val="0035291F"/>
    <w:rsid w:val="00353A92"/>
    <w:rsid w:val="00353E30"/>
    <w:rsid w:val="00362A2D"/>
    <w:rsid w:val="00362E2B"/>
    <w:rsid w:val="003654D7"/>
    <w:rsid w:val="00370A9F"/>
    <w:rsid w:val="00372219"/>
    <w:rsid w:val="00373513"/>
    <w:rsid w:val="00373949"/>
    <w:rsid w:val="003751FB"/>
    <w:rsid w:val="003757AF"/>
    <w:rsid w:val="0037629B"/>
    <w:rsid w:val="0037728D"/>
    <w:rsid w:val="00377529"/>
    <w:rsid w:val="00377C8F"/>
    <w:rsid w:val="003819FD"/>
    <w:rsid w:val="0038311F"/>
    <w:rsid w:val="0038606B"/>
    <w:rsid w:val="00387E4E"/>
    <w:rsid w:val="00390499"/>
    <w:rsid w:val="003926D0"/>
    <w:rsid w:val="00393951"/>
    <w:rsid w:val="00394C13"/>
    <w:rsid w:val="00394DE9"/>
    <w:rsid w:val="00395DE6"/>
    <w:rsid w:val="00396EE6"/>
    <w:rsid w:val="00397E3F"/>
    <w:rsid w:val="003A3ED5"/>
    <w:rsid w:val="003A431C"/>
    <w:rsid w:val="003A4694"/>
    <w:rsid w:val="003A6DD1"/>
    <w:rsid w:val="003A7779"/>
    <w:rsid w:val="003B2728"/>
    <w:rsid w:val="003B2B2A"/>
    <w:rsid w:val="003B5E7E"/>
    <w:rsid w:val="003B65D3"/>
    <w:rsid w:val="003C19A1"/>
    <w:rsid w:val="003C1B4F"/>
    <w:rsid w:val="003C285C"/>
    <w:rsid w:val="003C3780"/>
    <w:rsid w:val="003C5EC1"/>
    <w:rsid w:val="003C5ECC"/>
    <w:rsid w:val="003C7558"/>
    <w:rsid w:val="003C7691"/>
    <w:rsid w:val="003D7A56"/>
    <w:rsid w:val="003E13FD"/>
    <w:rsid w:val="003E3556"/>
    <w:rsid w:val="003E3A7C"/>
    <w:rsid w:val="003E4185"/>
    <w:rsid w:val="003E5130"/>
    <w:rsid w:val="003E5AAA"/>
    <w:rsid w:val="003E6419"/>
    <w:rsid w:val="003E6741"/>
    <w:rsid w:val="003F36C4"/>
    <w:rsid w:val="003F410D"/>
    <w:rsid w:val="003F4326"/>
    <w:rsid w:val="003F4643"/>
    <w:rsid w:val="003F5307"/>
    <w:rsid w:val="003F55AE"/>
    <w:rsid w:val="00401898"/>
    <w:rsid w:val="00403F21"/>
    <w:rsid w:val="00405AF9"/>
    <w:rsid w:val="00410799"/>
    <w:rsid w:val="004123C7"/>
    <w:rsid w:val="00413196"/>
    <w:rsid w:val="00421332"/>
    <w:rsid w:val="00423642"/>
    <w:rsid w:val="00427632"/>
    <w:rsid w:val="0043010D"/>
    <w:rsid w:val="00430D01"/>
    <w:rsid w:val="0043299A"/>
    <w:rsid w:val="0043411C"/>
    <w:rsid w:val="00434E85"/>
    <w:rsid w:val="00436A21"/>
    <w:rsid w:val="00441619"/>
    <w:rsid w:val="00453C2A"/>
    <w:rsid w:val="00454E7F"/>
    <w:rsid w:val="004567F3"/>
    <w:rsid w:val="00456B8E"/>
    <w:rsid w:val="00463236"/>
    <w:rsid w:val="00466888"/>
    <w:rsid w:val="00470C4F"/>
    <w:rsid w:val="00470CCB"/>
    <w:rsid w:val="00474514"/>
    <w:rsid w:val="0047784B"/>
    <w:rsid w:val="0048177C"/>
    <w:rsid w:val="004846C7"/>
    <w:rsid w:val="00484FE9"/>
    <w:rsid w:val="00485474"/>
    <w:rsid w:val="00486256"/>
    <w:rsid w:val="0048653A"/>
    <w:rsid w:val="00494B82"/>
    <w:rsid w:val="00496F57"/>
    <w:rsid w:val="00497F6B"/>
    <w:rsid w:val="004A3ECE"/>
    <w:rsid w:val="004A4C9C"/>
    <w:rsid w:val="004B0130"/>
    <w:rsid w:val="004B5212"/>
    <w:rsid w:val="004B60F4"/>
    <w:rsid w:val="004B6CAD"/>
    <w:rsid w:val="004B77FD"/>
    <w:rsid w:val="004C0B75"/>
    <w:rsid w:val="004C181A"/>
    <w:rsid w:val="004C246C"/>
    <w:rsid w:val="004C24EB"/>
    <w:rsid w:val="004C3EB1"/>
    <w:rsid w:val="004D034D"/>
    <w:rsid w:val="004D186D"/>
    <w:rsid w:val="004D5DB7"/>
    <w:rsid w:val="004D6CB6"/>
    <w:rsid w:val="004D769A"/>
    <w:rsid w:val="004E1548"/>
    <w:rsid w:val="004E25D7"/>
    <w:rsid w:val="004E28D5"/>
    <w:rsid w:val="004E2945"/>
    <w:rsid w:val="004E406F"/>
    <w:rsid w:val="004E4884"/>
    <w:rsid w:val="004E4C18"/>
    <w:rsid w:val="004E5CA4"/>
    <w:rsid w:val="004F2133"/>
    <w:rsid w:val="004F2257"/>
    <w:rsid w:val="004F3EB9"/>
    <w:rsid w:val="004F442C"/>
    <w:rsid w:val="004F5404"/>
    <w:rsid w:val="005008A7"/>
    <w:rsid w:val="0050119C"/>
    <w:rsid w:val="0050538C"/>
    <w:rsid w:val="00505F05"/>
    <w:rsid w:val="005120AB"/>
    <w:rsid w:val="00521453"/>
    <w:rsid w:val="00522D09"/>
    <w:rsid w:val="0052361F"/>
    <w:rsid w:val="005241A6"/>
    <w:rsid w:val="005249B7"/>
    <w:rsid w:val="00527DB1"/>
    <w:rsid w:val="00534376"/>
    <w:rsid w:val="00535872"/>
    <w:rsid w:val="005371CA"/>
    <w:rsid w:val="0054283E"/>
    <w:rsid w:val="00545439"/>
    <w:rsid w:val="00547F8B"/>
    <w:rsid w:val="005536AF"/>
    <w:rsid w:val="00553C9A"/>
    <w:rsid w:val="00554494"/>
    <w:rsid w:val="005579D6"/>
    <w:rsid w:val="00560802"/>
    <w:rsid w:val="0056240C"/>
    <w:rsid w:val="00563187"/>
    <w:rsid w:val="00563243"/>
    <w:rsid w:val="005653FD"/>
    <w:rsid w:val="00566206"/>
    <w:rsid w:val="00566499"/>
    <w:rsid w:val="00566BED"/>
    <w:rsid w:val="0056702C"/>
    <w:rsid w:val="00571088"/>
    <w:rsid w:val="00576698"/>
    <w:rsid w:val="00581A18"/>
    <w:rsid w:val="00582CC3"/>
    <w:rsid w:val="00583CC5"/>
    <w:rsid w:val="00586499"/>
    <w:rsid w:val="0059012A"/>
    <w:rsid w:val="00595642"/>
    <w:rsid w:val="00595D58"/>
    <w:rsid w:val="005A1F79"/>
    <w:rsid w:val="005A2DC6"/>
    <w:rsid w:val="005A3426"/>
    <w:rsid w:val="005A3FDD"/>
    <w:rsid w:val="005A709F"/>
    <w:rsid w:val="005B00D6"/>
    <w:rsid w:val="005B2CA9"/>
    <w:rsid w:val="005C0E9E"/>
    <w:rsid w:val="005C14C4"/>
    <w:rsid w:val="005C2042"/>
    <w:rsid w:val="005C253B"/>
    <w:rsid w:val="005C6D1E"/>
    <w:rsid w:val="005D0AB8"/>
    <w:rsid w:val="005D20E0"/>
    <w:rsid w:val="005D3563"/>
    <w:rsid w:val="005D3818"/>
    <w:rsid w:val="005D38EF"/>
    <w:rsid w:val="005D4B45"/>
    <w:rsid w:val="005D6C94"/>
    <w:rsid w:val="005E0650"/>
    <w:rsid w:val="005E0988"/>
    <w:rsid w:val="005E53D9"/>
    <w:rsid w:val="005E6E50"/>
    <w:rsid w:val="005E79DB"/>
    <w:rsid w:val="005F14E6"/>
    <w:rsid w:val="005F16B6"/>
    <w:rsid w:val="005F2E35"/>
    <w:rsid w:val="005F71ED"/>
    <w:rsid w:val="00605D29"/>
    <w:rsid w:val="00606AFB"/>
    <w:rsid w:val="006168E3"/>
    <w:rsid w:val="006179AC"/>
    <w:rsid w:val="00620B27"/>
    <w:rsid w:val="006232BA"/>
    <w:rsid w:val="00624567"/>
    <w:rsid w:val="00624DE1"/>
    <w:rsid w:val="0063312B"/>
    <w:rsid w:val="0063470C"/>
    <w:rsid w:val="00637872"/>
    <w:rsid w:val="00640527"/>
    <w:rsid w:val="00644E14"/>
    <w:rsid w:val="006466A1"/>
    <w:rsid w:val="0065133E"/>
    <w:rsid w:val="00651A62"/>
    <w:rsid w:val="00652704"/>
    <w:rsid w:val="00652AF9"/>
    <w:rsid w:val="00655EEF"/>
    <w:rsid w:val="0065647B"/>
    <w:rsid w:val="00657F17"/>
    <w:rsid w:val="006648B9"/>
    <w:rsid w:val="00674979"/>
    <w:rsid w:val="00683BE3"/>
    <w:rsid w:val="00686DB2"/>
    <w:rsid w:val="00687358"/>
    <w:rsid w:val="00687ACD"/>
    <w:rsid w:val="0069188B"/>
    <w:rsid w:val="006924FC"/>
    <w:rsid w:val="006925BD"/>
    <w:rsid w:val="00694418"/>
    <w:rsid w:val="00697A52"/>
    <w:rsid w:val="006A2467"/>
    <w:rsid w:val="006A2983"/>
    <w:rsid w:val="006B0318"/>
    <w:rsid w:val="006B156F"/>
    <w:rsid w:val="006B2020"/>
    <w:rsid w:val="006B6DDF"/>
    <w:rsid w:val="006C0323"/>
    <w:rsid w:val="006C3871"/>
    <w:rsid w:val="006C7C48"/>
    <w:rsid w:val="006D460D"/>
    <w:rsid w:val="006D629E"/>
    <w:rsid w:val="006D7D4E"/>
    <w:rsid w:val="006E0357"/>
    <w:rsid w:val="006E1778"/>
    <w:rsid w:val="006E20CE"/>
    <w:rsid w:val="006E29EA"/>
    <w:rsid w:val="006E3E3F"/>
    <w:rsid w:val="006E4E54"/>
    <w:rsid w:val="006E4E85"/>
    <w:rsid w:val="006E534B"/>
    <w:rsid w:val="006F1AE4"/>
    <w:rsid w:val="006F33E1"/>
    <w:rsid w:val="006F3DC2"/>
    <w:rsid w:val="00701873"/>
    <w:rsid w:val="00703BD0"/>
    <w:rsid w:val="00703CD6"/>
    <w:rsid w:val="00712AA3"/>
    <w:rsid w:val="007143C8"/>
    <w:rsid w:val="00715890"/>
    <w:rsid w:val="0071632A"/>
    <w:rsid w:val="007174DA"/>
    <w:rsid w:val="00717FD3"/>
    <w:rsid w:val="007244D7"/>
    <w:rsid w:val="00724730"/>
    <w:rsid w:val="00726D42"/>
    <w:rsid w:val="00737154"/>
    <w:rsid w:val="00737408"/>
    <w:rsid w:val="00737A67"/>
    <w:rsid w:val="0074080E"/>
    <w:rsid w:val="00740873"/>
    <w:rsid w:val="00740FE1"/>
    <w:rsid w:val="00742181"/>
    <w:rsid w:val="00744E0D"/>
    <w:rsid w:val="00745F1F"/>
    <w:rsid w:val="00750AD3"/>
    <w:rsid w:val="007515E9"/>
    <w:rsid w:val="00753D5C"/>
    <w:rsid w:val="00755980"/>
    <w:rsid w:val="00756F11"/>
    <w:rsid w:val="00760F25"/>
    <w:rsid w:val="00762E2F"/>
    <w:rsid w:val="00763244"/>
    <w:rsid w:val="00764D6A"/>
    <w:rsid w:val="00764EBF"/>
    <w:rsid w:val="0076643E"/>
    <w:rsid w:val="0077037B"/>
    <w:rsid w:val="007722C6"/>
    <w:rsid w:val="0077283C"/>
    <w:rsid w:val="00777D79"/>
    <w:rsid w:val="007808B3"/>
    <w:rsid w:val="00781725"/>
    <w:rsid w:val="0078279B"/>
    <w:rsid w:val="0078389A"/>
    <w:rsid w:val="00785766"/>
    <w:rsid w:val="00787041"/>
    <w:rsid w:val="007904C7"/>
    <w:rsid w:val="00790D92"/>
    <w:rsid w:val="007911DE"/>
    <w:rsid w:val="00793405"/>
    <w:rsid w:val="007954E5"/>
    <w:rsid w:val="007964C8"/>
    <w:rsid w:val="00796D24"/>
    <w:rsid w:val="00797738"/>
    <w:rsid w:val="007A06AE"/>
    <w:rsid w:val="007A0984"/>
    <w:rsid w:val="007A0D1E"/>
    <w:rsid w:val="007A2AA1"/>
    <w:rsid w:val="007A2EA2"/>
    <w:rsid w:val="007A31F4"/>
    <w:rsid w:val="007A3D41"/>
    <w:rsid w:val="007A3EC3"/>
    <w:rsid w:val="007A6FEB"/>
    <w:rsid w:val="007A7412"/>
    <w:rsid w:val="007A7FC1"/>
    <w:rsid w:val="007B0C6C"/>
    <w:rsid w:val="007B4585"/>
    <w:rsid w:val="007B49E9"/>
    <w:rsid w:val="007B698F"/>
    <w:rsid w:val="007B70BC"/>
    <w:rsid w:val="007C76F6"/>
    <w:rsid w:val="007C7820"/>
    <w:rsid w:val="007D0374"/>
    <w:rsid w:val="007D0FD5"/>
    <w:rsid w:val="007D25BB"/>
    <w:rsid w:val="007D5608"/>
    <w:rsid w:val="007D66CC"/>
    <w:rsid w:val="007D7131"/>
    <w:rsid w:val="007D7CF1"/>
    <w:rsid w:val="007E0AA7"/>
    <w:rsid w:val="007E7707"/>
    <w:rsid w:val="007E7D41"/>
    <w:rsid w:val="007F3CA4"/>
    <w:rsid w:val="007F50D2"/>
    <w:rsid w:val="007F5254"/>
    <w:rsid w:val="007F5261"/>
    <w:rsid w:val="007F67D7"/>
    <w:rsid w:val="007F68EA"/>
    <w:rsid w:val="00800027"/>
    <w:rsid w:val="00801569"/>
    <w:rsid w:val="00802E67"/>
    <w:rsid w:val="00815F46"/>
    <w:rsid w:val="00824D88"/>
    <w:rsid w:val="008306FC"/>
    <w:rsid w:val="00832311"/>
    <w:rsid w:val="0083437B"/>
    <w:rsid w:val="0084726E"/>
    <w:rsid w:val="00847D29"/>
    <w:rsid w:val="0085397B"/>
    <w:rsid w:val="00856761"/>
    <w:rsid w:val="00864396"/>
    <w:rsid w:val="00865CDB"/>
    <w:rsid w:val="00870717"/>
    <w:rsid w:val="00874B4B"/>
    <w:rsid w:val="00875888"/>
    <w:rsid w:val="00880381"/>
    <w:rsid w:val="00881A92"/>
    <w:rsid w:val="00887FA9"/>
    <w:rsid w:val="00891D44"/>
    <w:rsid w:val="00892D15"/>
    <w:rsid w:val="00894790"/>
    <w:rsid w:val="00895768"/>
    <w:rsid w:val="00895EE9"/>
    <w:rsid w:val="008A6EBF"/>
    <w:rsid w:val="008B0143"/>
    <w:rsid w:val="008B051B"/>
    <w:rsid w:val="008B1C55"/>
    <w:rsid w:val="008B2ABD"/>
    <w:rsid w:val="008B2C5C"/>
    <w:rsid w:val="008B6233"/>
    <w:rsid w:val="008D43AB"/>
    <w:rsid w:val="008D5C0E"/>
    <w:rsid w:val="008D7FC0"/>
    <w:rsid w:val="008E2445"/>
    <w:rsid w:val="008F34C6"/>
    <w:rsid w:val="008F4E92"/>
    <w:rsid w:val="008F5F44"/>
    <w:rsid w:val="009021E4"/>
    <w:rsid w:val="00903E43"/>
    <w:rsid w:val="00904C5A"/>
    <w:rsid w:val="00904FF5"/>
    <w:rsid w:val="00905C53"/>
    <w:rsid w:val="009070A1"/>
    <w:rsid w:val="00907BA3"/>
    <w:rsid w:val="00910A6C"/>
    <w:rsid w:val="00910E36"/>
    <w:rsid w:val="00921E7D"/>
    <w:rsid w:val="009221B0"/>
    <w:rsid w:val="00924291"/>
    <w:rsid w:val="00924B3B"/>
    <w:rsid w:val="009276A9"/>
    <w:rsid w:val="00931892"/>
    <w:rsid w:val="009328F5"/>
    <w:rsid w:val="0093411E"/>
    <w:rsid w:val="009343DD"/>
    <w:rsid w:val="00934528"/>
    <w:rsid w:val="00935AB3"/>
    <w:rsid w:val="00937875"/>
    <w:rsid w:val="009405D3"/>
    <w:rsid w:val="00940ABF"/>
    <w:rsid w:val="0094265F"/>
    <w:rsid w:val="009503E5"/>
    <w:rsid w:val="009512E4"/>
    <w:rsid w:val="00951305"/>
    <w:rsid w:val="00952728"/>
    <w:rsid w:val="00955243"/>
    <w:rsid w:val="00955D33"/>
    <w:rsid w:val="009603A6"/>
    <w:rsid w:val="00963621"/>
    <w:rsid w:val="00964629"/>
    <w:rsid w:val="009660D7"/>
    <w:rsid w:val="00967AB1"/>
    <w:rsid w:val="00967B28"/>
    <w:rsid w:val="00967C27"/>
    <w:rsid w:val="009719FD"/>
    <w:rsid w:val="009721A4"/>
    <w:rsid w:val="0097222B"/>
    <w:rsid w:val="00972BFA"/>
    <w:rsid w:val="009745DC"/>
    <w:rsid w:val="00977A38"/>
    <w:rsid w:val="009811E2"/>
    <w:rsid w:val="00982C49"/>
    <w:rsid w:val="009854C1"/>
    <w:rsid w:val="00992507"/>
    <w:rsid w:val="00992DDB"/>
    <w:rsid w:val="009948B6"/>
    <w:rsid w:val="0099664A"/>
    <w:rsid w:val="00996910"/>
    <w:rsid w:val="009A142A"/>
    <w:rsid w:val="009A2842"/>
    <w:rsid w:val="009A3257"/>
    <w:rsid w:val="009B00D8"/>
    <w:rsid w:val="009B0264"/>
    <w:rsid w:val="009B1CE6"/>
    <w:rsid w:val="009B25AE"/>
    <w:rsid w:val="009C02FC"/>
    <w:rsid w:val="009C0BEA"/>
    <w:rsid w:val="009C0E08"/>
    <w:rsid w:val="009C18C5"/>
    <w:rsid w:val="009C6F21"/>
    <w:rsid w:val="009D02EF"/>
    <w:rsid w:val="009D2292"/>
    <w:rsid w:val="009D3714"/>
    <w:rsid w:val="009D4C1F"/>
    <w:rsid w:val="009D5A85"/>
    <w:rsid w:val="009D73AB"/>
    <w:rsid w:val="009E02B2"/>
    <w:rsid w:val="009E2781"/>
    <w:rsid w:val="009E3AE1"/>
    <w:rsid w:val="009E779F"/>
    <w:rsid w:val="009F0AE1"/>
    <w:rsid w:val="009F13C0"/>
    <w:rsid w:val="009F334C"/>
    <w:rsid w:val="009F5DF9"/>
    <w:rsid w:val="009F6287"/>
    <w:rsid w:val="00A00706"/>
    <w:rsid w:val="00A0185F"/>
    <w:rsid w:val="00A0512A"/>
    <w:rsid w:val="00A067A0"/>
    <w:rsid w:val="00A0695E"/>
    <w:rsid w:val="00A119F8"/>
    <w:rsid w:val="00A131FA"/>
    <w:rsid w:val="00A147CC"/>
    <w:rsid w:val="00A16091"/>
    <w:rsid w:val="00A214C8"/>
    <w:rsid w:val="00A21FD3"/>
    <w:rsid w:val="00A23264"/>
    <w:rsid w:val="00A258A3"/>
    <w:rsid w:val="00A3321D"/>
    <w:rsid w:val="00A36A86"/>
    <w:rsid w:val="00A36C70"/>
    <w:rsid w:val="00A4282A"/>
    <w:rsid w:val="00A53D65"/>
    <w:rsid w:val="00A542FD"/>
    <w:rsid w:val="00A615AC"/>
    <w:rsid w:val="00A64D2C"/>
    <w:rsid w:val="00A652B8"/>
    <w:rsid w:val="00A65537"/>
    <w:rsid w:val="00A65D0B"/>
    <w:rsid w:val="00A66085"/>
    <w:rsid w:val="00A67B23"/>
    <w:rsid w:val="00A70392"/>
    <w:rsid w:val="00A71B38"/>
    <w:rsid w:val="00A722ED"/>
    <w:rsid w:val="00A72680"/>
    <w:rsid w:val="00A737D6"/>
    <w:rsid w:val="00A73C87"/>
    <w:rsid w:val="00A73E44"/>
    <w:rsid w:val="00A75E32"/>
    <w:rsid w:val="00A75EC0"/>
    <w:rsid w:val="00A80170"/>
    <w:rsid w:val="00A8156B"/>
    <w:rsid w:val="00A83CA7"/>
    <w:rsid w:val="00A84D0D"/>
    <w:rsid w:val="00A8610F"/>
    <w:rsid w:val="00A878B0"/>
    <w:rsid w:val="00AA2470"/>
    <w:rsid w:val="00AB4EC4"/>
    <w:rsid w:val="00AB510B"/>
    <w:rsid w:val="00AB6C31"/>
    <w:rsid w:val="00AB7171"/>
    <w:rsid w:val="00AB7F8B"/>
    <w:rsid w:val="00AC00C7"/>
    <w:rsid w:val="00AC0A2E"/>
    <w:rsid w:val="00AC214F"/>
    <w:rsid w:val="00AC3977"/>
    <w:rsid w:val="00AC5699"/>
    <w:rsid w:val="00AD164D"/>
    <w:rsid w:val="00AD1892"/>
    <w:rsid w:val="00AD1D46"/>
    <w:rsid w:val="00AD1F46"/>
    <w:rsid w:val="00AD31BD"/>
    <w:rsid w:val="00AD344E"/>
    <w:rsid w:val="00AD3CB7"/>
    <w:rsid w:val="00AD3DEF"/>
    <w:rsid w:val="00AD4338"/>
    <w:rsid w:val="00AD739E"/>
    <w:rsid w:val="00AE4697"/>
    <w:rsid w:val="00AE7FB3"/>
    <w:rsid w:val="00AF620E"/>
    <w:rsid w:val="00AF6D28"/>
    <w:rsid w:val="00B013F9"/>
    <w:rsid w:val="00B02495"/>
    <w:rsid w:val="00B13538"/>
    <w:rsid w:val="00B161EE"/>
    <w:rsid w:val="00B16AFB"/>
    <w:rsid w:val="00B16B74"/>
    <w:rsid w:val="00B17238"/>
    <w:rsid w:val="00B20200"/>
    <w:rsid w:val="00B24643"/>
    <w:rsid w:val="00B2575E"/>
    <w:rsid w:val="00B30106"/>
    <w:rsid w:val="00B413F7"/>
    <w:rsid w:val="00B43C1D"/>
    <w:rsid w:val="00B44C4A"/>
    <w:rsid w:val="00B50712"/>
    <w:rsid w:val="00B51070"/>
    <w:rsid w:val="00B55602"/>
    <w:rsid w:val="00B56DD4"/>
    <w:rsid w:val="00B6034E"/>
    <w:rsid w:val="00B62664"/>
    <w:rsid w:val="00B70A5F"/>
    <w:rsid w:val="00B70AD5"/>
    <w:rsid w:val="00B71614"/>
    <w:rsid w:val="00B71D52"/>
    <w:rsid w:val="00B7256B"/>
    <w:rsid w:val="00B75808"/>
    <w:rsid w:val="00B77CA2"/>
    <w:rsid w:val="00B80978"/>
    <w:rsid w:val="00B814C2"/>
    <w:rsid w:val="00B84DB0"/>
    <w:rsid w:val="00B912DE"/>
    <w:rsid w:val="00B91EBD"/>
    <w:rsid w:val="00B92D2D"/>
    <w:rsid w:val="00B94F0B"/>
    <w:rsid w:val="00BA0A37"/>
    <w:rsid w:val="00BA0AC9"/>
    <w:rsid w:val="00BA0C21"/>
    <w:rsid w:val="00BA2915"/>
    <w:rsid w:val="00BA2DC9"/>
    <w:rsid w:val="00BA3091"/>
    <w:rsid w:val="00BA5068"/>
    <w:rsid w:val="00BA7140"/>
    <w:rsid w:val="00BB1873"/>
    <w:rsid w:val="00BB28E7"/>
    <w:rsid w:val="00BB443D"/>
    <w:rsid w:val="00BB53B2"/>
    <w:rsid w:val="00BB5433"/>
    <w:rsid w:val="00BB6546"/>
    <w:rsid w:val="00BC728D"/>
    <w:rsid w:val="00BD2723"/>
    <w:rsid w:val="00BD53FC"/>
    <w:rsid w:val="00BE041F"/>
    <w:rsid w:val="00BE2D0B"/>
    <w:rsid w:val="00BE5800"/>
    <w:rsid w:val="00BF010C"/>
    <w:rsid w:val="00BF4DE2"/>
    <w:rsid w:val="00BF6BF3"/>
    <w:rsid w:val="00C04C57"/>
    <w:rsid w:val="00C12549"/>
    <w:rsid w:val="00C12B5D"/>
    <w:rsid w:val="00C1711D"/>
    <w:rsid w:val="00C20080"/>
    <w:rsid w:val="00C23C55"/>
    <w:rsid w:val="00C248B2"/>
    <w:rsid w:val="00C2541A"/>
    <w:rsid w:val="00C25F18"/>
    <w:rsid w:val="00C27226"/>
    <w:rsid w:val="00C35EDC"/>
    <w:rsid w:val="00C40B8E"/>
    <w:rsid w:val="00C430B2"/>
    <w:rsid w:val="00C45ECD"/>
    <w:rsid w:val="00C463B1"/>
    <w:rsid w:val="00C46842"/>
    <w:rsid w:val="00C50F89"/>
    <w:rsid w:val="00C51FC5"/>
    <w:rsid w:val="00C52693"/>
    <w:rsid w:val="00C533F0"/>
    <w:rsid w:val="00C56C3D"/>
    <w:rsid w:val="00C6066D"/>
    <w:rsid w:val="00C6183E"/>
    <w:rsid w:val="00C631CE"/>
    <w:rsid w:val="00C72D28"/>
    <w:rsid w:val="00C779C3"/>
    <w:rsid w:val="00C8063F"/>
    <w:rsid w:val="00C8110E"/>
    <w:rsid w:val="00C815F7"/>
    <w:rsid w:val="00C816A6"/>
    <w:rsid w:val="00C8668E"/>
    <w:rsid w:val="00C87239"/>
    <w:rsid w:val="00C87EEC"/>
    <w:rsid w:val="00C9168C"/>
    <w:rsid w:val="00C92013"/>
    <w:rsid w:val="00C92712"/>
    <w:rsid w:val="00C94C22"/>
    <w:rsid w:val="00C95700"/>
    <w:rsid w:val="00C97D39"/>
    <w:rsid w:val="00CA2EE9"/>
    <w:rsid w:val="00CA59B8"/>
    <w:rsid w:val="00CA5EBF"/>
    <w:rsid w:val="00CA6C42"/>
    <w:rsid w:val="00CB0E2D"/>
    <w:rsid w:val="00CB1D7A"/>
    <w:rsid w:val="00CB3367"/>
    <w:rsid w:val="00CB5B2F"/>
    <w:rsid w:val="00CB606E"/>
    <w:rsid w:val="00CC0E93"/>
    <w:rsid w:val="00CC2BEE"/>
    <w:rsid w:val="00CC4D36"/>
    <w:rsid w:val="00CD084E"/>
    <w:rsid w:val="00CD140B"/>
    <w:rsid w:val="00CD25B3"/>
    <w:rsid w:val="00CD35C4"/>
    <w:rsid w:val="00CD792D"/>
    <w:rsid w:val="00CD7B2C"/>
    <w:rsid w:val="00CD7CDD"/>
    <w:rsid w:val="00CE39DB"/>
    <w:rsid w:val="00CE3F58"/>
    <w:rsid w:val="00CE3FD4"/>
    <w:rsid w:val="00CE47A0"/>
    <w:rsid w:val="00CE7BEF"/>
    <w:rsid w:val="00CF05CF"/>
    <w:rsid w:val="00CF1AD1"/>
    <w:rsid w:val="00CF1E41"/>
    <w:rsid w:val="00CF2C22"/>
    <w:rsid w:val="00CF4662"/>
    <w:rsid w:val="00CF5328"/>
    <w:rsid w:val="00CF61AC"/>
    <w:rsid w:val="00CF6376"/>
    <w:rsid w:val="00D00A37"/>
    <w:rsid w:val="00D00B49"/>
    <w:rsid w:val="00D01762"/>
    <w:rsid w:val="00D04E7B"/>
    <w:rsid w:val="00D05232"/>
    <w:rsid w:val="00D05AC6"/>
    <w:rsid w:val="00D06A0C"/>
    <w:rsid w:val="00D100E6"/>
    <w:rsid w:val="00D1098C"/>
    <w:rsid w:val="00D11BDB"/>
    <w:rsid w:val="00D158C6"/>
    <w:rsid w:val="00D15FE5"/>
    <w:rsid w:val="00D17EDD"/>
    <w:rsid w:val="00D31286"/>
    <w:rsid w:val="00D31D3D"/>
    <w:rsid w:val="00D3201D"/>
    <w:rsid w:val="00D3401A"/>
    <w:rsid w:val="00D36848"/>
    <w:rsid w:val="00D37BD5"/>
    <w:rsid w:val="00D37FCA"/>
    <w:rsid w:val="00D41ACE"/>
    <w:rsid w:val="00D4211C"/>
    <w:rsid w:val="00D51FD7"/>
    <w:rsid w:val="00D56B03"/>
    <w:rsid w:val="00D6255C"/>
    <w:rsid w:val="00D633B0"/>
    <w:rsid w:val="00D65BB3"/>
    <w:rsid w:val="00D6660B"/>
    <w:rsid w:val="00D6754D"/>
    <w:rsid w:val="00D67AF7"/>
    <w:rsid w:val="00D738DA"/>
    <w:rsid w:val="00D739D8"/>
    <w:rsid w:val="00D7451B"/>
    <w:rsid w:val="00D74B1E"/>
    <w:rsid w:val="00D7775B"/>
    <w:rsid w:val="00D80C1C"/>
    <w:rsid w:val="00D81A55"/>
    <w:rsid w:val="00D8393A"/>
    <w:rsid w:val="00D91564"/>
    <w:rsid w:val="00D91ED2"/>
    <w:rsid w:val="00D922B2"/>
    <w:rsid w:val="00D934C9"/>
    <w:rsid w:val="00D94433"/>
    <w:rsid w:val="00DA0AFB"/>
    <w:rsid w:val="00DA34DC"/>
    <w:rsid w:val="00DA5309"/>
    <w:rsid w:val="00DA594E"/>
    <w:rsid w:val="00DA61DA"/>
    <w:rsid w:val="00DB175A"/>
    <w:rsid w:val="00DB1BF6"/>
    <w:rsid w:val="00DB2E1C"/>
    <w:rsid w:val="00DB3FBA"/>
    <w:rsid w:val="00DB5538"/>
    <w:rsid w:val="00DB7A02"/>
    <w:rsid w:val="00DB7BA1"/>
    <w:rsid w:val="00DC06A2"/>
    <w:rsid w:val="00DC0A06"/>
    <w:rsid w:val="00DC2329"/>
    <w:rsid w:val="00DC3246"/>
    <w:rsid w:val="00DC36DD"/>
    <w:rsid w:val="00DD1A5F"/>
    <w:rsid w:val="00DD3BD5"/>
    <w:rsid w:val="00DD3E47"/>
    <w:rsid w:val="00DD41C4"/>
    <w:rsid w:val="00DD43AF"/>
    <w:rsid w:val="00DD7C05"/>
    <w:rsid w:val="00DE058F"/>
    <w:rsid w:val="00DE27BB"/>
    <w:rsid w:val="00DE33C7"/>
    <w:rsid w:val="00DE3CE1"/>
    <w:rsid w:val="00DF14E1"/>
    <w:rsid w:val="00DF1726"/>
    <w:rsid w:val="00DF429E"/>
    <w:rsid w:val="00DF7932"/>
    <w:rsid w:val="00E01639"/>
    <w:rsid w:val="00E04704"/>
    <w:rsid w:val="00E04DB6"/>
    <w:rsid w:val="00E06C3F"/>
    <w:rsid w:val="00E11D48"/>
    <w:rsid w:val="00E139C9"/>
    <w:rsid w:val="00E14286"/>
    <w:rsid w:val="00E170E4"/>
    <w:rsid w:val="00E17FC6"/>
    <w:rsid w:val="00E250B3"/>
    <w:rsid w:val="00E25153"/>
    <w:rsid w:val="00E260F6"/>
    <w:rsid w:val="00E30102"/>
    <w:rsid w:val="00E301D6"/>
    <w:rsid w:val="00E301E8"/>
    <w:rsid w:val="00E310D3"/>
    <w:rsid w:val="00E33AD6"/>
    <w:rsid w:val="00E33AE2"/>
    <w:rsid w:val="00E34542"/>
    <w:rsid w:val="00E41D78"/>
    <w:rsid w:val="00E44179"/>
    <w:rsid w:val="00E45753"/>
    <w:rsid w:val="00E47EBC"/>
    <w:rsid w:val="00E52032"/>
    <w:rsid w:val="00E52BC4"/>
    <w:rsid w:val="00E54F70"/>
    <w:rsid w:val="00E5565D"/>
    <w:rsid w:val="00E55D62"/>
    <w:rsid w:val="00E62FDE"/>
    <w:rsid w:val="00E65C14"/>
    <w:rsid w:val="00E66235"/>
    <w:rsid w:val="00E73D89"/>
    <w:rsid w:val="00E756E8"/>
    <w:rsid w:val="00E8379A"/>
    <w:rsid w:val="00E83E8D"/>
    <w:rsid w:val="00E849C1"/>
    <w:rsid w:val="00E90AE6"/>
    <w:rsid w:val="00E91FB1"/>
    <w:rsid w:val="00E932B8"/>
    <w:rsid w:val="00E9379E"/>
    <w:rsid w:val="00E93C33"/>
    <w:rsid w:val="00E95DAC"/>
    <w:rsid w:val="00E96C29"/>
    <w:rsid w:val="00EA1294"/>
    <w:rsid w:val="00EA2D30"/>
    <w:rsid w:val="00EA3E91"/>
    <w:rsid w:val="00EA5170"/>
    <w:rsid w:val="00EA5B60"/>
    <w:rsid w:val="00EA7F1C"/>
    <w:rsid w:val="00EB6C9C"/>
    <w:rsid w:val="00EB7504"/>
    <w:rsid w:val="00EC0314"/>
    <w:rsid w:val="00EC299B"/>
    <w:rsid w:val="00EC3060"/>
    <w:rsid w:val="00EC386D"/>
    <w:rsid w:val="00EC5411"/>
    <w:rsid w:val="00EC5607"/>
    <w:rsid w:val="00ED0B45"/>
    <w:rsid w:val="00ED2DD6"/>
    <w:rsid w:val="00ED4337"/>
    <w:rsid w:val="00ED4C3A"/>
    <w:rsid w:val="00ED60CA"/>
    <w:rsid w:val="00EE2B2B"/>
    <w:rsid w:val="00EE7231"/>
    <w:rsid w:val="00EF2F46"/>
    <w:rsid w:val="00EF4703"/>
    <w:rsid w:val="00EF4E77"/>
    <w:rsid w:val="00EF5EA2"/>
    <w:rsid w:val="00F131CA"/>
    <w:rsid w:val="00F16DE4"/>
    <w:rsid w:val="00F201AE"/>
    <w:rsid w:val="00F2070E"/>
    <w:rsid w:val="00F243CE"/>
    <w:rsid w:val="00F24B63"/>
    <w:rsid w:val="00F252F5"/>
    <w:rsid w:val="00F26770"/>
    <w:rsid w:val="00F32695"/>
    <w:rsid w:val="00F40165"/>
    <w:rsid w:val="00F42D3D"/>
    <w:rsid w:val="00F43194"/>
    <w:rsid w:val="00F435B8"/>
    <w:rsid w:val="00F474E8"/>
    <w:rsid w:val="00F476BE"/>
    <w:rsid w:val="00F507E3"/>
    <w:rsid w:val="00F51C6B"/>
    <w:rsid w:val="00F530CC"/>
    <w:rsid w:val="00F537D3"/>
    <w:rsid w:val="00F53C76"/>
    <w:rsid w:val="00F54096"/>
    <w:rsid w:val="00F5540A"/>
    <w:rsid w:val="00F56F2D"/>
    <w:rsid w:val="00F64C62"/>
    <w:rsid w:val="00F651A8"/>
    <w:rsid w:val="00F65ADB"/>
    <w:rsid w:val="00F66068"/>
    <w:rsid w:val="00F6656F"/>
    <w:rsid w:val="00F673EB"/>
    <w:rsid w:val="00F704D9"/>
    <w:rsid w:val="00F71EE4"/>
    <w:rsid w:val="00F8235E"/>
    <w:rsid w:val="00F826C1"/>
    <w:rsid w:val="00F838B0"/>
    <w:rsid w:val="00F90F4E"/>
    <w:rsid w:val="00F922B2"/>
    <w:rsid w:val="00F95B05"/>
    <w:rsid w:val="00FA0A2D"/>
    <w:rsid w:val="00FA1D83"/>
    <w:rsid w:val="00FA2897"/>
    <w:rsid w:val="00FA727D"/>
    <w:rsid w:val="00FB2B26"/>
    <w:rsid w:val="00FC0FC3"/>
    <w:rsid w:val="00FC55D7"/>
    <w:rsid w:val="00FC737F"/>
    <w:rsid w:val="00FC7710"/>
    <w:rsid w:val="00FD2343"/>
    <w:rsid w:val="00FD2795"/>
    <w:rsid w:val="00FD34A4"/>
    <w:rsid w:val="00FD3F0D"/>
    <w:rsid w:val="00FD4100"/>
    <w:rsid w:val="00FD4246"/>
    <w:rsid w:val="00FD577C"/>
    <w:rsid w:val="00FE4164"/>
    <w:rsid w:val="00FE5917"/>
    <w:rsid w:val="00FE6142"/>
    <w:rsid w:val="00FF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C3D62"/>
  <w15:chartTrackingRefBased/>
  <w15:docId w15:val="{D7D67904-7350-406F-BBE2-DCAE6C3C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CD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4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46C7"/>
    <w:pPr>
      <w:ind w:left="720"/>
      <w:contextualSpacing/>
    </w:pPr>
  </w:style>
  <w:style w:type="paragraph" w:styleId="FootnoteText">
    <w:name w:val="footnote text"/>
    <w:aliases w:val="Podrozdział,stile 1,Footnote1,Footnote2,Footnote3,Footnote4,Footnote5,Footnote6,Footnote7,Footnote8,Footnote9,Footnote10,Footnote11,Footnote21,Footnote31,Footnote41,Footnote51,Footnote61,Footnote71,Footnote81,Footnote91,single spa,Footno"/>
    <w:basedOn w:val="Normal"/>
    <w:link w:val="FootnoteTextChar"/>
    <w:uiPriority w:val="99"/>
    <w:qFormat/>
    <w:rsid w:val="008F4E9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bg-BG"/>
    </w:rPr>
  </w:style>
  <w:style w:type="character" w:customStyle="1" w:styleId="FootnoteTextChar">
    <w:name w:val="Footnote Text Char"/>
    <w:aliases w:val="Podrozdział Char,stile 1 Char,Footnote1 Char,Footnote2 Char,Footnote3 Char,Footnote4 Char,Footnote5 Char,Footnote6 Char,Footnote7 Char,Footnote8 Char,Footnote9 Char,Footnote10 Char,Footnote11 Char,Footnote21 Char,Footnote31 Char"/>
    <w:link w:val="FootnoteText"/>
    <w:uiPriority w:val="99"/>
    <w:rsid w:val="008F4E92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aliases w:val="Footnote symbol,Appel note de bas de p,SUPERS,Nota,(NECG) Footnote Reference,Voetnootverwijzing,Footnote Reference Superscript,BVI fnr,Lábjegyzet-hivatkozás,L?bjegyzet-hivatkoz?s,Char1 Char Char Char Char,ftref,Footnotes refss,Fussnot"/>
    <w:uiPriority w:val="99"/>
    <w:qFormat/>
    <w:rsid w:val="008F4E92"/>
    <w:rPr>
      <w:vertAlign w:val="superscript"/>
    </w:rPr>
  </w:style>
  <w:style w:type="paragraph" w:customStyle="1" w:styleId="Default">
    <w:name w:val="Default"/>
    <w:rsid w:val="00B16A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24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567"/>
  </w:style>
  <w:style w:type="paragraph" w:styleId="Footer">
    <w:name w:val="footer"/>
    <w:basedOn w:val="Normal"/>
    <w:link w:val="FooterChar"/>
    <w:uiPriority w:val="99"/>
    <w:unhideWhenUsed/>
    <w:rsid w:val="00624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567"/>
  </w:style>
  <w:style w:type="paragraph" w:styleId="BalloonText">
    <w:name w:val="Balloon Text"/>
    <w:basedOn w:val="Normal"/>
    <w:link w:val="BalloonTextChar"/>
    <w:uiPriority w:val="99"/>
    <w:semiHidden/>
    <w:unhideWhenUsed/>
    <w:rsid w:val="0062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456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B606E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C25F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5F1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25F1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F1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25F18"/>
    <w:rPr>
      <w:b/>
      <w:bCs/>
      <w:lang w:eastAsia="en-US"/>
    </w:rPr>
  </w:style>
  <w:style w:type="character" w:styleId="Hyperlink">
    <w:name w:val="Hyperlink"/>
    <w:uiPriority w:val="99"/>
    <w:unhideWhenUsed/>
    <w:rsid w:val="00687ACD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E14286"/>
    <w:rPr>
      <w:color w:val="954F72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60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60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20B2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0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transparency/documents-register/detail?ref=SWD(2025)302&amp;lang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D440A-C9C6-4BD9-A868-715D83143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2589</Words>
  <Characters>14759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17314</CharactersWithSpaces>
  <SharedDoc>false</SharedDoc>
  <HLinks>
    <vt:vector size="6" baseType="variant">
      <vt:variant>
        <vt:i4>3604531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https://ec.europa.eu/assets/rtd/eis/2022/ec_rtd_eis-country-profile-bg.pdf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MEET</dc:creator>
  <cp:keywords/>
  <dc:description/>
  <cp:lastModifiedBy>Administrator</cp:lastModifiedBy>
  <cp:revision>2</cp:revision>
  <cp:lastPrinted>2026-04-06T14:00:00Z</cp:lastPrinted>
  <dcterms:created xsi:type="dcterms:W3CDTF">2026-04-08T07:59:00Z</dcterms:created>
  <dcterms:modified xsi:type="dcterms:W3CDTF">2026-04-08T07:59:00Z</dcterms:modified>
</cp:coreProperties>
</file>