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979A" w14:textId="77777777" w:rsidR="00534597" w:rsidRPr="0001557D" w:rsidRDefault="0077214E">
      <w:pPr>
        <w:pStyle w:val="Standard"/>
        <w:rPr>
          <w:b/>
        </w:rPr>
      </w:pPr>
      <w:r>
        <w:tab/>
      </w:r>
      <w:r>
        <w:tab/>
      </w:r>
      <w:r>
        <w:tab/>
      </w:r>
      <w:r>
        <w:tab/>
      </w:r>
      <w:r>
        <w:tab/>
      </w:r>
      <w:r>
        <w:tab/>
      </w:r>
      <w:r>
        <w:tab/>
      </w:r>
      <w:r>
        <w:tab/>
      </w:r>
      <w:r>
        <w:tab/>
      </w:r>
      <w:r>
        <w:tab/>
      </w:r>
      <w:r>
        <w:tab/>
      </w:r>
      <w:r>
        <w:tab/>
      </w:r>
      <w:r w:rsidRPr="0001557D">
        <w:rPr>
          <w:b/>
        </w:rPr>
        <w:t>ПРОЕКТ</w:t>
      </w:r>
    </w:p>
    <w:p w14:paraId="538FA9D7" w14:textId="77777777" w:rsidR="00534597" w:rsidRDefault="00534597">
      <w:pPr>
        <w:pStyle w:val="Standard"/>
      </w:pPr>
    </w:p>
    <w:p w14:paraId="49736E1A" w14:textId="77777777" w:rsidR="00534597" w:rsidRDefault="00534597">
      <w:pPr>
        <w:pStyle w:val="Standard"/>
      </w:pPr>
    </w:p>
    <w:p w14:paraId="6C53C2D8" w14:textId="77777777" w:rsidR="0001557D" w:rsidRPr="0001557D" w:rsidRDefault="0077214E" w:rsidP="00627F8B">
      <w:pPr>
        <w:pStyle w:val="Standard"/>
        <w:ind w:left="4963" w:firstLine="709"/>
        <w:rPr>
          <w:b/>
        </w:rPr>
      </w:pPr>
      <w:r w:rsidRPr="0001557D">
        <w:rPr>
          <w:b/>
        </w:rPr>
        <w:t xml:space="preserve">ДО </w:t>
      </w:r>
    </w:p>
    <w:p w14:paraId="6466CBC8" w14:textId="77777777" w:rsidR="00534597" w:rsidRPr="0001557D" w:rsidRDefault="0077214E" w:rsidP="00627F8B">
      <w:pPr>
        <w:pStyle w:val="Standard"/>
        <w:ind w:left="4963" w:firstLine="709"/>
        <w:rPr>
          <w:b/>
        </w:rPr>
      </w:pPr>
      <w:r w:rsidRPr="0001557D">
        <w:rPr>
          <w:b/>
        </w:rPr>
        <w:t>МИНИСТЕРСКИЯ СЪВЕТ</w:t>
      </w:r>
    </w:p>
    <w:p w14:paraId="56A4A679" w14:textId="77777777" w:rsidR="00534597" w:rsidRDefault="0077214E" w:rsidP="00627F8B">
      <w:pPr>
        <w:pStyle w:val="Standard"/>
        <w:ind w:left="4963" w:firstLine="709"/>
      </w:pPr>
      <w:r w:rsidRPr="0001557D">
        <w:rPr>
          <w:b/>
        </w:rPr>
        <w:t>НА РЕПУБЛИКА БЪЛГАРИЯ</w:t>
      </w:r>
    </w:p>
    <w:p w14:paraId="0593629A" w14:textId="77777777" w:rsidR="00534597" w:rsidRDefault="00534597">
      <w:pPr>
        <w:pStyle w:val="Standard"/>
      </w:pPr>
    </w:p>
    <w:p w14:paraId="023A5DFA" w14:textId="77777777" w:rsidR="00534597" w:rsidRDefault="00534597">
      <w:pPr>
        <w:pStyle w:val="Standard"/>
      </w:pPr>
    </w:p>
    <w:p w14:paraId="143403DC" w14:textId="77777777" w:rsidR="00534597" w:rsidRDefault="00534597">
      <w:pPr>
        <w:pStyle w:val="Standard"/>
      </w:pPr>
    </w:p>
    <w:p w14:paraId="2A84BFB4" w14:textId="77777777" w:rsidR="00534597" w:rsidRDefault="00534597">
      <w:pPr>
        <w:pStyle w:val="Standard"/>
      </w:pPr>
    </w:p>
    <w:p w14:paraId="41BB3063" w14:textId="77777777" w:rsidR="00534597" w:rsidRDefault="00534597">
      <w:pPr>
        <w:pStyle w:val="Standard"/>
      </w:pPr>
    </w:p>
    <w:p w14:paraId="453C1131" w14:textId="77777777" w:rsidR="00534597" w:rsidRPr="0001557D" w:rsidRDefault="0077214E" w:rsidP="0001557D">
      <w:pPr>
        <w:pStyle w:val="Standard"/>
        <w:jc w:val="center"/>
        <w:rPr>
          <w:b/>
        </w:rPr>
      </w:pPr>
      <w:r w:rsidRPr="0001557D">
        <w:rPr>
          <w:b/>
        </w:rPr>
        <w:t>ДОКЛАД</w:t>
      </w:r>
    </w:p>
    <w:p w14:paraId="2C6C6CBA" w14:textId="77777777" w:rsidR="00D95F1C" w:rsidRDefault="0077214E" w:rsidP="0001557D">
      <w:pPr>
        <w:pStyle w:val="Standard"/>
        <w:jc w:val="center"/>
        <w:rPr>
          <w:b/>
        </w:rPr>
      </w:pPr>
      <w:r w:rsidRPr="0001557D">
        <w:rPr>
          <w:b/>
        </w:rPr>
        <w:t xml:space="preserve">ОТ </w:t>
      </w:r>
    </w:p>
    <w:p w14:paraId="5693F2F0" w14:textId="77777777" w:rsidR="00534597" w:rsidRPr="0001557D" w:rsidRDefault="0077214E" w:rsidP="0001557D">
      <w:pPr>
        <w:pStyle w:val="Standard"/>
        <w:jc w:val="center"/>
        <w:rPr>
          <w:b/>
        </w:rPr>
      </w:pPr>
      <w:r w:rsidRPr="0001557D">
        <w:rPr>
          <w:b/>
        </w:rPr>
        <w:t>ИРЕНА МЛАДЕНОВА – МИНИСТЪР НА ИНОВАЦИИТЕ И РАСТЕЖА</w:t>
      </w:r>
    </w:p>
    <w:p w14:paraId="04DBB317" w14:textId="77777777" w:rsidR="00534597" w:rsidRDefault="0077214E" w:rsidP="0001557D">
      <w:pPr>
        <w:pStyle w:val="Standard"/>
        <w:jc w:val="center"/>
        <w:rPr>
          <w:b/>
        </w:rPr>
      </w:pPr>
      <w:r w:rsidRPr="0001557D">
        <w:rPr>
          <w:b/>
        </w:rPr>
        <w:t>И ГЕОРГИ КЛИСУРСКИ –МИНИСТЪР НА ФИНАНСИТЕ</w:t>
      </w:r>
    </w:p>
    <w:p w14:paraId="7B721AEC" w14:textId="77777777" w:rsidR="0001557D" w:rsidRDefault="0001557D" w:rsidP="0001557D">
      <w:pPr>
        <w:pStyle w:val="Standard"/>
        <w:jc w:val="center"/>
        <w:rPr>
          <w:b/>
        </w:rPr>
      </w:pPr>
    </w:p>
    <w:p w14:paraId="637FB7F5" w14:textId="77777777" w:rsidR="0001557D" w:rsidRPr="0001557D" w:rsidRDefault="0001557D" w:rsidP="0001557D">
      <w:pPr>
        <w:pStyle w:val="Standard"/>
        <w:jc w:val="center"/>
        <w:rPr>
          <w:b/>
        </w:rPr>
      </w:pPr>
    </w:p>
    <w:p w14:paraId="35C12552" w14:textId="77777777" w:rsidR="00534597" w:rsidRDefault="00534597">
      <w:pPr>
        <w:pStyle w:val="Standard"/>
      </w:pPr>
    </w:p>
    <w:p w14:paraId="4DC1832B" w14:textId="77777777" w:rsidR="00534597" w:rsidRDefault="0077214E" w:rsidP="0001557D">
      <w:pPr>
        <w:pStyle w:val="Standard"/>
        <w:jc w:val="both"/>
      </w:pPr>
      <w:r w:rsidRPr="0001557D">
        <w:rPr>
          <w:b/>
        </w:rPr>
        <w:t>Относно:</w:t>
      </w:r>
      <w:r>
        <w:t xml:space="preserve"> Проект на Постановление на Министерския съвет</w:t>
      </w:r>
      <w:r w:rsidR="0020542B">
        <w:t xml:space="preserve"> за</w:t>
      </w:r>
      <w:r w:rsidR="0020542B" w:rsidRPr="0020542B">
        <w:t xml:space="preserve"> </w:t>
      </w:r>
      <w:r w:rsidR="0020542B">
        <w:t xml:space="preserve">определяне на </w:t>
      </w:r>
      <w:r w:rsidR="0020542B" w:rsidRPr="0020542B">
        <w:t>реда и начина на използване на ресурса, възстановен на финансовия инструмент по Оперативна програма „Инициатива за малки и средни предприятия“ 2014-2020 след края на периода на допустимост на разходите</w:t>
      </w:r>
    </w:p>
    <w:p w14:paraId="13D1F44C" w14:textId="77777777" w:rsidR="00534597" w:rsidRDefault="00534597">
      <w:pPr>
        <w:pStyle w:val="Standard"/>
      </w:pPr>
    </w:p>
    <w:p w14:paraId="7895BBC2" w14:textId="77777777" w:rsidR="00534597" w:rsidRDefault="00534597">
      <w:pPr>
        <w:pStyle w:val="Standard"/>
      </w:pPr>
    </w:p>
    <w:p w14:paraId="2350EB81" w14:textId="77777777" w:rsidR="00534597" w:rsidRPr="0001557D" w:rsidRDefault="0077214E" w:rsidP="0001557D">
      <w:pPr>
        <w:pStyle w:val="Standard"/>
        <w:ind w:firstLine="567"/>
        <w:rPr>
          <w:b/>
        </w:rPr>
      </w:pPr>
      <w:r w:rsidRPr="0001557D">
        <w:rPr>
          <w:b/>
        </w:rPr>
        <w:t>УВАЖАЕМИ ГОСПОДИН МИНИСТЪР-ПРЕДСЕДАТЕЛ,</w:t>
      </w:r>
    </w:p>
    <w:p w14:paraId="7267683C" w14:textId="77777777" w:rsidR="00534597" w:rsidRPr="0001557D" w:rsidRDefault="0077214E" w:rsidP="0001557D">
      <w:pPr>
        <w:pStyle w:val="Standard"/>
        <w:ind w:firstLine="567"/>
        <w:rPr>
          <w:b/>
        </w:rPr>
      </w:pPr>
      <w:r w:rsidRPr="0001557D">
        <w:rPr>
          <w:b/>
        </w:rPr>
        <w:t>УВАЖАЕМИ ГОСПОЖИ И ГОСПОДА МИНИСТРИ,</w:t>
      </w:r>
    </w:p>
    <w:p w14:paraId="0416C4BB" w14:textId="77777777" w:rsidR="00534597" w:rsidRDefault="00534597">
      <w:pPr>
        <w:pStyle w:val="Standard"/>
      </w:pPr>
    </w:p>
    <w:p w14:paraId="7885E204" w14:textId="77777777" w:rsidR="00534597" w:rsidRDefault="00534597">
      <w:pPr>
        <w:pStyle w:val="Standard"/>
      </w:pPr>
    </w:p>
    <w:p w14:paraId="433CBA79" w14:textId="77777777" w:rsidR="0020542B" w:rsidRDefault="0020542B" w:rsidP="0001557D">
      <w:pPr>
        <w:pStyle w:val="Standard"/>
        <w:spacing w:after="240"/>
        <w:ind w:firstLine="567"/>
        <w:jc w:val="both"/>
        <w:rPr>
          <w:rFonts w:eastAsia="Times New Roman" w:cs="Times New Roman"/>
        </w:rPr>
      </w:pPr>
      <w:r w:rsidRPr="0020542B">
        <w:rPr>
          <w:rFonts w:eastAsia="Times New Roman" w:cs="Times New Roman"/>
        </w:rPr>
        <w:t xml:space="preserve">На основание чл. 31, ал. 2 от Устройствения правилник на Министерския съвет и </w:t>
      </w:r>
      <w:r w:rsidR="00FB3D7F">
        <w:rPr>
          <w:rFonts w:eastAsia="Times New Roman" w:cs="Times New Roman"/>
        </w:rPr>
        <w:t xml:space="preserve">на </w:t>
      </w:r>
      <w:r w:rsidRPr="0020542B">
        <w:rPr>
          <w:rFonts w:eastAsia="Times New Roman" w:cs="Times New Roman"/>
        </w:rPr>
        <w:t>неговата администрация внасям</w:t>
      </w:r>
      <w:r>
        <w:rPr>
          <w:rFonts w:eastAsia="Times New Roman" w:cs="Times New Roman"/>
        </w:rPr>
        <w:t>е</w:t>
      </w:r>
      <w:r w:rsidRPr="0020542B">
        <w:rPr>
          <w:rFonts w:eastAsia="Times New Roman" w:cs="Times New Roman"/>
        </w:rPr>
        <w:t xml:space="preserve"> за разглеждане проект на Постановление на Министерския съвет за определяне на реда и начина на използване на възстановения ресурс от инвестиции във финансови инструменти или друга форма на подкрепа.</w:t>
      </w:r>
    </w:p>
    <w:p w14:paraId="0BCA9A16" w14:textId="77777777" w:rsidR="0020542B" w:rsidRDefault="0020542B" w:rsidP="0001557D">
      <w:pPr>
        <w:pStyle w:val="Standard"/>
        <w:spacing w:after="240"/>
        <w:ind w:firstLine="567"/>
        <w:jc w:val="both"/>
        <w:rPr>
          <w:rFonts w:eastAsia="Times New Roman" w:cs="Times New Roman"/>
        </w:rPr>
      </w:pPr>
      <w:r w:rsidRPr="0020542B">
        <w:rPr>
          <w:rFonts w:eastAsia="Times New Roman" w:cs="Times New Roman"/>
        </w:rPr>
        <w:t>1. Причини, които налагат приемането</w:t>
      </w:r>
      <w:r w:rsidR="0069134E">
        <w:rPr>
          <w:rFonts w:eastAsia="Times New Roman" w:cs="Times New Roman"/>
        </w:rPr>
        <w:t xml:space="preserve"> акта</w:t>
      </w:r>
    </w:p>
    <w:p w14:paraId="76860792" w14:textId="77777777" w:rsidR="00534597" w:rsidRDefault="0077214E" w:rsidP="0001557D">
      <w:pPr>
        <w:pStyle w:val="Standard"/>
        <w:spacing w:after="240"/>
        <w:ind w:firstLine="567"/>
        <w:jc w:val="both"/>
      </w:pPr>
      <w:r>
        <w:rPr>
          <w:rFonts w:eastAsia="Times New Roman" w:cs="Times New Roman"/>
        </w:rPr>
        <w:t>В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за програмния период 2014-2020 г. беше пред</w:t>
      </w:r>
      <w:r w:rsidR="009C63E1">
        <w:rPr>
          <w:rFonts w:eastAsia="Times New Roman" w:cs="Times New Roman"/>
        </w:rPr>
        <w:t>видено задължение към държавите-</w:t>
      </w:r>
      <w:r>
        <w:rPr>
          <w:rFonts w:eastAsia="Times New Roman" w:cs="Times New Roman"/>
        </w:rPr>
        <w:t>членки ресурсите, възстановени на финансовите инструменти, които могат да бъдат отнесени към подкрепата от европейските структурни и инвестиционни фондове, да се използват в съответствие с целите на програмата или програмите или в рамките на същия финансов инструмент, или — след излизането на тези ресурси от финансовия инструмент — в други финансови инструменти. Държавите следва да приемат необходимите мерки, за да гарантират, че тези ресурси, генерирани за период от поне осем години след края на периода на допустимост, следва да бъдат инвестирани отново след извършване на пазарна оценка за необходимостта от същите финансови инструменти или под друга форма на подкрепа.</w:t>
      </w:r>
    </w:p>
    <w:p w14:paraId="0EDD541E" w14:textId="77777777" w:rsidR="00534597" w:rsidRDefault="0077214E" w:rsidP="0001557D">
      <w:pPr>
        <w:pStyle w:val="Standard"/>
        <w:spacing w:after="120"/>
        <w:ind w:firstLine="567"/>
        <w:jc w:val="both"/>
      </w:pPr>
      <w:r>
        <w:rPr>
          <w:rFonts w:eastAsia="Times New Roman" w:cs="Times New Roman"/>
        </w:rPr>
        <w:t xml:space="preserve">В изпълнение на тази разпоредба Законът за управление на средствата от европейските </w:t>
      </w:r>
      <w:r>
        <w:rPr>
          <w:rFonts w:eastAsia="Times New Roman" w:cs="Times New Roman"/>
        </w:rPr>
        <w:lastRenderedPageBreak/>
        <w:t xml:space="preserve">фондове при споделено управление </w:t>
      </w:r>
      <w:r>
        <w:rPr>
          <w:rFonts w:eastAsia="Times New Roman" w:cs="Times New Roman"/>
          <w:lang w:val="en-US"/>
        </w:rPr>
        <w:t>(</w:t>
      </w:r>
      <w:r>
        <w:rPr>
          <w:rFonts w:eastAsia="Times New Roman" w:cs="Times New Roman"/>
        </w:rPr>
        <w:t>ЗУСЕФСУ</w:t>
      </w:r>
      <w:r>
        <w:rPr>
          <w:rFonts w:eastAsia="Times New Roman" w:cs="Times New Roman"/>
          <w:lang w:val="en-US"/>
        </w:rPr>
        <w:t xml:space="preserve">) </w:t>
      </w:r>
      <w:r>
        <w:rPr>
          <w:rFonts w:eastAsia="Times New Roman" w:cs="Times New Roman"/>
        </w:rPr>
        <w:t>съгласно чл. 5, ал. 5 (разпоредбата е обн. в ДВ, бр. 13 от 2020 г.) предвиди, че ресурсите, възстановени на финансовите инструменти от инвестиции или от освобождаването на ресурси, поети като задължение по договори за гаранции, включително изплащане на главници и печалби и други приходи или доходи, като лихви, гаранционни такси, дивиденти, капиталова печалба или всякакви други постъпления от инвестиции, които могат да бъдат отнесени към подкрепата от европейските фондове, генерирани след края на периода на допустимост на разходите и/или след изтичане на срока на финансовите споразумения, се прехвърлят на Националния фонд и се включват като активи на сметката за средства от Европ</w:t>
      </w:r>
      <w:r w:rsidR="00540729">
        <w:rPr>
          <w:rFonts w:eastAsia="Times New Roman" w:cs="Times New Roman"/>
        </w:rPr>
        <w:t>ейския съюз на Националния фонд. С</w:t>
      </w:r>
      <w:r w:rsidR="00540729" w:rsidRPr="00540729">
        <w:rPr>
          <w:rFonts w:eastAsia="Times New Roman" w:cs="Times New Roman"/>
        </w:rPr>
        <w:t>ъгласно чл. 5, ал</w:t>
      </w:r>
      <w:r w:rsidR="009C63E1">
        <w:rPr>
          <w:rFonts w:eastAsia="Times New Roman" w:cs="Times New Roman"/>
        </w:rPr>
        <w:t>. 6 от</w:t>
      </w:r>
      <w:r w:rsidR="00540729">
        <w:rPr>
          <w:rFonts w:eastAsia="Times New Roman" w:cs="Times New Roman"/>
        </w:rPr>
        <w:t xml:space="preserve"> същия закон</w:t>
      </w:r>
      <w:r w:rsidR="00540729" w:rsidRPr="00540729">
        <w:rPr>
          <w:rFonts w:eastAsia="Times New Roman" w:cs="Times New Roman"/>
        </w:rPr>
        <w:t xml:space="preserve"> </w:t>
      </w:r>
      <w:r w:rsidR="00540729">
        <w:rPr>
          <w:rFonts w:eastAsia="Times New Roman" w:cs="Times New Roman"/>
        </w:rPr>
        <w:t>р</w:t>
      </w:r>
      <w:r w:rsidR="00540729" w:rsidRPr="00540729">
        <w:rPr>
          <w:rFonts w:eastAsia="Times New Roman" w:cs="Times New Roman"/>
        </w:rPr>
        <w:t xml:space="preserve">едът и начинът на използване на ресурса </w:t>
      </w:r>
      <w:r w:rsidR="00540729">
        <w:rPr>
          <w:rFonts w:eastAsia="Times New Roman" w:cs="Times New Roman"/>
        </w:rPr>
        <w:t>следва да</w:t>
      </w:r>
      <w:r w:rsidR="00540729" w:rsidRPr="00540729">
        <w:rPr>
          <w:rFonts w:eastAsia="Times New Roman" w:cs="Times New Roman"/>
        </w:rPr>
        <w:t xml:space="preserve"> се определят с постановление на Министерския съвет по съвместно предложение на министъра на финансите и министъра, отговорен за изпълнението на мерките, които ще се финансират с ресурса.</w:t>
      </w:r>
    </w:p>
    <w:p w14:paraId="5BF0C1E9" w14:textId="77777777" w:rsidR="00534597" w:rsidRDefault="0077214E" w:rsidP="0001557D">
      <w:pPr>
        <w:pStyle w:val="Standard"/>
        <w:spacing w:after="120"/>
        <w:ind w:firstLine="567"/>
        <w:jc w:val="both"/>
        <w:rPr>
          <w:rFonts w:eastAsia="Times New Roman" w:cs="Times New Roman"/>
        </w:rPr>
      </w:pPr>
      <w:r>
        <w:rPr>
          <w:rFonts w:eastAsia="Times New Roman" w:cs="Times New Roman"/>
        </w:rPr>
        <w:t xml:space="preserve">Във връзка с горното и на основание чл. 31, ал. 2 от Устройствения правилник на Министерския съвет и </w:t>
      </w:r>
      <w:r w:rsidR="00FB3D7F">
        <w:rPr>
          <w:rFonts w:eastAsia="Times New Roman" w:cs="Times New Roman"/>
        </w:rPr>
        <w:t>на неговата администрация и предвид</w:t>
      </w:r>
      <w:r>
        <w:rPr>
          <w:rFonts w:eastAsia="Times New Roman" w:cs="Times New Roman"/>
        </w:rPr>
        <w:t xml:space="preserve"> чл. 5, ал. 6 от ЗУСЕФСУ (обн. в ДВ, бр. 51 от 2022 г.) предлагаме редът и начин</w:t>
      </w:r>
      <w:r w:rsidR="009C63E1">
        <w:rPr>
          <w:rFonts w:eastAsia="Times New Roman" w:cs="Times New Roman"/>
        </w:rPr>
        <w:t>ът</w:t>
      </w:r>
      <w:r>
        <w:rPr>
          <w:rFonts w:eastAsia="Times New Roman" w:cs="Times New Roman"/>
        </w:rPr>
        <w:t xml:space="preserve"> за използване на възстановения ресурс на финансовия инструмент по Оперативна програма „Инициатива за малки и средни предприятия“ 2014-2020 (ОПИМСП) след края на периода на допустимост на разходите да бъде регламентиран с приемане на </w:t>
      </w:r>
      <w:r w:rsidR="0020542B">
        <w:rPr>
          <w:rFonts w:eastAsia="Times New Roman" w:cs="Times New Roman"/>
        </w:rPr>
        <w:t xml:space="preserve">предложения проект на </w:t>
      </w:r>
      <w:r>
        <w:rPr>
          <w:rFonts w:eastAsia="Times New Roman" w:cs="Times New Roman"/>
        </w:rPr>
        <w:t>постановление на Министерския съвет.</w:t>
      </w:r>
    </w:p>
    <w:p w14:paraId="3E4BFEA2" w14:textId="77777777" w:rsidR="00534597" w:rsidRDefault="0077214E" w:rsidP="0001557D">
      <w:pPr>
        <w:pStyle w:val="Standard"/>
        <w:spacing w:after="120"/>
        <w:ind w:firstLine="567"/>
        <w:jc w:val="both"/>
        <w:rPr>
          <w:rFonts w:eastAsia="Times New Roman" w:cs="Times New Roman"/>
        </w:rPr>
      </w:pPr>
      <w:r>
        <w:rPr>
          <w:rFonts w:eastAsia="Times New Roman" w:cs="Times New Roman"/>
        </w:rPr>
        <w:t>Необходимостта от приемането на подзаконовия акт е свързана с липсата на нормативна уредба относно възстановени средства от европейските структурни и инвестиционни фондове. ЗУСЕФСУ определя случаите, в които няма действащо споразумение за управление на възстановените средства по финансови инструменти, това да се извършва с постановление на Министерския съвет. В тази връзка необходимостта от определяне на отговорна институция, която ще управлява възстановения ресурс по ОПИМСП, както и конкретните условия, въз основа на които ще се извършва това, се определя с подзаконов нормативен акт, изготвен от отговорните органи на изпълнителната власт за провеждане на политиката по управление на финансови инструменти, като част от ангажиментите по управление на помощта, предоставяна от ЕС.</w:t>
      </w:r>
    </w:p>
    <w:p w14:paraId="0474516A" w14:textId="77777777" w:rsidR="0020542B" w:rsidRDefault="0020542B" w:rsidP="0001557D">
      <w:pPr>
        <w:pStyle w:val="Standard"/>
        <w:spacing w:after="120"/>
        <w:ind w:firstLine="567"/>
        <w:jc w:val="both"/>
      </w:pPr>
      <w:r w:rsidRPr="0020542B">
        <w:t>2. Цели, които се поставят</w:t>
      </w:r>
      <w:r w:rsidR="0069134E">
        <w:t xml:space="preserve"> с приемането на акта</w:t>
      </w:r>
    </w:p>
    <w:p w14:paraId="7D640AB3" w14:textId="77777777" w:rsidR="00534597" w:rsidRDefault="0077214E" w:rsidP="0001557D">
      <w:pPr>
        <w:pStyle w:val="Standard"/>
        <w:spacing w:after="120"/>
        <w:ind w:firstLine="567"/>
        <w:jc w:val="both"/>
      </w:pPr>
      <w:r>
        <w:rPr>
          <w:rFonts w:eastAsia="Times New Roman" w:cs="Times New Roman"/>
        </w:rPr>
        <w:t>Проблемът относно липсата на нормативна уредба е свързан с уреждането на някои принципни въпроси с подзаконовата уредба, които имат за цел да определят задачите и ролите на отговорните институции и органи, както и сроковете и правилата, механизма и условията въз основа на които и в рамките на съответните програми, възстановения ресурс ще бъде реинвестиран. Да се създаде възможност за децентрализиране на инвестиционния подход чрез избор на лица, които да управляват ресурсите, като са отчитат спецификите на отделните програмни приоритети и цели. Да се осигури прозрачност и обоснованост при избора на тези лица и се предвидят правила за осъществяване на мониторинг върху реинвестирания ресурс с цел докладване и статистически анализи на очакваните пазарните ефекти. Не на последно място, да се гарантира  мултипликационния ефект на възстановените средства като се посочат правилата за реинвестиране във финансови инструменти или чрез друга форма на подкрепа, като се акцентира върху тенденциите за устойчивост и растеж въз основа на адекватна пазарна оценка.</w:t>
      </w:r>
    </w:p>
    <w:p w14:paraId="01FB61E7" w14:textId="77777777" w:rsidR="00534597" w:rsidRDefault="0077214E" w:rsidP="0001557D">
      <w:pPr>
        <w:pStyle w:val="Standard"/>
        <w:spacing w:after="120"/>
        <w:ind w:firstLine="567"/>
        <w:jc w:val="both"/>
      </w:pPr>
      <w:r>
        <w:rPr>
          <w:rFonts w:eastAsia="Times New Roman" w:cs="Times New Roman"/>
        </w:rPr>
        <w:t>Без решаването на този проблем възстановеният ресурс, който се включва в сметката за средства от Европейския съюз на Националния фонд, остава неизползваем без да спомага за реализирането на целите на програмите. С предложения акт се дава възможност тези средства да бъдат използвани в степен, която отговаря най-пълно на съществуващите пазарни нужди от инвестиции и/или друга форма на подкрепа в изпълнение на изискванията на европейското законодателство.</w:t>
      </w:r>
    </w:p>
    <w:p w14:paraId="23E78B8C" w14:textId="77777777" w:rsidR="00534597" w:rsidRDefault="0077214E" w:rsidP="0001557D">
      <w:pPr>
        <w:pStyle w:val="Standard"/>
        <w:spacing w:after="120"/>
        <w:ind w:firstLine="567"/>
        <w:jc w:val="both"/>
        <w:rPr>
          <w:rFonts w:eastAsia="Times New Roman" w:cs="Times New Roman"/>
        </w:rPr>
      </w:pPr>
      <w:r>
        <w:rPr>
          <w:rFonts w:eastAsia="Times New Roman" w:cs="Times New Roman"/>
        </w:rPr>
        <w:lastRenderedPageBreak/>
        <w:t xml:space="preserve">В тази връзка следва да се приемат отделни нормативни актове за всяка програма самостоятелно, по която няма сключени или действащи финансови споразумения след периода на допустимост на разходите за периода 2014-2020 г., с които да се регламентират тези отношения, като се отчетат конкретните условия за реинвестиране на тези ресурси с оглед спецификите на използваните финансови инструменти. </w:t>
      </w:r>
    </w:p>
    <w:p w14:paraId="04E14F49" w14:textId="77777777" w:rsidR="0020542B" w:rsidRPr="0020542B" w:rsidRDefault="0020542B" w:rsidP="0020542B">
      <w:pPr>
        <w:pStyle w:val="Standard"/>
        <w:spacing w:after="120"/>
        <w:ind w:firstLine="567"/>
        <w:jc w:val="both"/>
      </w:pPr>
      <w:r w:rsidRPr="0020542B">
        <w:t>3. Очаквани резултати от прилагането</w:t>
      </w:r>
      <w:r w:rsidR="00D95F1C">
        <w:t xml:space="preserve"> на акта</w:t>
      </w:r>
      <w:r w:rsidRPr="0020542B">
        <w:t>, включително финансови, ако има такива</w:t>
      </w:r>
    </w:p>
    <w:p w14:paraId="52AB4A55" w14:textId="77777777" w:rsidR="00540729" w:rsidRPr="00540729" w:rsidRDefault="0077214E" w:rsidP="00540729">
      <w:pPr>
        <w:pStyle w:val="Standard"/>
        <w:spacing w:after="120"/>
        <w:ind w:firstLine="567"/>
        <w:jc w:val="both"/>
        <w:rPr>
          <w:rFonts w:eastAsia="Times New Roman" w:cs="Times New Roman"/>
        </w:rPr>
      </w:pPr>
      <w:r>
        <w:rPr>
          <w:rFonts w:eastAsia="Times New Roman" w:cs="Times New Roman"/>
        </w:rPr>
        <w:t>Във връзка с горното, изготвения проект на нормативен акт съдържа разпоредби относно отговорните институции и органи, които имат преки задължения за управлението на тези средства, правилата за извършването на оценката на пазарните условия, действието на акта по отношение на сключените финансови споразумения и др. Предвидени са правила за определяне на лицата или органите, които ще предоставят ресурса или ще изпълняват финансов инструмент,</w:t>
      </w:r>
      <w:r w:rsidR="00540729">
        <w:rPr>
          <w:rFonts w:eastAsia="Times New Roman" w:cs="Times New Roman"/>
        </w:rPr>
        <w:t xml:space="preserve"> </w:t>
      </w:r>
      <w:r w:rsidR="00540729" w:rsidRPr="00540729">
        <w:rPr>
          <w:rFonts w:eastAsia="Times New Roman" w:cs="Times New Roman"/>
        </w:rPr>
        <w:t xml:space="preserve">както и условията за предоставянето на възстановения ресурс на финансов инструмент. </w:t>
      </w:r>
    </w:p>
    <w:p w14:paraId="104F7C2B" w14:textId="77777777" w:rsidR="007D5382" w:rsidRDefault="00540729" w:rsidP="007D5382">
      <w:pPr>
        <w:widowControl/>
        <w:tabs>
          <w:tab w:val="center" w:pos="4153"/>
          <w:tab w:val="right" w:pos="8306"/>
        </w:tabs>
        <w:suppressAutoHyphens w:val="0"/>
        <w:autoSpaceDN/>
        <w:spacing w:before="120"/>
        <w:ind w:firstLine="720"/>
        <w:jc w:val="both"/>
        <w:textAlignment w:val="auto"/>
        <w:rPr>
          <w:rFonts w:eastAsia="Times New Roman" w:cs="Times New Roman"/>
          <w:kern w:val="0"/>
          <w:szCs w:val="20"/>
          <w:lang w:eastAsia="en-US" w:bidi="ar-SA"/>
        </w:rPr>
      </w:pPr>
      <w:r w:rsidRPr="00540729">
        <w:rPr>
          <w:rFonts w:eastAsia="Times New Roman" w:cs="Times New Roman"/>
        </w:rPr>
        <w:t>По този начин се гарантира въз основа на прозрачен и законов механизъм използването на възстановения ресурс от финансови инструменти за инвестиционните цели и приоритети на програмите като се осигурява дългосрочен ефект на тези инвестиции най-малко за период от осем години от края на допустимост на разходите по съответните програми.</w:t>
      </w:r>
      <w:r w:rsidR="007D5382" w:rsidRPr="007D5382">
        <w:rPr>
          <w:rFonts w:eastAsia="Times New Roman" w:cs="Times New Roman"/>
          <w:kern w:val="0"/>
          <w:szCs w:val="20"/>
          <w:lang w:eastAsia="en-US" w:bidi="ar-SA"/>
        </w:rPr>
        <w:t xml:space="preserve"> </w:t>
      </w:r>
    </w:p>
    <w:p w14:paraId="545B3691" w14:textId="77777777" w:rsidR="007D5382" w:rsidRPr="007D5382" w:rsidRDefault="007D5382" w:rsidP="007D5382">
      <w:pPr>
        <w:widowControl/>
        <w:tabs>
          <w:tab w:val="center" w:pos="4153"/>
          <w:tab w:val="right" w:pos="8306"/>
        </w:tabs>
        <w:suppressAutoHyphens w:val="0"/>
        <w:autoSpaceDN/>
        <w:spacing w:before="120"/>
        <w:ind w:firstLine="720"/>
        <w:jc w:val="both"/>
        <w:textAlignment w:val="auto"/>
        <w:rPr>
          <w:rFonts w:eastAsia="Times New Roman" w:cs="Times New Roman"/>
          <w:kern w:val="0"/>
          <w:szCs w:val="20"/>
          <w:lang w:eastAsia="en-US" w:bidi="ar-SA"/>
        </w:rPr>
      </w:pPr>
      <w:r w:rsidRPr="007D5382">
        <w:rPr>
          <w:rFonts w:eastAsia="Times New Roman" w:cs="Times New Roman"/>
          <w:kern w:val="0"/>
          <w:szCs w:val="20"/>
          <w:lang w:eastAsia="en-US" w:bidi="ar-SA"/>
        </w:rPr>
        <w:t>За изпълнението на проекта на постановление на Министерския съвет не са необходими допълнителни разходи/трансфери/други плащания.</w:t>
      </w:r>
    </w:p>
    <w:p w14:paraId="4A493450" w14:textId="77777777" w:rsidR="007D5382" w:rsidRDefault="007D5382" w:rsidP="007D5382">
      <w:pPr>
        <w:widowControl/>
        <w:tabs>
          <w:tab w:val="center" w:pos="4153"/>
          <w:tab w:val="right" w:pos="8306"/>
        </w:tabs>
        <w:suppressAutoHyphens w:val="0"/>
        <w:autoSpaceDN/>
        <w:spacing w:before="120"/>
        <w:ind w:firstLine="720"/>
        <w:jc w:val="both"/>
        <w:textAlignment w:val="auto"/>
        <w:rPr>
          <w:rFonts w:eastAsia="Times New Roman" w:cs="Times New Roman"/>
          <w:bCs/>
          <w:kern w:val="0"/>
          <w:szCs w:val="20"/>
          <w:lang w:eastAsia="en-US" w:bidi="ar-SA"/>
        </w:rPr>
      </w:pPr>
      <w:r w:rsidRPr="007D5382">
        <w:rPr>
          <w:rFonts w:eastAsia="Times New Roman" w:cs="Times New Roman"/>
          <w:bCs/>
          <w:kern w:val="0"/>
          <w:szCs w:val="20"/>
          <w:lang w:eastAsia="en-US" w:bidi="ar-SA"/>
        </w:rPr>
        <w:t>Предложеният проект на акт няма да доведе до въздействие върху държавния бюджет на Република България, поради което към проекта на акт е приложена финансова обосновка съгласно приложение № 2.2 към чл. 35, ал. 1, т. 4, буква „б“ от Устройствения правилник на Министерския съвет и на неговата администрация.</w:t>
      </w:r>
    </w:p>
    <w:p w14:paraId="7568C085" w14:textId="77777777" w:rsidR="00540729" w:rsidRDefault="008436B6">
      <w:pPr>
        <w:pStyle w:val="Standard"/>
        <w:spacing w:before="120" w:after="120"/>
        <w:ind w:firstLine="567"/>
        <w:jc w:val="both"/>
        <w:rPr>
          <w:rFonts w:eastAsia="Times New Roman" w:cs="Times New Roman"/>
        </w:rPr>
      </w:pPr>
      <w:r>
        <w:rPr>
          <w:rFonts w:eastAsia="Times New Roman" w:cs="Times New Roman"/>
          <w:kern w:val="0"/>
          <w:lang w:eastAsia="en-US" w:bidi="ar-SA"/>
        </w:rPr>
        <w:t>4</w:t>
      </w:r>
      <w:r w:rsidR="007D5382" w:rsidRPr="007D5382">
        <w:rPr>
          <w:rFonts w:eastAsia="Times New Roman" w:cs="Times New Roman"/>
          <w:kern w:val="0"/>
          <w:lang w:eastAsia="en-US" w:bidi="ar-SA"/>
        </w:rPr>
        <w:t>. Анализ за съответствие с правото на Европейския</w:t>
      </w:r>
      <w:r w:rsidR="00D95F1C">
        <w:rPr>
          <w:rFonts w:eastAsia="Times New Roman" w:cs="Times New Roman"/>
          <w:kern w:val="0"/>
          <w:lang w:eastAsia="en-US" w:bidi="ar-SA"/>
        </w:rPr>
        <w:t xml:space="preserve"> съюз</w:t>
      </w:r>
    </w:p>
    <w:p w14:paraId="4EAE97E4" w14:textId="77777777" w:rsidR="007D5382" w:rsidRDefault="007D5382" w:rsidP="007D5382">
      <w:pPr>
        <w:widowControl/>
        <w:tabs>
          <w:tab w:val="center" w:pos="4153"/>
          <w:tab w:val="right" w:pos="8306"/>
        </w:tabs>
        <w:suppressAutoHyphens w:val="0"/>
        <w:autoSpaceDN/>
        <w:spacing w:before="120"/>
        <w:ind w:firstLine="720"/>
        <w:jc w:val="both"/>
        <w:textAlignment w:val="auto"/>
        <w:rPr>
          <w:rFonts w:eastAsia="Times New Roman" w:cs="Times New Roman"/>
          <w:kern w:val="0"/>
          <w:lang w:eastAsia="en-US" w:bidi="ar-SA"/>
        </w:rPr>
      </w:pPr>
      <w:r w:rsidRPr="007D5382">
        <w:rPr>
          <w:rFonts w:eastAsia="Times New Roman" w:cs="Times New Roman"/>
          <w:kern w:val="0"/>
          <w:lang w:eastAsia="en-US" w:bidi="ar-SA"/>
        </w:rPr>
        <w:t>С предложеният проект на Постановление на Министерския съвет не се въвеждат норми на европейското право, поради което не се налага изготвяне на анализ и таблица за съответствие с правото на Европейския съюз.</w:t>
      </w:r>
    </w:p>
    <w:p w14:paraId="1B05DD1F" w14:textId="77777777" w:rsidR="007D5382" w:rsidRPr="007D5382" w:rsidRDefault="007D5382" w:rsidP="007D5382">
      <w:pPr>
        <w:widowControl/>
        <w:tabs>
          <w:tab w:val="center" w:pos="4153"/>
          <w:tab w:val="right" w:pos="8306"/>
        </w:tabs>
        <w:suppressAutoHyphens w:val="0"/>
        <w:autoSpaceDN/>
        <w:spacing w:before="120"/>
        <w:ind w:firstLine="720"/>
        <w:jc w:val="both"/>
        <w:textAlignment w:val="auto"/>
        <w:rPr>
          <w:rFonts w:eastAsia="Times New Roman" w:cs="Times New Roman"/>
          <w:bCs/>
          <w:kern w:val="0"/>
          <w:lang w:eastAsia="en-US" w:bidi="ar-SA"/>
        </w:rPr>
      </w:pPr>
      <w:r w:rsidRPr="007D5382">
        <w:rPr>
          <w:rFonts w:eastAsia="Times New Roman" w:cs="Times New Roman"/>
          <w:bCs/>
          <w:kern w:val="0"/>
          <w:lang w:eastAsia="en-US" w:bidi="ar-SA"/>
        </w:rPr>
        <w:t>В изпълнение на чл. 20, ал. 2 от Закона за нормативните актове е извършена частична предварителна оценка на въздействието на проекта на Постановление. Съгласно Закон за нормативните актове, проектът на Постановление на Министерския съвет, докладът към него, частичната предварителна оценка на въздействието са били публикувани за обществено обсъждане на интернет страницата на Министерството на финансите и на Портала за обществени консултации.</w:t>
      </w:r>
    </w:p>
    <w:p w14:paraId="4B00B931" w14:textId="77777777" w:rsidR="007D5382" w:rsidRDefault="007D5382" w:rsidP="00627F8B">
      <w:pPr>
        <w:widowControl/>
        <w:tabs>
          <w:tab w:val="center" w:pos="4153"/>
          <w:tab w:val="right" w:pos="8306"/>
        </w:tabs>
        <w:suppressAutoHyphens w:val="0"/>
        <w:autoSpaceDN/>
        <w:ind w:firstLine="720"/>
        <w:jc w:val="both"/>
        <w:textAlignment w:val="auto"/>
        <w:rPr>
          <w:rFonts w:eastAsia="Times New Roman" w:cs="Times New Roman"/>
          <w:kern w:val="0"/>
          <w:lang w:eastAsia="en-US" w:bidi="ar-SA"/>
        </w:rPr>
      </w:pPr>
      <w:r w:rsidRPr="007D5382">
        <w:rPr>
          <w:rFonts w:eastAsia="Times New Roman" w:cs="Times New Roman"/>
          <w:kern w:val="0"/>
          <w:lang w:eastAsia="en-US" w:bidi="ar-SA"/>
        </w:rPr>
        <w:t xml:space="preserve">Материалите са съгласувани по реда на чл. 32 и чл. 34 от Устройствения правилник на Министерския съвет и на неговата администрация, като получените становища, заедно със справката за приетите и неприетите бележки, са приложение към настоящия доклад. </w:t>
      </w:r>
    </w:p>
    <w:p w14:paraId="75CD58DA" w14:textId="77777777" w:rsidR="007D5382" w:rsidRDefault="007D5382" w:rsidP="00627F8B">
      <w:pPr>
        <w:widowControl/>
        <w:tabs>
          <w:tab w:val="center" w:pos="4153"/>
          <w:tab w:val="right" w:pos="8306"/>
        </w:tabs>
        <w:suppressAutoHyphens w:val="0"/>
        <w:autoSpaceDN/>
        <w:ind w:firstLine="720"/>
        <w:jc w:val="both"/>
        <w:textAlignment w:val="auto"/>
        <w:rPr>
          <w:rFonts w:eastAsia="Times New Roman" w:cs="Times New Roman"/>
          <w:kern w:val="0"/>
          <w:lang w:eastAsia="en-US" w:bidi="ar-SA"/>
        </w:rPr>
      </w:pPr>
    </w:p>
    <w:p w14:paraId="61D68B0B" w14:textId="77777777" w:rsidR="007D5382" w:rsidRDefault="007D5382" w:rsidP="00627F8B">
      <w:pPr>
        <w:pStyle w:val="Standard"/>
        <w:ind w:firstLine="567"/>
        <w:jc w:val="both"/>
        <w:rPr>
          <w:rFonts w:eastAsia="Times New Roman" w:cs="Times New Roman"/>
        </w:rPr>
      </w:pPr>
      <w:r w:rsidRPr="00540729">
        <w:rPr>
          <w:rFonts w:eastAsia="Times New Roman" w:cs="Times New Roman"/>
        </w:rPr>
        <w:t>Проектът на постановление е изготвен съвместно</w:t>
      </w:r>
      <w:r w:rsidR="00114F68" w:rsidRPr="00114F68">
        <w:rPr>
          <w:rFonts w:eastAsia="Times New Roman" w:cs="Times New Roman"/>
        </w:rPr>
        <w:t xml:space="preserve"> </w:t>
      </w:r>
      <w:r w:rsidR="00114F68">
        <w:rPr>
          <w:rFonts w:eastAsia="Times New Roman" w:cs="Times New Roman"/>
        </w:rPr>
        <w:t xml:space="preserve">от </w:t>
      </w:r>
      <w:r w:rsidR="00114F68" w:rsidRPr="00540729">
        <w:rPr>
          <w:rFonts w:eastAsia="Times New Roman" w:cs="Times New Roman"/>
        </w:rPr>
        <w:t>министъра на иновациите и растежа</w:t>
      </w:r>
      <w:r w:rsidR="00114F68" w:rsidRPr="009C63E1">
        <w:rPr>
          <w:rFonts w:eastAsia="Times New Roman" w:cs="Times New Roman"/>
        </w:rPr>
        <w:t xml:space="preserve"> </w:t>
      </w:r>
      <w:r w:rsidR="00114F68">
        <w:rPr>
          <w:rFonts w:eastAsia="Times New Roman" w:cs="Times New Roman"/>
        </w:rPr>
        <w:t>и министъра на финансите</w:t>
      </w:r>
      <w:r w:rsidRPr="00540729">
        <w:rPr>
          <w:rFonts w:eastAsia="Times New Roman" w:cs="Times New Roman"/>
        </w:rPr>
        <w:t xml:space="preserve"> </w:t>
      </w:r>
      <w:r w:rsidR="00455EAD" w:rsidRPr="00455EAD">
        <w:rPr>
          <w:rFonts w:eastAsia="Times New Roman" w:cs="Times New Roman"/>
        </w:rPr>
        <w:t>в съответствие с разпоредба</w:t>
      </w:r>
      <w:r w:rsidR="00455EAD">
        <w:rPr>
          <w:rFonts w:eastAsia="Times New Roman" w:cs="Times New Roman"/>
        </w:rPr>
        <w:t>та на чл. 5, ал. 6 от ЗУСЕФСУ</w:t>
      </w:r>
      <w:r w:rsidRPr="00540729">
        <w:rPr>
          <w:rFonts w:eastAsia="Times New Roman" w:cs="Times New Roman"/>
        </w:rPr>
        <w:t xml:space="preserve">. В рамките на тези централни органи на изпълнителната власт са идентифицирани възстановени ресурси от финансови инструменти, за които няма действащи финансови споразумения между съответните управляващи органи на програми и финансови посредници или мениджъри за управление на тяхното реинвестиране след периода на допустимост на разходите в съответствие с европейските правила.  </w:t>
      </w:r>
    </w:p>
    <w:p w14:paraId="7EA11BE7" w14:textId="77777777" w:rsidR="007D5382" w:rsidRPr="007D5382" w:rsidRDefault="007D5382" w:rsidP="007D5382">
      <w:pPr>
        <w:suppressAutoHyphens w:val="0"/>
        <w:autoSpaceDE w:val="0"/>
        <w:adjustRightInd w:val="0"/>
        <w:ind w:firstLine="708"/>
        <w:jc w:val="both"/>
        <w:textAlignment w:val="auto"/>
        <w:rPr>
          <w:rFonts w:eastAsia="Times New Roman" w:cs="Times New Roman"/>
          <w:bCs/>
          <w:kern w:val="0"/>
          <w:lang w:eastAsia="en-US" w:bidi="ar-SA"/>
        </w:rPr>
      </w:pPr>
    </w:p>
    <w:p w14:paraId="05B8773D" w14:textId="77777777" w:rsidR="007D5382" w:rsidRPr="007D5382" w:rsidRDefault="007D5382" w:rsidP="007D5382">
      <w:pPr>
        <w:widowControl/>
        <w:suppressAutoHyphens w:val="0"/>
        <w:autoSpaceDN/>
        <w:spacing w:before="240" w:after="120"/>
        <w:ind w:firstLine="709"/>
        <w:jc w:val="both"/>
        <w:textAlignment w:val="auto"/>
        <w:rPr>
          <w:rFonts w:eastAsia="Times New Roman" w:cs="Times New Roman"/>
          <w:b/>
          <w:kern w:val="0"/>
          <w:lang w:eastAsia="en-US" w:bidi="ar-SA"/>
        </w:rPr>
      </w:pPr>
      <w:r w:rsidRPr="007D5382">
        <w:rPr>
          <w:rFonts w:eastAsia="Times New Roman" w:cs="Times New Roman"/>
          <w:b/>
          <w:kern w:val="0"/>
          <w:lang w:eastAsia="en-US" w:bidi="ar-SA"/>
        </w:rPr>
        <w:t>УВАЖАЕМИ ГОСПОДИН МИНИСТЪР-ПРЕДСЕДАТЕЛ,</w:t>
      </w:r>
    </w:p>
    <w:p w14:paraId="10C31EA1" w14:textId="77777777" w:rsidR="007D5382" w:rsidRPr="007D5382" w:rsidRDefault="007D5382" w:rsidP="007D5382">
      <w:pPr>
        <w:widowControl/>
        <w:suppressAutoHyphens w:val="0"/>
        <w:autoSpaceDN/>
        <w:spacing w:after="120"/>
        <w:ind w:firstLine="708"/>
        <w:jc w:val="both"/>
        <w:textAlignment w:val="auto"/>
        <w:rPr>
          <w:rFonts w:eastAsia="Times New Roman" w:cs="Times New Roman"/>
          <w:b/>
          <w:kern w:val="0"/>
          <w:lang w:eastAsia="en-US" w:bidi="ar-SA"/>
        </w:rPr>
      </w:pPr>
      <w:r w:rsidRPr="007D5382">
        <w:rPr>
          <w:rFonts w:eastAsia="Times New Roman" w:cs="Times New Roman"/>
          <w:b/>
          <w:kern w:val="0"/>
          <w:lang w:eastAsia="en-US" w:bidi="ar-SA"/>
        </w:rPr>
        <w:t>УВАЖАЕМИ ГОСПОЖИ И ГОСПОДА МИНИСТРИ,</w:t>
      </w:r>
    </w:p>
    <w:p w14:paraId="287AB432" w14:textId="77777777" w:rsidR="007D5382" w:rsidRPr="007D5382" w:rsidRDefault="007D5382" w:rsidP="007D5382">
      <w:pPr>
        <w:widowControl/>
        <w:suppressAutoHyphens w:val="0"/>
        <w:autoSpaceDN/>
        <w:spacing w:after="120"/>
        <w:ind w:firstLine="720"/>
        <w:jc w:val="both"/>
        <w:textAlignment w:val="auto"/>
        <w:rPr>
          <w:rFonts w:eastAsia="Times New Roman" w:cs="Times New Roman"/>
          <w:kern w:val="0"/>
          <w:lang w:eastAsia="en-US" w:bidi="ar-SA"/>
        </w:rPr>
      </w:pPr>
      <w:r w:rsidRPr="007D5382">
        <w:rPr>
          <w:rFonts w:eastAsia="Times New Roman" w:cs="Times New Roman"/>
          <w:kern w:val="0"/>
          <w:lang w:eastAsia="en-US" w:bidi="ar-SA"/>
        </w:rPr>
        <w:lastRenderedPageBreak/>
        <w:t xml:space="preserve">С оглед на гореизложеното и на основание чл. 8, ал. 2 от Устройствения правилник на Министерския съвет и на </w:t>
      </w:r>
      <w:r>
        <w:rPr>
          <w:rFonts w:eastAsia="Times New Roman" w:cs="Times New Roman"/>
          <w:kern w:val="0"/>
          <w:lang w:eastAsia="en-US" w:bidi="ar-SA"/>
        </w:rPr>
        <w:t>неговата администрация, пр</w:t>
      </w:r>
      <w:r>
        <w:t>едлагам</w:t>
      </w:r>
      <w:r>
        <w:rPr>
          <w:lang w:val="en-US"/>
        </w:rPr>
        <w:t>e</w:t>
      </w:r>
      <w:r>
        <w:t xml:space="preserve"> Министерският съвет да разгледа и приеме</w:t>
      </w:r>
      <w:r>
        <w:rPr>
          <w:lang w:val="en-US"/>
        </w:rPr>
        <w:t xml:space="preserve"> </w:t>
      </w:r>
      <w:r>
        <w:t>проекта на постановление за определяне на</w:t>
      </w:r>
      <w:r w:rsidRPr="0077214E">
        <w:t xml:space="preserve"> реда и начина на използване на ресурса, възстановен на финансовия инструмент по Оперативна програма „Инициатива за малки </w:t>
      </w:r>
      <w:r>
        <w:t>и средни предприятия“ 2014-2020</w:t>
      </w:r>
      <w:r w:rsidRPr="0077214E">
        <w:t xml:space="preserve"> след края на периода на допустимост на разходите</w:t>
      </w:r>
      <w:r>
        <w:t xml:space="preserve">. </w:t>
      </w:r>
    </w:p>
    <w:p w14:paraId="065FB45D" w14:textId="77777777" w:rsidR="007D5382" w:rsidRPr="007D5382" w:rsidRDefault="007D5382" w:rsidP="007D5382">
      <w:pPr>
        <w:widowControl/>
        <w:suppressAutoHyphens w:val="0"/>
        <w:autoSpaceDN/>
        <w:spacing w:before="120"/>
        <w:ind w:firstLine="709"/>
        <w:jc w:val="both"/>
        <w:textAlignment w:val="auto"/>
        <w:rPr>
          <w:rFonts w:eastAsia="Times New Roman" w:cs="Times New Roman"/>
          <w:b/>
          <w:kern w:val="0"/>
          <w:u w:val="single"/>
          <w:lang w:eastAsia="en-US" w:bidi="ar-SA"/>
        </w:rPr>
      </w:pPr>
    </w:p>
    <w:p w14:paraId="2097113B" w14:textId="77777777" w:rsidR="007D5382" w:rsidRPr="007D5382" w:rsidRDefault="007D5382" w:rsidP="007D5382">
      <w:pPr>
        <w:widowControl/>
        <w:suppressAutoHyphens w:val="0"/>
        <w:autoSpaceDN/>
        <w:spacing w:before="120"/>
        <w:ind w:firstLine="709"/>
        <w:jc w:val="both"/>
        <w:textAlignment w:val="auto"/>
        <w:rPr>
          <w:rFonts w:eastAsia="Times New Roman" w:cs="Times New Roman"/>
          <w:b/>
          <w:kern w:val="0"/>
          <w:u w:val="single"/>
          <w:lang w:eastAsia="en-US" w:bidi="ar-SA"/>
        </w:rPr>
      </w:pPr>
      <w:r w:rsidRPr="007D5382">
        <w:rPr>
          <w:rFonts w:eastAsia="Times New Roman" w:cs="Times New Roman"/>
          <w:b/>
          <w:kern w:val="0"/>
          <w:u w:val="single"/>
          <w:lang w:eastAsia="en-US" w:bidi="ar-SA"/>
        </w:rPr>
        <w:t>Приложения:</w:t>
      </w:r>
    </w:p>
    <w:p w14:paraId="5E7CB5CF" w14:textId="77777777" w:rsidR="007D5382" w:rsidRPr="007D5382" w:rsidRDefault="007D5382" w:rsidP="00627F8B">
      <w:pPr>
        <w:widowControl/>
        <w:numPr>
          <w:ilvl w:val="0"/>
          <w:numId w:val="2"/>
        </w:numPr>
        <w:suppressAutoHyphens w:val="0"/>
        <w:autoSpaceDN/>
        <w:spacing w:before="120" w:after="120"/>
        <w:contextualSpacing/>
        <w:jc w:val="both"/>
        <w:textAlignment w:val="auto"/>
        <w:rPr>
          <w:rFonts w:eastAsia="Times New Roman" w:cs="Times New Roman"/>
          <w:kern w:val="0"/>
          <w:lang w:eastAsia="en-US" w:bidi="ar-SA"/>
        </w:rPr>
      </w:pPr>
      <w:r w:rsidRPr="007D5382">
        <w:rPr>
          <w:rFonts w:eastAsia="Times New Roman" w:cs="Times New Roman"/>
          <w:kern w:val="0"/>
          <w:lang w:eastAsia="en-US" w:bidi="ar-SA"/>
        </w:rPr>
        <w:t xml:space="preserve">Проект на </w:t>
      </w:r>
      <w:r w:rsidRPr="007D5382">
        <w:rPr>
          <w:rFonts w:eastAsia="Times New Roman" w:cs="Times New Roman"/>
          <w:kern w:val="0"/>
          <w:lang w:val="en-US" w:eastAsia="en-US" w:bidi="ar-SA"/>
        </w:rPr>
        <w:t>Постановление на Министерския съвет за определяне на реда и начина на използване на възстановения ресурс от инвестиции във финансови инструменти или друга форма на подкрепа.</w:t>
      </w:r>
    </w:p>
    <w:p w14:paraId="7157BAEF" w14:textId="77777777" w:rsidR="007D5382" w:rsidRPr="007D5382" w:rsidRDefault="007D5382" w:rsidP="00627F8B">
      <w:pPr>
        <w:widowControl/>
        <w:numPr>
          <w:ilvl w:val="0"/>
          <w:numId w:val="2"/>
        </w:numPr>
        <w:suppressAutoHyphens w:val="0"/>
        <w:autoSpaceDN/>
        <w:spacing w:before="120" w:after="120"/>
        <w:ind w:left="1066" w:hanging="357"/>
        <w:contextualSpacing/>
        <w:jc w:val="both"/>
        <w:textAlignment w:val="auto"/>
        <w:rPr>
          <w:rFonts w:eastAsia="Times New Roman" w:cs="Times New Roman"/>
          <w:kern w:val="0"/>
          <w:lang w:eastAsia="en-US" w:bidi="ar-SA"/>
        </w:rPr>
      </w:pPr>
      <w:r w:rsidRPr="007D5382">
        <w:rPr>
          <w:rFonts w:eastAsia="Times New Roman" w:cs="Times New Roman"/>
          <w:kern w:val="0"/>
          <w:lang w:eastAsia="en-US" w:bidi="ar-SA"/>
        </w:rPr>
        <w:t>Одобрена финансова обосновка в съответствие с изискванията на чл. 35, ал. 1, т. 4, б. „б“ от УПМСНА.</w:t>
      </w:r>
    </w:p>
    <w:p w14:paraId="4DAB62E0" w14:textId="77777777" w:rsidR="007D5382" w:rsidRPr="007D5382" w:rsidRDefault="007D5382" w:rsidP="00627F8B">
      <w:pPr>
        <w:widowControl/>
        <w:numPr>
          <w:ilvl w:val="0"/>
          <w:numId w:val="2"/>
        </w:numPr>
        <w:suppressAutoHyphens w:val="0"/>
        <w:autoSpaceDN/>
        <w:spacing w:before="120" w:after="120"/>
        <w:ind w:left="1066" w:hanging="357"/>
        <w:contextualSpacing/>
        <w:jc w:val="both"/>
        <w:textAlignment w:val="auto"/>
        <w:rPr>
          <w:rFonts w:eastAsia="Times New Roman" w:cs="Times New Roman"/>
          <w:kern w:val="0"/>
          <w:lang w:eastAsia="en-US" w:bidi="ar-SA"/>
        </w:rPr>
      </w:pPr>
      <w:r w:rsidRPr="007D5382">
        <w:rPr>
          <w:rFonts w:eastAsia="Times New Roman" w:cs="Times New Roman"/>
          <w:kern w:val="0"/>
          <w:lang w:eastAsia="en-US" w:bidi="ar-SA"/>
        </w:rPr>
        <w:t>Постъпили становища по чл. 32 от УПМСНА и справка за отразяването им.</w:t>
      </w:r>
    </w:p>
    <w:p w14:paraId="42FD158C" w14:textId="77777777" w:rsidR="007D5382" w:rsidRPr="007D5382" w:rsidRDefault="007D5382" w:rsidP="00627F8B">
      <w:pPr>
        <w:widowControl/>
        <w:numPr>
          <w:ilvl w:val="0"/>
          <w:numId w:val="2"/>
        </w:numPr>
        <w:suppressAutoHyphens w:val="0"/>
        <w:autoSpaceDN/>
        <w:spacing w:before="120" w:after="120"/>
        <w:ind w:left="1066" w:hanging="357"/>
        <w:contextualSpacing/>
        <w:jc w:val="both"/>
        <w:textAlignment w:val="auto"/>
        <w:rPr>
          <w:rFonts w:eastAsia="Times New Roman" w:cs="Times New Roman"/>
          <w:kern w:val="0"/>
          <w:lang w:eastAsia="en-US" w:bidi="ar-SA"/>
        </w:rPr>
      </w:pPr>
      <w:r w:rsidRPr="007D5382">
        <w:rPr>
          <w:rFonts w:eastAsia="Times New Roman" w:cs="Times New Roman"/>
          <w:kern w:val="0"/>
          <w:lang w:eastAsia="en-US" w:bidi="ar-SA"/>
        </w:rPr>
        <w:t>Частична предварителна оценка на въздействието.</w:t>
      </w:r>
    </w:p>
    <w:p w14:paraId="02308477" w14:textId="77777777" w:rsidR="007D5382" w:rsidRPr="007D5382" w:rsidRDefault="007D5382" w:rsidP="00627F8B">
      <w:pPr>
        <w:widowControl/>
        <w:numPr>
          <w:ilvl w:val="0"/>
          <w:numId w:val="2"/>
        </w:numPr>
        <w:suppressAutoHyphens w:val="0"/>
        <w:autoSpaceDN/>
        <w:spacing w:before="120" w:after="120"/>
        <w:ind w:left="1066" w:hanging="357"/>
        <w:contextualSpacing/>
        <w:jc w:val="both"/>
        <w:textAlignment w:val="auto"/>
        <w:rPr>
          <w:rFonts w:eastAsia="Times New Roman" w:cs="Times New Roman"/>
          <w:kern w:val="0"/>
          <w:lang w:eastAsia="en-US" w:bidi="ar-SA"/>
        </w:rPr>
      </w:pPr>
      <w:r w:rsidRPr="007D5382">
        <w:rPr>
          <w:rFonts w:eastAsia="Times New Roman" w:cs="Times New Roman"/>
          <w:kern w:val="0"/>
          <w:lang w:eastAsia="en-US" w:bidi="ar-SA"/>
        </w:rPr>
        <w:t>Съобщение за средствата за масово осведомяване.</w:t>
      </w:r>
    </w:p>
    <w:p w14:paraId="1A566C3A" w14:textId="77777777" w:rsidR="007D5382" w:rsidRPr="007D5382" w:rsidRDefault="007D5382" w:rsidP="00627F8B">
      <w:pPr>
        <w:widowControl/>
        <w:numPr>
          <w:ilvl w:val="0"/>
          <w:numId w:val="2"/>
        </w:numPr>
        <w:suppressAutoHyphens w:val="0"/>
        <w:autoSpaceDN/>
        <w:spacing w:before="120" w:after="120"/>
        <w:ind w:left="1066" w:hanging="357"/>
        <w:contextualSpacing/>
        <w:jc w:val="both"/>
        <w:textAlignment w:val="auto"/>
        <w:rPr>
          <w:rFonts w:eastAsia="Times New Roman" w:cs="Times New Roman"/>
          <w:kern w:val="0"/>
          <w:lang w:eastAsia="en-US" w:bidi="ar-SA"/>
        </w:rPr>
      </w:pPr>
      <w:r w:rsidRPr="007D5382">
        <w:rPr>
          <w:rFonts w:eastAsia="Times New Roman" w:cs="Times New Roman"/>
          <w:kern w:val="0"/>
          <w:lang w:eastAsia="en-US" w:bidi="ar-SA"/>
        </w:rPr>
        <w:t>Постъпили становища и справка за отразяването им.</w:t>
      </w:r>
    </w:p>
    <w:p w14:paraId="008299E2" w14:textId="77777777" w:rsidR="007D5382" w:rsidRPr="007D5382" w:rsidRDefault="007D5382" w:rsidP="00627F8B">
      <w:pPr>
        <w:widowControl/>
        <w:numPr>
          <w:ilvl w:val="0"/>
          <w:numId w:val="2"/>
        </w:numPr>
        <w:suppressAutoHyphens w:val="0"/>
        <w:autoSpaceDN/>
        <w:spacing w:before="120" w:after="120"/>
        <w:ind w:left="1066" w:hanging="357"/>
        <w:contextualSpacing/>
        <w:jc w:val="both"/>
        <w:textAlignment w:val="auto"/>
        <w:rPr>
          <w:rFonts w:eastAsia="Times New Roman" w:cs="Times New Roman"/>
          <w:kern w:val="0"/>
          <w:lang w:val="en-US" w:eastAsia="en-US" w:bidi="ar-SA"/>
        </w:rPr>
      </w:pPr>
      <w:r w:rsidRPr="007D5382">
        <w:rPr>
          <w:rFonts w:eastAsia="Times New Roman" w:cs="Times New Roman"/>
          <w:kern w:val="0"/>
          <w:lang w:eastAsia="en-US" w:bidi="ar-SA"/>
        </w:rPr>
        <w:t>Електронен носител.</w:t>
      </w:r>
    </w:p>
    <w:p w14:paraId="2D562F0C" w14:textId="77777777" w:rsidR="007D5382" w:rsidRDefault="007D5382" w:rsidP="00540729">
      <w:pPr>
        <w:pStyle w:val="Standard"/>
        <w:spacing w:after="120"/>
        <w:ind w:firstLine="567"/>
        <w:jc w:val="both"/>
        <w:rPr>
          <w:rFonts w:eastAsia="Times New Roman" w:cs="Times New Roman"/>
        </w:rPr>
      </w:pPr>
    </w:p>
    <w:p w14:paraId="5E579ED3" w14:textId="77777777" w:rsidR="0077214E" w:rsidRDefault="0077214E" w:rsidP="007D5382">
      <w:pPr>
        <w:pStyle w:val="Standard"/>
        <w:spacing w:after="120"/>
        <w:ind w:firstLine="567"/>
        <w:jc w:val="both"/>
      </w:pPr>
    </w:p>
    <w:p w14:paraId="6274E439" w14:textId="77777777" w:rsidR="007D5382" w:rsidRDefault="007D5382" w:rsidP="007D5382">
      <w:pPr>
        <w:pStyle w:val="Standard"/>
        <w:spacing w:after="120"/>
        <w:ind w:firstLine="567"/>
        <w:jc w:val="both"/>
      </w:pPr>
    </w:p>
    <w:p w14:paraId="39643F84" w14:textId="77777777" w:rsidR="007D5382" w:rsidRPr="007D5382" w:rsidRDefault="007D5382" w:rsidP="007D5382">
      <w:pPr>
        <w:widowControl/>
        <w:suppressAutoHyphens w:val="0"/>
        <w:autoSpaceDN/>
        <w:ind w:left="3260" w:firstLine="340"/>
        <w:textAlignment w:val="auto"/>
        <w:rPr>
          <w:rFonts w:eastAsia="Times New Roman" w:cs="Times New Roman"/>
          <w:b/>
          <w:kern w:val="0"/>
          <w:szCs w:val="20"/>
          <w:lang w:eastAsia="en-US" w:bidi="ar-SA"/>
        </w:rPr>
      </w:pPr>
      <w:r>
        <w:rPr>
          <w:rFonts w:eastAsia="Times New Roman" w:cs="Times New Roman"/>
          <w:b/>
          <w:kern w:val="0"/>
          <w:szCs w:val="20"/>
          <w:lang w:eastAsia="en-US" w:bidi="ar-SA"/>
        </w:rPr>
        <w:t>ИРЕНА МЛАДЕНОВА</w:t>
      </w:r>
    </w:p>
    <w:p w14:paraId="55E57881" w14:textId="77777777" w:rsidR="007D5382" w:rsidRDefault="007D5382" w:rsidP="007D5382">
      <w:pPr>
        <w:widowControl/>
        <w:suppressAutoHyphens w:val="0"/>
        <w:autoSpaceDN/>
        <w:ind w:left="3261" w:firstLine="339"/>
        <w:textAlignment w:val="auto"/>
        <w:rPr>
          <w:rFonts w:eastAsia="Times New Roman" w:cs="Times New Roman"/>
          <w:b/>
          <w:kern w:val="0"/>
          <w:szCs w:val="20"/>
          <w:lang w:eastAsia="en-US" w:bidi="ar-SA"/>
        </w:rPr>
      </w:pPr>
      <w:r w:rsidRPr="007D5382">
        <w:rPr>
          <w:rFonts w:eastAsia="Times New Roman" w:cs="Times New Roman"/>
          <w:b/>
          <w:kern w:val="0"/>
          <w:szCs w:val="20"/>
          <w:lang w:eastAsia="en-US" w:bidi="ar-SA"/>
        </w:rPr>
        <w:t>МИНИСТЪР НА ИНОВАЦИИТЕ И РАЗСТЕЖА</w:t>
      </w:r>
    </w:p>
    <w:p w14:paraId="5F4CC6A0" w14:textId="77777777" w:rsidR="007D5382" w:rsidRDefault="007D5382" w:rsidP="007D5382">
      <w:pPr>
        <w:widowControl/>
        <w:suppressAutoHyphens w:val="0"/>
        <w:autoSpaceDN/>
        <w:ind w:left="3261" w:firstLine="339"/>
        <w:textAlignment w:val="auto"/>
        <w:rPr>
          <w:rFonts w:eastAsia="Times New Roman" w:cs="Times New Roman"/>
          <w:b/>
          <w:kern w:val="0"/>
          <w:szCs w:val="20"/>
          <w:lang w:eastAsia="en-US" w:bidi="ar-SA"/>
        </w:rPr>
      </w:pPr>
    </w:p>
    <w:p w14:paraId="1F6CD932" w14:textId="77777777" w:rsidR="007D5382" w:rsidRPr="007D5382" w:rsidRDefault="007D5382" w:rsidP="007D5382">
      <w:pPr>
        <w:widowControl/>
        <w:suppressAutoHyphens w:val="0"/>
        <w:autoSpaceDN/>
        <w:ind w:left="3261" w:firstLine="339"/>
        <w:textAlignment w:val="auto"/>
        <w:rPr>
          <w:rFonts w:eastAsia="Times New Roman" w:cs="Times New Roman"/>
          <w:b/>
          <w:kern w:val="0"/>
          <w:szCs w:val="20"/>
          <w:lang w:eastAsia="en-US" w:bidi="ar-SA"/>
        </w:rPr>
      </w:pPr>
    </w:p>
    <w:p w14:paraId="2DD50A50" w14:textId="77777777" w:rsidR="007D5382" w:rsidRPr="007D5382" w:rsidRDefault="007D5382" w:rsidP="00627F8B">
      <w:pPr>
        <w:widowControl/>
        <w:suppressAutoHyphens w:val="0"/>
        <w:autoSpaceDN/>
        <w:ind w:left="3261" w:firstLine="339"/>
        <w:jc w:val="both"/>
        <w:textAlignment w:val="auto"/>
        <w:rPr>
          <w:rFonts w:eastAsia="Times New Roman" w:cs="Times New Roman"/>
          <w:b/>
          <w:kern w:val="0"/>
          <w:szCs w:val="20"/>
          <w:lang w:eastAsia="en-US" w:bidi="ar-SA"/>
        </w:rPr>
      </w:pPr>
      <w:r>
        <w:rPr>
          <w:rFonts w:eastAsia="Times New Roman" w:cs="Times New Roman"/>
          <w:b/>
          <w:kern w:val="0"/>
          <w:szCs w:val="20"/>
          <w:lang w:eastAsia="en-US" w:bidi="ar-SA"/>
        </w:rPr>
        <w:t>ГЕОРГИ КЛИСУРСКИ</w:t>
      </w:r>
    </w:p>
    <w:p w14:paraId="60F96CE9" w14:textId="77777777" w:rsidR="007D5382" w:rsidRPr="007D5382" w:rsidRDefault="007D5382" w:rsidP="007D5382">
      <w:pPr>
        <w:widowControl/>
        <w:suppressAutoHyphens w:val="0"/>
        <w:autoSpaceDN/>
        <w:ind w:left="3600"/>
        <w:textAlignment w:val="auto"/>
        <w:rPr>
          <w:rFonts w:eastAsia="Times New Roman" w:cs="Times New Roman"/>
          <w:b/>
          <w:kern w:val="0"/>
          <w:szCs w:val="20"/>
          <w:lang w:eastAsia="en-US" w:bidi="ar-SA"/>
        </w:rPr>
      </w:pPr>
      <w:r w:rsidRPr="007D5382">
        <w:rPr>
          <w:rFonts w:eastAsia="Times New Roman" w:cs="Times New Roman"/>
          <w:b/>
          <w:kern w:val="0"/>
          <w:szCs w:val="20"/>
          <w:lang w:eastAsia="en-US" w:bidi="ar-SA"/>
        </w:rPr>
        <w:t>МИНИСТЪР НА ФИНАНСИТЕ</w:t>
      </w:r>
    </w:p>
    <w:p w14:paraId="5BD41C48" w14:textId="77777777" w:rsidR="007D5382" w:rsidRPr="007D5382" w:rsidRDefault="007D5382" w:rsidP="007D5382">
      <w:pPr>
        <w:widowControl/>
        <w:suppressAutoHyphens w:val="0"/>
        <w:autoSpaceDN/>
        <w:ind w:left="3261" w:firstLine="339"/>
        <w:textAlignment w:val="auto"/>
        <w:rPr>
          <w:rFonts w:eastAsia="Times New Roman" w:cs="Times New Roman"/>
          <w:b/>
          <w:kern w:val="0"/>
          <w:szCs w:val="20"/>
          <w:lang w:eastAsia="en-US" w:bidi="ar-SA"/>
        </w:rPr>
      </w:pPr>
    </w:p>
    <w:p w14:paraId="734DD6BC" w14:textId="77777777" w:rsidR="007D5382" w:rsidRPr="007D5382" w:rsidRDefault="007D5382" w:rsidP="007D5382">
      <w:pPr>
        <w:widowControl/>
        <w:suppressAutoHyphens w:val="0"/>
        <w:autoSpaceDN/>
        <w:ind w:left="3261" w:firstLine="339"/>
        <w:textAlignment w:val="auto"/>
        <w:rPr>
          <w:rFonts w:eastAsia="Times New Roman" w:cs="Times New Roman"/>
          <w:b/>
          <w:kern w:val="0"/>
          <w:szCs w:val="20"/>
          <w:lang w:eastAsia="en-US" w:bidi="ar-SA"/>
        </w:rPr>
      </w:pPr>
    </w:p>
    <w:p w14:paraId="0C33EFAC" w14:textId="77777777" w:rsidR="007D5382" w:rsidRDefault="007D5382" w:rsidP="007D5382">
      <w:pPr>
        <w:pStyle w:val="Standard"/>
        <w:spacing w:after="120"/>
        <w:ind w:firstLine="567"/>
        <w:jc w:val="both"/>
      </w:pPr>
    </w:p>
    <w:sectPr w:rsidR="007D538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C0E2" w14:textId="77777777" w:rsidR="00037AB5" w:rsidRDefault="00037AB5">
      <w:r>
        <w:separator/>
      </w:r>
    </w:p>
  </w:endnote>
  <w:endnote w:type="continuationSeparator" w:id="0">
    <w:p w14:paraId="05F6D421" w14:textId="77777777" w:rsidR="00037AB5" w:rsidRDefault="0003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Þ-?§Þ?§Ô?§Þ??§Þ¡ì§×"/>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5374" w14:textId="77777777" w:rsidR="00037AB5" w:rsidRDefault="00037AB5">
      <w:r>
        <w:rPr>
          <w:color w:val="000000"/>
        </w:rPr>
        <w:separator/>
      </w:r>
    </w:p>
  </w:footnote>
  <w:footnote w:type="continuationSeparator" w:id="0">
    <w:p w14:paraId="594209E4" w14:textId="77777777" w:rsidR="00037AB5" w:rsidRDefault="00037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4A2"/>
    <w:multiLevelType w:val="hybridMultilevel"/>
    <w:tmpl w:val="FFFFFFFF"/>
    <w:lvl w:ilvl="0" w:tplc="D5F48BF2">
      <w:start w:val="1"/>
      <w:numFmt w:val="decimal"/>
      <w:lvlText w:val="%1."/>
      <w:lvlJc w:val="left"/>
      <w:pPr>
        <w:ind w:left="987" w:hanging="360"/>
      </w:pPr>
      <w:rPr>
        <w:rFonts w:cs="Times New Roman" w:hint="default"/>
      </w:rPr>
    </w:lvl>
    <w:lvl w:ilvl="1" w:tplc="04090019" w:tentative="1">
      <w:start w:val="1"/>
      <w:numFmt w:val="lowerLetter"/>
      <w:lvlText w:val="%2."/>
      <w:lvlJc w:val="left"/>
      <w:pPr>
        <w:ind w:left="1707" w:hanging="360"/>
      </w:pPr>
      <w:rPr>
        <w:rFonts w:cs="Times New Roman"/>
      </w:rPr>
    </w:lvl>
    <w:lvl w:ilvl="2" w:tplc="0409001B" w:tentative="1">
      <w:start w:val="1"/>
      <w:numFmt w:val="lowerRoman"/>
      <w:lvlText w:val="%3."/>
      <w:lvlJc w:val="right"/>
      <w:pPr>
        <w:ind w:left="2427" w:hanging="180"/>
      </w:pPr>
      <w:rPr>
        <w:rFonts w:cs="Times New Roman"/>
      </w:rPr>
    </w:lvl>
    <w:lvl w:ilvl="3" w:tplc="0409000F" w:tentative="1">
      <w:start w:val="1"/>
      <w:numFmt w:val="decimal"/>
      <w:lvlText w:val="%4."/>
      <w:lvlJc w:val="left"/>
      <w:pPr>
        <w:ind w:left="3147" w:hanging="360"/>
      </w:pPr>
      <w:rPr>
        <w:rFonts w:cs="Times New Roman"/>
      </w:rPr>
    </w:lvl>
    <w:lvl w:ilvl="4" w:tplc="04090019" w:tentative="1">
      <w:start w:val="1"/>
      <w:numFmt w:val="lowerLetter"/>
      <w:lvlText w:val="%5."/>
      <w:lvlJc w:val="left"/>
      <w:pPr>
        <w:ind w:left="3867" w:hanging="360"/>
      </w:pPr>
      <w:rPr>
        <w:rFonts w:cs="Times New Roman"/>
      </w:rPr>
    </w:lvl>
    <w:lvl w:ilvl="5" w:tplc="0409001B" w:tentative="1">
      <w:start w:val="1"/>
      <w:numFmt w:val="lowerRoman"/>
      <w:lvlText w:val="%6."/>
      <w:lvlJc w:val="right"/>
      <w:pPr>
        <w:ind w:left="4587" w:hanging="180"/>
      </w:pPr>
      <w:rPr>
        <w:rFonts w:cs="Times New Roman"/>
      </w:rPr>
    </w:lvl>
    <w:lvl w:ilvl="6" w:tplc="0409000F" w:tentative="1">
      <w:start w:val="1"/>
      <w:numFmt w:val="decimal"/>
      <w:lvlText w:val="%7."/>
      <w:lvlJc w:val="left"/>
      <w:pPr>
        <w:ind w:left="5307" w:hanging="360"/>
      </w:pPr>
      <w:rPr>
        <w:rFonts w:cs="Times New Roman"/>
      </w:rPr>
    </w:lvl>
    <w:lvl w:ilvl="7" w:tplc="04090019" w:tentative="1">
      <w:start w:val="1"/>
      <w:numFmt w:val="lowerLetter"/>
      <w:lvlText w:val="%8."/>
      <w:lvlJc w:val="left"/>
      <w:pPr>
        <w:ind w:left="6027" w:hanging="360"/>
      </w:pPr>
      <w:rPr>
        <w:rFonts w:cs="Times New Roman"/>
      </w:rPr>
    </w:lvl>
    <w:lvl w:ilvl="8" w:tplc="0409001B" w:tentative="1">
      <w:start w:val="1"/>
      <w:numFmt w:val="lowerRoman"/>
      <w:lvlText w:val="%9."/>
      <w:lvlJc w:val="right"/>
      <w:pPr>
        <w:ind w:left="6747" w:hanging="180"/>
      </w:pPr>
      <w:rPr>
        <w:rFonts w:cs="Times New Roman"/>
      </w:rPr>
    </w:lvl>
  </w:abstractNum>
  <w:abstractNum w:abstractNumId="1" w15:restartNumberingAfterBreak="0">
    <w:nsid w:val="36FC24B6"/>
    <w:multiLevelType w:val="hybridMultilevel"/>
    <w:tmpl w:val="FFFFFFFF"/>
    <w:lvl w:ilvl="0" w:tplc="724E9A40">
      <w:start w:val="1"/>
      <w:numFmt w:val="decimal"/>
      <w:lvlText w:val="%1."/>
      <w:lvlJc w:val="left"/>
      <w:pPr>
        <w:ind w:left="1069" w:hanging="360"/>
      </w:pPr>
      <w:rPr>
        <w:rFonts w:cs="Times New Roman" w:hint="default"/>
        <w:b w:val="0"/>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num w:numId="1" w16cid:durableId="1105492796">
    <w:abstractNumId w:val="0"/>
  </w:num>
  <w:num w:numId="2" w16cid:durableId="187866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97"/>
    <w:rsid w:val="0001557D"/>
    <w:rsid w:val="00032492"/>
    <w:rsid w:val="00037AB5"/>
    <w:rsid w:val="00087DD9"/>
    <w:rsid w:val="00114F68"/>
    <w:rsid w:val="00180BC9"/>
    <w:rsid w:val="001A34D9"/>
    <w:rsid w:val="0020542B"/>
    <w:rsid w:val="003B267B"/>
    <w:rsid w:val="00455EAD"/>
    <w:rsid w:val="00534597"/>
    <w:rsid w:val="00540729"/>
    <w:rsid w:val="00627F8B"/>
    <w:rsid w:val="0069134E"/>
    <w:rsid w:val="00761A61"/>
    <w:rsid w:val="0077214E"/>
    <w:rsid w:val="007D5382"/>
    <w:rsid w:val="008436B6"/>
    <w:rsid w:val="008A146B"/>
    <w:rsid w:val="009C63E1"/>
    <w:rsid w:val="00A30E71"/>
    <w:rsid w:val="00D95F1C"/>
    <w:rsid w:val="00EB7D6D"/>
    <w:rsid w:val="00FB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CAF29A"/>
  <w14:defaultImageDpi w14:val="0"/>
  <w15:docId w15:val="{C5BA8595-1811-44FF-8F66-3566A69C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3"/>
        <w:sz w:val="24"/>
        <w:szCs w:val="24"/>
        <w:lang w:val="bg-BG" w:eastAsia="zh-CN" w:bidi="ar-SA"/>
      </w:rPr>
    </w:rPrDefault>
    <w:pPrDefault>
      <w:pPr>
        <w:widowControl w:val="0"/>
        <w:suppressAutoHyphens/>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pPr>
    <w:rPr>
      <w:rFonts w:cs="Arial"/>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autoSpaceDN w:val="0"/>
    </w:pPr>
    <w:rPr>
      <w:rFonts w:cs="Arial"/>
      <w:lang w:bidi="hi-IN"/>
    </w:rPr>
  </w:style>
  <w:style w:type="paragraph" w:styleId="Title">
    <w:name w:val="Title"/>
    <w:basedOn w:val="Standard"/>
    <w:next w:val="Textbody"/>
    <w:link w:val="TitleChar"/>
    <w:uiPriority w:val="10"/>
    <w:pPr>
      <w:keepNext/>
      <w:spacing w:before="240" w:after="120"/>
    </w:pPr>
    <w:rPr>
      <w:rFonts w:ascii="Arial" w:eastAsia="Microsoft YaHei" w:hAnsi="Arial"/>
      <w:sz w:val="28"/>
      <w:szCs w:val="28"/>
    </w:rPr>
  </w:style>
  <w:style w:type="character" w:customStyle="1" w:styleId="TitleChar">
    <w:name w:val="Title Char"/>
    <w:basedOn w:val="DefaultParagraphFont"/>
    <w:link w:val="Title"/>
    <w:uiPriority w:val="10"/>
    <w:locked/>
    <w:rPr>
      <w:rFonts w:asciiTheme="majorHAnsi" w:eastAsiaTheme="majorEastAsia" w:hAnsiTheme="majorHAnsi" w:cs="Mangal"/>
      <w:b/>
      <w:bCs/>
      <w:kern w:val="28"/>
      <w:sz w:val="29"/>
      <w:szCs w:val="29"/>
      <w:lang w:bidi="hi-IN"/>
    </w:rPr>
  </w:style>
  <w:style w:type="paragraph" w:customStyle="1" w:styleId="Textbody">
    <w:name w:val="Text body"/>
    <w:basedOn w:val="Standard"/>
    <w:pPr>
      <w:spacing w:after="120"/>
    </w:pPr>
  </w:style>
  <w:style w:type="paragraph" w:styleId="List">
    <w:name w:val="List"/>
    <w:basedOn w:val="Textbody"/>
    <w:uiPriority w:val="99"/>
  </w:style>
  <w:style w:type="paragraph" w:styleId="Caption">
    <w:name w:val="caption"/>
    <w:basedOn w:val="Standard"/>
    <w:uiPriority w:val="35"/>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link w:val="BalloonTextChar"/>
    <w:uiPriority w:val="99"/>
    <w:semiHidden/>
    <w:unhideWhenUsed/>
    <w:rsid w:val="007D5382"/>
    <w:rPr>
      <w:rFonts w:ascii="Segoe UI" w:hAnsi="Segoe UI" w:cs="Mangal"/>
      <w:sz w:val="18"/>
      <w:szCs w:val="16"/>
    </w:rPr>
  </w:style>
  <w:style w:type="character" w:customStyle="1" w:styleId="BalloonTextChar">
    <w:name w:val="Balloon Text Char"/>
    <w:basedOn w:val="DefaultParagraphFont"/>
    <w:link w:val="BalloonText"/>
    <w:uiPriority w:val="99"/>
    <w:semiHidden/>
    <w:locked/>
    <w:rsid w:val="007D5382"/>
    <w:rPr>
      <w:rFonts w:ascii="Segoe UI" w:hAnsi="Segoe UI" w:cs="Mangal"/>
      <w:sz w:val="16"/>
      <w:szCs w:val="16"/>
    </w:rPr>
  </w:style>
  <w:style w:type="paragraph" w:styleId="Revision">
    <w:name w:val="Revision"/>
    <w:hidden/>
    <w:uiPriority w:val="99"/>
    <w:semiHidden/>
    <w:rsid w:val="00761A61"/>
    <w:pPr>
      <w:widowControl/>
      <w:suppressAutoHyphens w:val="0"/>
      <w:textAlignment w:val="auto"/>
    </w:pPr>
    <w:rPr>
      <w:rFonts w:cs="Mangal"/>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1582</Words>
  <Characters>9019</Characters>
  <Application>Microsoft Office Word</Application>
  <DocSecurity>0</DocSecurity>
  <Lines>75</Lines>
  <Paragraphs>21</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Доросиева</dc:creator>
  <cp:keywords/>
  <dc:description/>
  <cp:lastModifiedBy>VS</cp:lastModifiedBy>
  <cp:revision>2</cp:revision>
  <dcterms:created xsi:type="dcterms:W3CDTF">2026-03-26T15:34:00Z</dcterms:created>
  <dcterms:modified xsi:type="dcterms:W3CDTF">2026-03-26T15:34:00Z</dcterms:modified>
</cp:coreProperties>
</file>