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D92F1" w14:textId="77777777" w:rsidR="00E0638A" w:rsidRPr="00790FA1" w:rsidRDefault="00790FA1">
      <w:pPr>
        <w:pStyle w:val="Heading3"/>
        <w:spacing w:after="321"/>
        <w:jc w:val="center"/>
        <w:rPr>
          <w:b/>
          <w:bCs/>
          <w:sz w:val="28"/>
          <w:szCs w:val="28"/>
          <w:lang w:val="bg-BG"/>
        </w:rPr>
      </w:pPr>
      <w:bookmarkStart w:id="0" w:name="_GoBack"/>
      <w:bookmarkEnd w:id="0"/>
      <w:r>
        <w:rPr>
          <w:b/>
          <w:bCs/>
          <w:sz w:val="28"/>
          <w:szCs w:val="28"/>
          <w:lang w:val="bg-BG"/>
        </w:rPr>
        <w:t>ПРАВИЛНИК ЗА НАБЛЮДЕНИЕ И ОЦЕНКА НА ДЕЙНОСТТА НА НАЦИОНАЛНИЯ ИНОВАЦИОНЕН ФОНД</w:t>
      </w:r>
    </w:p>
    <w:p w14:paraId="53CB279A" w14:textId="77777777" w:rsidR="00485C91" w:rsidRPr="0014522D" w:rsidRDefault="00825E48">
      <w:pPr>
        <w:spacing w:before="120"/>
        <w:ind w:firstLine="990"/>
        <w:jc w:val="both"/>
        <w:rPr>
          <w:lang w:val="bg-BG"/>
        </w:rPr>
      </w:pPr>
      <w:r w:rsidRPr="0014522D">
        <w:rPr>
          <w:lang w:val="bg-BG"/>
        </w:rPr>
        <w:t>Издаден от мини</w:t>
      </w:r>
      <w:r w:rsidR="0014522D">
        <w:rPr>
          <w:lang w:val="bg-BG"/>
        </w:rPr>
        <w:t xml:space="preserve">стъра на иновациите и растежа, обн., ДВ, бр… от </w:t>
      </w:r>
      <w:r w:rsidR="009C0F7F" w:rsidRPr="00F52069">
        <w:rPr>
          <w:lang w:val="bg-BG"/>
        </w:rPr>
        <w:t>………….</w:t>
      </w:r>
      <w:r w:rsidR="0014522D">
        <w:rPr>
          <w:lang w:val="bg-BG"/>
        </w:rPr>
        <w:t xml:space="preserve"> г., в сила от </w:t>
      </w:r>
      <w:r w:rsidR="009C0F7F" w:rsidRPr="00F52069">
        <w:rPr>
          <w:lang w:val="bg-BG"/>
        </w:rPr>
        <w:t>……………….</w:t>
      </w:r>
      <w:r w:rsidRPr="0014522D">
        <w:rPr>
          <w:lang w:val="bg-BG"/>
        </w:rPr>
        <w:t xml:space="preserve"> г.</w:t>
      </w:r>
    </w:p>
    <w:p w14:paraId="33BB291F" w14:textId="77777777" w:rsidR="006B5096" w:rsidRPr="00BB0A3A" w:rsidRDefault="006B5096" w:rsidP="006B5096">
      <w:pPr>
        <w:pStyle w:val="Heading3"/>
        <w:spacing w:after="120"/>
        <w:jc w:val="center"/>
        <w:rPr>
          <w:b/>
          <w:bCs/>
          <w:lang w:val="bg-BG"/>
        </w:rPr>
      </w:pPr>
    </w:p>
    <w:p w14:paraId="2E254C80" w14:textId="77777777" w:rsidR="00485C91" w:rsidRDefault="00825E48" w:rsidP="00BB0A3A">
      <w:pPr>
        <w:pStyle w:val="Heading3"/>
        <w:spacing w:after="120"/>
        <w:jc w:val="center"/>
        <w:rPr>
          <w:b/>
          <w:bCs/>
          <w:lang w:val="bg-BG"/>
        </w:rPr>
      </w:pPr>
      <w:r w:rsidRPr="00913C93">
        <w:rPr>
          <w:b/>
          <w:bCs/>
          <w:lang w:val="bg-BG"/>
        </w:rPr>
        <w:t>Раздел І</w:t>
      </w:r>
      <w:r w:rsidRPr="00913C93">
        <w:rPr>
          <w:b/>
          <w:bCs/>
          <w:lang w:val="bg-BG"/>
        </w:rPr>
        <w:br/>
        <w:t>Общи положения</w:t>
      </w:r>
    </w:p>
    <w:p w14:paraId="67F493DA" w14:textId="77777777" w:rsidR="00BB0A3A" w:rsidRPr="00913C93" w:rsidRDefault="00BB0A3A" w:rsidP="00BB0A3A">
      <w:pPr>
        <w:pStyle w:val="Heading3"/>
        <w:jc w:val="center"/>
        <w:rPr>
          <w:b/>
          <w:bCs/>
          <w:lang w:val="bg-BG"/>
        </w:rPr>
      </w:pPr>
    </w:p>
    <w:p w14:paraId="2CD90BBB" w14:textId="77777777" w:rsidR="004D2DA7" w:rsidRPr="00604681" w:rsidRDefault="00825E48" w:rsidP="00913C93">
      <w:pPr>
        <w:spacing w:after="120"/>
        <w:ind w:firstLine="720"/>
        <w:jc w:val="both"/>
        <w:rPr>
          <w:lang w:val="bg-BG"/>
        </w:rPr>
      </w:pPr>
      <w:r w:rsidRPr="0014522D">
        <w:rPr>
          <w:lang w:val="bg-BG"/>
        </w:rPr>
        <w:t>Чл. 1. С този правилник се урежда</w:t>
      </w:r>
      <w:r w:rsidR="00A5760A">
        <w:rPr>
          <w:lang w:val="bg-BG"/>
        </w:rPr>
        <w:t>т</w:t>
      </w:r>
      <w:r w:rsidR="00AF2149">
        <w:rPr>
          <w:lang w:val="bg-BG"/>
        </w:rPr>
        <w:t xml:space="preserve"> </w:t>
      </w:r>
      <w:r w:rsidR="00AF2149" w:rsidRPr="00AF2149">
        <w:rPr>
          <w:lang w:val="bg-BG"/>
        </w:rPr>
        <w:t>критерии</w:t>
      </w:r>
      <w:r w:rsidR="00AF2149">
        <w:rPr>
          <w:lang w:val="bg-BG"/>
        </w:rPr>
        <w:t xml:space="preserve">те, </w:t>
      </w:r>
      <w:r w:rsidR="00AF2149" w:rsidRPr="00AF2149">
        <w:rPr>
          <w:lang w:val="bg-BG"/>
        </w:rPr>
        <w:t>условия</w:t>
      </w:r>
      <w:r w:rsidR="00AF2149">
        <w:rPr>
          <w:lang w:val="bg-BG"/>
        </w:rPr>
        <w:t xml:space="preserve">та и </w:t>
      </w:r>
      <w:r w:rsidR="00AF2149" w:rsidRPr="00AF2149">
        <w:rPr>
          <w:lang w:val="bg-BG"/>
        </w:rPr>
        <w:t>ред</w:t>
      </w:r>
      <w:r w:rsidR="00AF2149">
        <w:rPr>
          <w:lang w:val="bg-BG"/>
        </w:rPr>
        <w:t>а за наблюд</w:t>
      </w:r>
      <w:r w:rsidR="009C5910">
        <w:rPr>
          <w:lang w:val="bg-BG"/>
        </w:rPr>
        <w:t>ение</w:t>
      </w:r>
      <w:r w:rsidR="00AF2149">
        <w:rPr>
          <w:lang w:val="bg-BG"/>
        </w:rPr>
        <w:t xml:space="preserve"> и оценяване </w:t>
      </w:r>
      <w:r w:rsidR="00A5760A" w:rsidRPr="00604681">
        <w:rPr>
          <w:lang w:val="bg-BG"/>
        </w:rPr>
        <w:t>на дейността на Националния иновационен фонд (НИФ)</w:t>
      </w:r>
      <w:r w:rsidR="00AF2149">
        <w:rPr>
          <w:lang w:val="bg-BG"/>
        </w:rPr>
        <w:t>.</w:t>
      </w:r>
    </w:p>
    <w:p w14:paraId="1DA3D03D" w14:textId="77777777" w:rsidR="00B71CD6" w:rsidRPr="006B5096" w:rsidRDefault="00F269C6" w:rsidP="00913C93">
      <w:pPr>
        <w:spacing w:after="120"/>
        <w:ind w:firstLine="720"/>
        <w:jc w:val="both"/>
        <w:rPr>
          <w:lang w:val="bg-BG"/>
        </w:rPr>
      </w:pPr>
      <w:r w:rsidRPr="006B5096">
        <w:rPr>
          <w:lang w:val="bg-BG"/>
        </w:rPr>
        <w:t>Чл. 2. Наблюдението и оценката се извърш</w:t>
      </w:r>
      <w:r w:rsidR="00B71CD6" w:rsidRPr="006B5096">
        <w:rPr>
          <w:lang w:val="bg-BG"/>
        </w:rPr>
        <w:t>ват при спазване на</w:t>
      </w:r>
      <w:r w:rsidRPr="006B5096">
        <w:rPr>
          <w:lang w:val="bg-BG"/>
        </w:rPr>
        <w:t xml:space="preserve"> принципи</w:t>
      </w:r>
      <w:r w:rsidR="00B71CD6" w:rsidRPr="006B5096">
        <w:rPr>
          <w:lang w:val="bg-BG"/>
        </w:rPr>
        <w:t xml:space="preserve">те на </w:t>
      </w:r>
      <w:r w:rsidR="00066E2E" w:rsidRPr="006B5096">
        <w:rPr>
          <w:lang w:val="bg-BG"/>
        </w:rPr>
        <w:t>публичност,</w:t>
      </w:r>
      <w:r w:rsidR="00B979DD" w:rsidRPr="006B5096">
        <w:rPr>
          <w:lang w:val="bg-BG"/>
        </w:rPr>
        <w:t xml:space="preserve"> достъпност на информацията, </w:t>
      </w:r>
      <w:r w:rsidR="00066E2E" w:rsidRPr="006B5096">
        <w:rPr>
          <w:lang w:val="bg-BG"/>
        </w:rPr>
        <w:t xml:space="preserve">обективност, ефективност </w:t>
      </w:r>
      <w:r w:rsidR="00B71CD6" w:rsidRPr="006B5096">
        <w:rPr>
          <w:lang w:val="bg-BG"/>
        </w:rPr>
        <w:t>и предсказуемост при финансиране на иновациите в съответствие с националните стратегически и програмни документи и европейските приоритети.</w:t>
      </w:r>
    </w:p>
    <w:p w14:paraId="30787CB1" w14:textId="113A85C2" w:rsidR="006B5096" w:rsidRDefault="00604681" w:rsidP="006B5096">
      <w:pPr>
        <w:spacing w:after="120"/>
        <w:ind w:firstLine="720"/>
        <w:jc w:val="both"/>
        <w:rPr>
          <w:lang w:val="bg-BG"/>
        </w:rPr>
      </w:pPr>
      <w:r w:rsidRPr="00604681">
        <w:rPr>
          <w:lang w:val="bg-BG"/>
        </w:rPr>
        <w:t>Чл. 3. (1) Основна цел на наблюдението и оценка</w:t>
      </w:r>
      <w:r w:rsidR="00EB707E">
        <w:rPr>
          <w:lang w:val="bg-BG"/>
        </w:rPr>
        <w:t>та</w:t>
      </w:r>
      <w:r w:rsidRPr="00604681">
        <w:rPr>
          <w:lang w:val="bg-BG"/>
        </w:rPr>
        <w:t xml:space="preserve"> на дейността на НИФ е </w:t>
      </w:r>
      <w:r w:rsidR="005648C3">
        <w:rPr>
          <w:lang w:val="bg-BG"/>
        </w:rPr>
        <w:t xml:space="preserve"> осигуряване на </w:t>
      </w:r>
      <w:r w:rsidRPr="00604681">
        <w:rPr>
          <w:lang w:val="bg-BG"/>
        </w:rPr>
        <w:t>подкрепа при провеждането на политиката за развитие на иновациите в съответствие с националните стратегически и програмни документи, имащи отношение към развитието на иновациите в България.</w:t>
      </w:r>
    </w:p>
    <w:p w14:paraId="1954658C" w14:textId="37D23AFC" w:rsidR="00E508D1" w:rsidRDefault="00604681" w:rsidP="006B5096">
      <w:pPr>
        <w:spacing w:after="120"/>
        <w:ind w:firstLine="720"/>
        <w:jc w:val="both"/>
        <w:rPr>
          <w:lang w:val="bg-BG"/>
        </w:rPr>
      </w:pPr>
      <w:r w:rsidRPr="00604681">
        <w:rPr>
          <w:lang w:val="bg-BG"/>
        </w:rPr>
        <w:t>(2) Наблюдение и оценка</w:t>
      </w:r>
      <w:r w:rsidR="00B270F0">
        <w:rPr>
          <w:lang w:val="bg-BG"/>
        </w:rPr>
        <w:t xml:space="preserve"> на дейността се извършват и с цел анализ </w:t>
      </w:r>
      <w:r>
        <w:rPr>
          <w:lang w:val="bg-BG"/>
        </w:rPr>
        <w:t>изпълнението</w:t>
      </w:r>
      <w:r w:rsidR="00AF2149">
        <w:rPr>
          <w:lang w:val="bg-BG"/>
        </w:rPr>
        <w:t xml:space="preserve"> на</w:t>
      </w:r>
      <w:r>
        <w:rPr>
          <w:lang w:val="bg-BG"/>
        </w:rPr>
        <w:t xml:space="preserve"> </w:t>
      </w:r>
      <w:r w:rsidRPr="00604681">
        <w:rPr>
          <w:lang w:val="bg-BG"/>
        </w:rPr>
        <w:t xml:space="preserve">тригодишната оперативна програма на </w:t>
      </w:r>
      <w:r w:rsidR="00A40094">
        <w:rPr>
          <w:lang w:val="bg-BG"/>
        </w:rPr>
        <w:t>НИФ</w:t>
      </w:r>
      <w:r w:rsidR="00A40094" w:rsidRPr="00604681">
        <w:rPr>
          <w:lang w:val="bg-BG"/>
        </w:rPr>
        <w:t xml:space="preserve"> </w:t>
      </w:r>
      <w:r w:rsidRPr="00604681">
        <w:rPr>
          <w:lang w:val="bg-BG"/>
        </w:rPr>
        <w:t>за периода на съответната средносрочна бюджетна прогноза.</w:t>
      </w:r>
    </w:p>
    <w:p w14:paraId="55C87E21" w14:textId="77777777" w:rsidR="00E0638A" w:rsidRDefault="004D2DA7" w:rsidP="006B5096">
      <w:pPr>
        <w:spacing w:after="120"/>
        <w:ind w:firstLine="720"/>
        <w:jc w:val="both"/>
        <w:rPr>
          <w:lang w:val="bg-BG"/>
        </w:rPr>
      </w:pPr>
      <w:r w:rsidRPr="006B5096">
        <w:rPr>
          <w:lang w:val="bg-BG"/>
        </w:rPr>
        <w:t xml:space="preserve">Чл. </w:t>
      </w:r>
      <w:r w:rsidR="002F1893" w:rsidRPr="006B5096">
        <w:rPr>
          <w:lang w:val="bg-BG"/>
        </w:rPr>
        <w:t>4</w:t>
      </w:r>
      <w:r w:rsidRPr="006B5096">
        <w:rPr>
          <w:lang w:val="bg-BG"/>
        </w:rPr>
        <w:t>.</w:t>
      </w:r>
      <w:r w:rsidRPr="004D2DA7">
        <w:rPr>
          <w:b/>
          <w:lang w:val="bg-BG"/>
        </w:rPr>
        <w:t xml:space="preserve"> </w:t>
      </w:r>
      <w:r w:rsidR="00A43C06">
        <w:rPr>
          <w:lang w:val="bg-BG"/>
        </w:rPr>
        <w:t>Правилникът се прилага за</w:t>
      </w:r>
      <w:r w:rsidR="00322624">
        <w:rPr>
          <w:lang w:val="bg-BG"/>
        </w:rPr>
        <w:t xml:space="preserve"> </w:t>
      </w:r>
      <w:r w:rsidR="00A43C06" w:rsidRPr="004D2DA7">
        <w:rPr>
          <w:lang w:val="bg-BG"/>
        </w:rPr>
        <w:t xml:space="preserve">всички проекти </w:t>
      </w:r>
      <w:r w:rsidR="00A43C06">
        <w:rPr>
          <w:lang w:val="bg-BG"/>
        </w:rPr>
        <w:t xml:space="preserve">и дейности, финансирани от НИФ, </w:t>
      </w:r>
      <w:r w:rsidR="00A43C06" w:rsidRPr="004D2DA7">
        <w:rPr>
          <w:lang w:val="bg-BG"/>
        </w:rPr>
        <w:t xml:space="preserve">както и за дейността </w:t>
      </w:r>
      <w:r w:rsidR="00A43C06">
        <w:rPr>
          <w:lang w:val="bg-BG"/>
        </w:rPr>
        <w:t xml:space="preserve">по </w:t>
      </w:r>
      <w:r>
        <w:rPr>
          <w:lang w:val="bg-BG"/>
        </w:rPr>
        <w:t>админи</w:t>
      </w:r>
      <w:r w:rsidR="00A43C06">
        <w:rPr>
          <w:lang w:val="bg-BG"/>
        </w:rPr>
        <w:t>стративно</w:t>
      </w:r>
      <w:r>
        <w:rPr>
          <w:lang w:val="bg-BG"/>
        </w:rPr>
        <w:t xml:space="preserve"> ръководство на органите </w:t>
      </w:r>
      <w:r w:rsidRPr="004D2DA7">
        <w:rPr>
          <w:lang w:val="bg-BG"/>
        </w:rPr>
        <w:t>о</w:t>
      </w:r>
      <w:r>
        <w:rPr>
          <w:lang w:val="bg-BG"/>
        </w:rPr>
        <w:t>тговорни за неговото управление</w:t>
      </w:r>
      <w:r w:rsidR="00A43C06">
        <w:rPr>
          <w:lang w:val="bg-BG"/>
        </w:rPr>
        <w:t>.</w:t>
      </w:r>
      <w:r w:rsidRPr="004D2DA7">
        <w:rPr>
          <w:lang w:val="bg-BG"/>
        </w:rPr>
        <w:t xml:space="preserve"> </w:t>
      </w:r>
    </w:p>
    <w:p w14:paraId="079BA2C4" w14:textId="77777777" w:rsidR="00592012" w:rsidRPr="00592012" w:rsidRDefault="00592012" w:rsidP="006B5096">
      <w:pPr>
        <w:spacing w:after="120"/>
        <w:ind w:firstLine="720"/>
        <w:jc w:val="both"/>
        <w:rPr>
          <w:lang w:val="bg-BG"/>
        </w:rPr>
      </w:pPr>
      <w:r w:rsidRPr="006B5096">
        <w:rPr>
          <w:lang w:val="bg-BG"/>
        </w:rPr>
        <w:t>Чл. 5.</w:t>
      </w:r>
      <w:r w:rsidRPr="004D2DA7">
        <w:rPr>
          <w:b/>
          <w:lang w:val="bg-BG"/>
        </w:rPr>
        <w:t xml:space="preserve"> </w:t>
      </w:r>
      <w:r w:rsidRPr="00592012">
        <w:rPr>
          <w:lang w:val="bg-BG"/>
        </w:rPr>
        <w:t xml:space="preserve">Наблюдението осигурява възможност за ежегодна оценка на дейността на НИФ по отношение на приноса му за постигане целите на Иновационната стратегия за интелигентна специализация и разходването на средствата му съобразно условията на </w:t>
      </w:r>
      <w:hyperlink r:id="rId7" w:tgtFrame="_blank" w:history="1">
        <w:r w:rsidRPr="00592012">
          <w:rPr>
            <w:rStyle w:val="Hyperlink"/>
            <w:color w:val="auto"/>
            <w:u w:val="none"/>
            <w:lang w:val="bg-BG"/>
          </w:rPr>
          <w:t>чл. 59, ал. 1</w:t>
        </w:r>
      </w:hyperlink>
      <w:r w:rsidRPr="00592012">
        <w:t> </w:t>
      </w:r>
      <w:r w:rsidRPr="00592012">
        <w:rPr>
          <w:lang w:val="bg-BG"/>
        </w:rPr>
        <w:t>и</w:t>
      </w:r>
      <w:r w:rsidRPr="00592012">
        <w:t> </w:t>
      </w:r>
      <w:hyperlink r:id="rId8" w:tgtFrame="_blank" w:history="1">
        <w:r w:rsidRPr="00592012">
          <w:rPr>
            <w:rStyle w:val="Hyperlink"/>
            <w:color w:val="auto"/>
            <w:u w:val="none"/>
            <w:lang w:val="bg-BG"/>
          </w:rPr>
          <w:t>2 от Закона за насърчаване на научните изследвания и иновациите</w:t>
        </w:r>
      </w:hyperlink>
      <w:r w:rsidR="005F7657">
        <w:rPr>
          <w:lang w:val="bg-BG"/>
        </w:rPr>
        <w:t xml:space="preserve">, както и </w:t>
      </w:r>
      <w:r w:rsidR="005F7657" w:rsidRPr="0014522D">
        <w:rPr>
          <w:lang w:val="bg-BG"/>
        </w:rPr>
        <w:t xml:space="preserve">целесъобразността, балансираността и обосноваността </w:t>
      </w:r>
      <w:r w:rsidR="005F7657">
        <w:rPr>
          <w:lang w:val="bg-BG"/>
        </w:rPr>
        <w:t xml:space="preserve">при разходване на </w:t>
      </w:r>
      <w:r w:rsidR="005F7657" w:rsidRPr="0014522D">
        <w:rPr>
          <w:lang w:val="bg-BG"/>
        </w:rPr>
        <w:t>публичните средства и ефективността от изпълнен</w:t>
      </w:r>
      <w:r w:rsidR="005F7657">
        <w:rPr>
          <w:lang w:val="bg-BG"/>
        </w:rPr>
        <w:t xml:space="preserve">ието на финансираните </w:t>
      </w:r>
      <w:r w:rsidR="005F7657" w:rsidRPr="0014522D">
        <w:rPr>
          <w:lang w:val="bg-BG"/>
        </w:rPr>
        <w:t>програми и проекти</w:t>
      </w:r>
      <w:r w:rsidR="005F7657">
        <w:rPr>
          <w:lang w:val="bg-BG"/>
        </w:rPr>
        <w:t>.</w:t>
      </w:r>
    </w:p>
    <w:p w14:paraId="78BFE675" w14:textId="77777777" w:rsidR="00066E2E" w:rsidRPr="00BB0A3A" w:rsidRDefault="00066E2E" w:rsidP="006B5096">
      <w:pPr>
        <w:pStyle w:val="Heading3"/>
        <w:spacing w:after="120"/>
        <w:jc w:val="center"/>
        <w:rPr>
          <w:b/>
          <w:bCs/>
          <w:lang w:val="bg-BG"/>
        </w:rPr>
      </w:pPr>
    </w:p>
    <w:p w14:paraId="74F90B9D" w14:textId="77777777" w:rsidR="00E508D1" w:rsidRPr="00913C93" w:rsidRDefault="00E0638A" w:rsidP="00BB0A3A">
      <w:pPr>
        <w:pStyle w:val="Heading3"/>
        <w:tabs>
          <w:tab w:val="left" w:pos="4820"/>
        </w:tabs>
        <w:spacing w:after="120"/>
        <w:jc w:val="center"/>
        <w:rPr>
          <w:b/>
          <w:lang w:val="bg-BG"/>
        </w:rPr>
      </w:pPr>
      <w:r w:rsidRPr="00913C93">
        <w:rPr>
          <w:b/>
          <w:bCs/>
          <w:lang w:val="bg-BG"/>
        </w:rPr>
        <w:t>Раздел ІІ</w:t>
      </w:r>
      <w:r w:rsidRPr="00913C93">
        <w:rPr>
          <w:b/>
          <w:bCs/>
          <w:lang w:val="bg-BG"/>
        </w:rPr>
        <w:br/>
      </w:r>
      <w:r w:rsidR="00592012" w:rsidRPr="00913C93">
        <w:rPr>
          <w:b/>
          <w:lang w:val="bg-BG"/>
        </w:rPr>
        <w:t>Н</w:t>
      </w:r>
      <w:r w:rsidR="00913C93">
        <w:rPr>
          <w:b/>
          <w:lang w:val="bg-BG"/>
        </w:rPr>
        <w:t>аблюдение и оценка на дейността на националния иновационен фонд</w:t>
      </w:r>
    </w:p>
    <w:p w14:paraId="113F82A5" w14:textId="77777777" w:rsidR="005F7657" w:rsidRPr="008E5A7C" w:rsidRDefault="005F7657" w:rsidP="006B5096">
      <w:pPr>
        <w:spacing w:after="120"/>
        <w:ind w:firstLine="851"/>
        <w:jc w:val="both"/>
        <w:rPr>
          <w:lang w:val="bg-BG"/>
        </w:rPr>
      </w:pPr>
    </w:p>
    <w:p w14:paraId="4C83AA1D" w14:textId="77777777" w:rsidR="00485C91" w:rsidRPr="004D2DA7" w:rsidRDefault="005F7657" w:rsidP="000F54B1">
      <w:pPr>
        <w:pStyle w:val="Heading3"/>
        <w:spacing w:after="120"/>
        <w:jc w:val="both"/>
        <w:rPr>
          <w:lang w:val="bg-BG"/>
        </w:rPr>
      </w:pPr>
      <w:r>
        <w:rPr>
          <w:b/>
          <w:lang w:val="bg-BG"/>
        </w:rPr>
        <w:tab/>
      </w:r>
      <w:r w:rsidR="004D2DA7" w:rsidRPr="004D2DA7">
        <w:rPr>
          <w:lang w:val="bg-BG"/>
        </w:rPr>
        <w:t xml:space="preserve"> </w:t>
      </w:r>
      <w:r w:rsidR="00592012">
        <w:rPr>
          <w:lang w:val="bg-BG"/>
        </w:rPr>
        <w:t xml:space="preserve">Чл. </w:t>
      </w:r>
      <w:r w:rsidR="008F0BAB">
        <w:rPr>
          <w:lang w:val="bg-BG"/>
        </w:rPr>
        <w:t>6</w:t>
      </w:r>
      <w:r w:rsidR="00B979DD">
        <w:rPr>
          <w:lang w:val="bg-BG"/>
        </w:rPr>
        <w:t xml:space="preserve"> </w:t>
      </w:r>
      <w:r w:rsidR="00B979DD" w:rsidRPr="00B979DD">
        <w:rPr>
          <w:lang w:val="bg-BG"/>
        </w:rPr>
        <w:t>(</w:t>
      </w:r>
      <w:r w:rsidR="00B979DD">
        <w:rPr>
          <w:lang w:val="bg-BG"/>
        </w:rPr>
        <w:t>1</w:t>
      </w:r>
      <w:r w:rsidR="00B979DD" w:rsidRPr="00B979DD">
        <w:rPr>
          <w:lang w:val="bg-BG"/>
        </w:rPr>
        <w:t>)</w:t>
      </w:r>
      <w:r w:rsidR="00592012">
        <w:rPr>
          <w:lang w:val="bg-BG"/>
        </w:rPr>
        <w:t xml:space="preserve"> Наблюдението </w:t>
      </w:r>
      <w:r w:rsidR="008D4447">
        <w:rPr>
          <w:lang w:val="bg-BG"/>
        </w:rPr>
        <w:t xml:space="preserve">и оценката </w:t>
      </w:r>
      <w:r w:rsidR="00592012">
        <w:rPr>
          <w:lang w:val="bg-BG"/>
        </w:rPr>
        <w:t>се извършва</w:t>
      </w:r>
      <w:r w:rsidR="00C14704">
        <w:rPr>
          <w:lang w:val="bg-BG"/>
        </w:rPr>
        <w:t>т</w:t>
      </w:r>
      <w:r w:rsidR="004D2DA7" w:rsidRPr="004D2DA7">
        <w:rPr>
          <w:lang w:val="bg-BG"/>
        </w:rPr>
        <w:t xml:space="preserve"> от </w:t>
      </w:r>
      <w:r w:rsidR="002F1893">
        <w:rPr>
          <w:lang w:val="bg-BG"/>
        </w:rPr>
        <w:t xml:space="preserve">Комисия в състав от 5-ма представители на </w:t>
      </w:r>
      <w:r w:rsidR="004D2DA7" w:rsidRPr="004D2DA7">
        <w:rPr>
          <w:lang w:val="bg-BG"/>
        </w:rPr>
        <w:t>Министе</w:t>
      </w:r>
      <w:r w:rsidR="002F1893">
        <w:rPr>
          <w:lang w:val="bg-BG"/>
        </w:rPr>
        <w:t xml:space="preserve">рството на иновациите и растежа. </w:t>
      </w:r>
      <w:r w:rsidR="000F54B1">
        <w:rPr>
          <w:lang w:val="bg-BG"/>
        </w:rPr>
        <w:t>Работата на комисията се ръководи от председател.</w:t>
      </w:r>
    </w:p>
    <w:p w14:paraId="722200E2" w14:textId="77777777" w:rsidR="00A5760A" w:rsidRPr="00E508D1" w:rsidRDefault="00E508D1" w:rsidP="006B5096">
      <w:pPr>
        <w:spacing w:after="120"/>
        <w:ind w:firstLine="720"/>
        <w:jc w:val="both"/>
        <w:rPr>
          <w:lang w:val="bg-BG"/>
        </w:rPr>
      </w:pPr>
      <w:r w:rsidRPr="00E508D1">
        <w:rPr>
          <w:lang w:val="bg-BG"/>
        </w:rPr>
        <w:t xml:space="preserve">(2) </w:t>
      </w:r>
      <w:r w:rsidR="002F1893" w:rsidRPr="00E508D1">
        <w:rPr>
          <w:lang w:val="bg-BG"/>
        </w:rPr>
        <w:t xml:space="preserve">Министърът на иновациите и растежа </w:t>
      </w:r>
      <w:r w:rsidR="006707AA">
        <w:rPr>
          <w:lang w:val="bg-BG"/>
        </w:rPr>
        <w:t>определя със заповед поименния със</w:t>
      </w:r>
      <w:r w:rsidR="002F1893" w:rsidRPr="00E508D1">
        <w:rPr>
          <w:lang w:val="bg-BG"/>
        </w:rPr>
        <w:t>тав на комисията.</w:t>
      </w:r>
    </w:p>
    <w:p w14:paraId="1D88E2F4" w14:textId="77777777" w:rsidR="002F1893" w:rsidRPr="000B6194" w:rsidRDefault="00E508D1" w:rsidP="006B5096">
      <w:pPr>
        <w:spacing w:after="120"/>
        <w:ind w:firstLine="720"/>
        <w:jc w:val="both"/>
        <w:rPr>
          <w:lang w:val="bg-BG"/>
        </w:rPr>
      </w:pPr>
      <w:r w:rsidRPr="00E508D1">
        <w:rPr>
          <w:lang w:val="bg-BG"/>
        </w:rPr>
        <w:t>(3)</w:t>
      </w:r>
      <w:r w:rsidRPr="000B6194">
        <w:rPr>
          <w:lang w:val="bg-BG"/>
        </w:rPr>
        <w:t xml:space="preserve"> </w:t>
      </w:r>
      <w:r w:rsidR="008D4447">
        <w:rPr>
          <w:lang w:val="bg-BG"/>
        </w:rPr>
        <w:t>Наблюдението и оценката</w:t>
      </w:r>
      <w:r w:rsidR="009309A7" w:rsidRPr="000B6194">
        <w:rPr>
          <w:lang w:val="bg-BG"/>
        </w:rPr>
        <w:t xml:space="preserve"> се извършва за всяка календарна година</w:t>
      </w:r>
      <w:r w:rsidR="000B6194" w:rsidRPr="000B6194">
        <w:rPr>
          <w:lang w:val="bg-BG"/>
        </w:rPr>
        <w:t>.</w:t>
      </w:r>
      <w:r w:rsidR="002F1893" w:rsidRPr="000B6194">
        <w:rPr>
          <w:lang w:val="bg-BG"/>
        </w:rPr>
        <w:t xml:space="preserve"> По преценка на министъра на иновациите и растежа оценяването може да се направи периодично на 6 месеца.</w:t>
      </w:r>
    </w:p>
    <w:p w14:paraId="27776011" w14:textId="36D2387D" w:rsidR="002F1893" w:rsidRDefault="000F54B1" w:rsidP="006B5096">
      <w:pPr>
        <w:spacing w:after="120"/>
        <w:ind w:firstLine="720"/>
        <w:jc w:val="both"/>
        <w:rPr>
          <w:lang w:val="bg-BG"/>
        </w:rPr>
      </w:pPr>
      <w:r>
        <w:rPr>
          <w:lang w:val="bg-BG"/>
        </w:rPr>
        <w:t>(4</w:t>
      </w:r>
      <w:r w:rsidR="00E508D1" w:rsidRPr="00E508D1">
        <w:rPr>
          <w:lang w:val="bg-BG"/>
        </w:rPr>
        <w:t xml:space="preserve">) </w:t>
      </w:r>
      <w:r w:rsidR="00E508D1">
        <w:rPr>
          <w:lang w:val="bg-BG"/>
        </w:rPr>
        <w:t>Ком</w:t>
      </w:r>
      <w:r w:rsidR="00B46259">
        <w:rPr>
          <w:lang w:val="bg-BG"/>
        </w:rPr>
        <w:t xml:space="preserve">исията </w:t>
      </w:r>
      <w:r w:rsidR="009309A7">
        <w:rPr>
          <w:lang w:val="bg-BG"/>
        </w:rPr>
        <w:t>осъществява</w:t>
      </w:r>
      <w:r w:rsidR="001C06D1">
        <w:rPr>
          <w:lang w:val="bg-BG"/>
        </w:rPr>
        <w:t xml:space="preserve"> </w:t>
      </w:r>
      <w:r w:rsidR="00B46259">
        <w:rPr>
          <w:lang w:val="bg-BG"/>
        </w:rPr>
        <w:t>наблюдението</w:t>
      </w:r>
      <w:r w:rsidR="001C06D1">
        <w:rPr>
          <w:lang w:val="bg-BG"/>
        </w:rPr>
        <w:t xml:space="preserve"> като извършва анализ на дейността на НИФ и </w:t>
      </w:r>
      <w:r w:rsidR="007F1499">
        <w:rPr>
          <w:lang w:val="bg-BG"/>
        </w:rPr>
        <w:t xml:space="preserve">ако е необходимо </w:t>
      </w:r>
      <w:r w:rsidR="008D4447">
        <w:rPr>
          <w:lang w:val="bg-BG"/>
        </w:rPr>
        <w:t>дава препоръки за подобряване</w:t>
      </w:r>
      <w:r w:rsidR="00A40094">
        <w:rPr>
          <w:lang w:val="bg-BG"/>
        </w:rPr>
        <w:t xml:space="preserve"> работата</w:t>
      </w:r>
      <w:r w:rsidR="001C06D1">
        <w:rPr>
          <w:lang w:val="bg-BG"/>
        </w:rPr>
        <w:t xml:space="preserve"> </w:t>
      </w:r>
      <w:r w:rsidR="00A40094">
        <w:rPr>
          <w:lang w:val="bg-BG"/>
        </w:rPr>
        <w:t>му</w:t>
      </w:r>
      <w:r w:rsidR="009309A7">
        <w:rPr>
          <w:lang w:val="bg-BG"/>
        </w:rPr>
        <w:t>.</w:t>
      </w:r>
    </w:p>
    <w:p w14:paraId="29AD3336" w14:textId="77777777" w:rsidR="00AF2149" w:rsidRPr="00AF2149" w:rsidRDefault="00AF2149" w:rsidP="00AF2149">
      <w:pPr>
        <w:spacing w:after="120"/>
        <w:ind w:firstLine="720"/>
        <w:jc w:val="both"/>
        <w:rPr>
          <w:lang w:val="bg-BG"/>
        </w:rPr>
      </w:pPr>
      <w:r w:rsidRPr="00AF2149">
        <w:rPr>
          <w:lang w:val="bg-BG"/>
        </w:rPr>
        <w:lastRenderedPageBreak/>
        <w:t>(</w:t>
      </w:r>
      <w:r w:rsidR="000F54B1">
        <w:rPr>
          <w:lang w:val="bg-BG"/>
        </w:rPr>
        <w:t>5</w:t>
      </w:r>
      <w:r w:rsidRPr="00AF2149">
        <w:rPr>
          <w:lang w:val="bg-BG"/>
        </w:rPr>
        <w:t xml:space="preserve">) </w:t>
      </w:r>
      <w:r w:rsidR="008D4447">
        <w:rPr>
          <w:lang w:val="bg-BG"/>
        </w:rPr>
        <w:t xml:space="preserve">Дейността по ал. </w:t>
      </w:r>
      <w:r w:rsidR="000F54B1" w:rsidRPr="000F54B1">
        <w:rPr>
          <w:lang w:val="bg-BG"/>
        </w:rPr>
        <w:t>4</w:t>
      </w:r>
      <w:r w:rsidR="008D4447">
        <w:rPr>
          <w:lang w:val="bg-BG"/>
        </w:rPr>
        <w:t xml:space="preserve"> се обективи</w:t>
      </w:r>
      <w:r w:rsidR="001C06D1">
        <w:rPr>
          <w:lang w:val="bg-BG"/>
        </w:rPr>
        <w:t>ра в оценъчен доклад на Комисията до министъра на иновациите и растежа</w:t>
      </w:r>
      <w:r w:rsidRPr="00AF2149">
        <w:rPr>
          <w:lang w:val="bg-BG"/>
        </w:rPr>
        <w:t>.</w:t>
      </w:r>
    </w:p>
    <w:p w14:paraId="74925995" w14:textId="77777777" w:rsidR="00A351B4" w:rsidRDefault="00A351B4" w:rsidP="006B5096">
      <w:pPr>
        <w:spacing w:after="120"/>
        <w:ind w:firstLine="720"/>
        <w:jc w:val="both"/>
        <w:rPr>
          <w:lang w:val="bg-BG"/>
        </w:rPr>
      </w:pPr>
      <w:r w:rsidRPr="00A351B4">
        <w:rPr>
          <w:lang w:val="bg-BG"/>
        </w:rPr>
        <w:t>(</w:t>
      </w:r>
      <w:r w:rsidR="00532334">
        <w:rPr>
          <w:lang w:val="bg-BG"/>
        </w:rPr>
        <w:t>6</w:t>
      </w:r>
      <w:r w:rsidRPr="00A351B4">
        <w:rPr>
          <w:lang w:val="bg-BG"/>
        </w:rPr>
        <w:t>)</w:t>
      </w:r>
      <w:r>
        <w:rPr>
          <w:lang w:val="bg-BG"/>
        </w:rPr>
        <w:t xml:space="preserve"> Докладът по ал. </w:t>
      </w:r>
      <w:r w:rsidR="000F54B1">
        <w:rPr>
          <w:lang w:val="bg-BG"/>
        </w:rPr>
        <w:t>5</w:t>
      </w:r>
      <w:r w:rsidR="001C06D1" w:rsidRPr="0014522D">
        <w:rPr>
          <w:lang w:val="bg-BG"/>
        </w:rPr>
        <w:t xml:space="preserve"> </w:t>
      </w:r>
      <w:r w:rsidRPr="0014522D">
        <w:rPr>
          <w:lang w:val="bg-BG"/>
        </w:rPr>
        <w:t xml:space="preserve">се представя за одобрение на министъра на </w:t>
      </w:r>
      <w:r>
        <w:rPr>
          <w:lang w:val="bg-BG"/>
        </w:rPr>
        <w:t>иновациите и растежа</w:t>
      </w:r>
      <w:r w:rsidR="007F1499">
        <w:rPr>
          <w:lang w:val="bg-BG"/>
        </w:rPr>
        <w:t xml:space="preserve"> до 30 юни на текущата </w:t>
      </w:r>
      <w:r w:rsidRPr="0014522D">
        <w:rPr>
          <w:lang w:val="bg-BG"/>
        </w:rPr>
        <w:t>година и се публикува на интернет страницата на Министерството на</w:t>
      </w:r>
      <w:r>
        <w:rPr>
          <w:lang w:val="bg-BG"/>
        </w:rPr>
        <w:t xml:space="preserve"> иновациите и растежа.</w:t>
      </w:r>
      <w:r w:rsidR="00B46259">
        <w:rPr>
          <w:lang w:val="bg-BG"/>
        </w:rPr>
        <w:t xml:space="preserve"> В случай, че наблюдението по изключение е възложено по предложение второ на а</w:t>
      </w:r>
      <w:r w:rsidR="000F54B1">
        <w:rPr>
          <w:lang w:val="bg-BG"/>
        </w:rPr>
        <w:t>л. 3</w:t>
      </w:r>
      <w:r w:rsidR="00B46259">
        <w:rPr>
          <w:lang w:val="bg-BG"/>
        </w:rPr>
        <w:t xml:space="preserve">, комисията представя доклада на министъра на иновациите и растежа в </w:t>
      </w:r>
      <w:r w:rsidR="00B46259" w:rsidRPr="00D60278">
        <w:rPr>
          <w:lang w:val="bg-BG"/>
        </w:rPr>
        <w:t>тримесечен</w:t>
      </w:r>
      <w:r w:rsidR="00B46259">
        <w:rPr>
          <w:lang w:val="bg-BG"/>
        </w:rPr>
        <w:t xml:space="preserve"> срок от издаване на заповедта.</w:t>
      </w:r>
    </w:p>
    <w:p w14:paraId="2D83A776" w14:textId="77777777" w:rsidR="00E0638A" w:rsidRPr="00D60278" w:rsidRDefault="00E0638A" w:rsidP="006B5096">
      <w:pPr>
        <w:spacing w:after="120"/>
        <w:ind w:firstLine="720"/>
        <w:jc w:val="both"/>
        <w:rPr>
          <w:lang w:val="bg-BG"/>
        </w:rPr>
      </w:pPr>
      <w:r w:rsidRPr="00E0638A">
        <w:rPr>
          <w:lang w:val="bg-BG"/>
        </w:rPr>
        <w:t>(</w:t>
      </w:r>
      <w:r w:rsidR="00532334">
        <w:rPr>
          <w:lang w:val="bg-BG"/>
        </w:rPr>
        <w:t>7</w:t>
      </w:r>
      <w:r w:rsidRPr="00E0638A">
        <w:rPr>
          <w:lang w:val="bg-BG"/>
        </w:rPr>
        <w:t xml:space="preserve">) </w:t>
      </w:r>
      <w:r w:rsidRPr="00E0638A">
        <w:rPr>
          <w:shd w:val="clear" w:color="auto" w:fill="FFFFFF"/>
          <w:lang w:val="bg-BG"/>
        </w:rPr>
        <w:t>Членовете на комисията са длъжни да изпълняват задълженията си безпристрастно и обективно и при спазване на принципа на конфиденциалност</w:t>
      </w:r>
      <w:r w:rsidR="00EB6EC8">
        <w:rPr>
          <w:shd w:val="clear" w:color="auto" w:fill="FFFFFF"/>
          <w:lang w:val="bg-BG"/>
        </w:rPr>
        <w:t xml:space="preserve">, за което подписват декларация съобразно </w:t>
      </w:r>
      <w:r w:rsidR="00EB6EC8" w:rsidRPr="006B5096">
        <w:rPr>
          <w:b/>
          <w:shd w:val="clear" w:color="auto" w:fill="FFFFFF"/>
          <w:lang w:val="bg-BG"/>
        </w:rPr>
        <w:t>Приложение № 1</w:t>
      </w:r>
      <w:r w:rsidR="00EB6EC8" w:rsidRPr="00D60278">
        <w:rPr>
          <w:shd w:val="clear" w:color="auto" w:fill="FFFFFF"/>
          <w:lang w:val="bg-BG"/>
        </w:rPr>
        <w:t>.</w:t>
      </w:r>
    </w:p>
    <w:p w14:paraId="2EBC16EF" w14:textId="77777777" w:rsidR="005E217C" w:rsidRDefault="005E217C" w:rsidP="00BB0A3A">
      <w:pPr>
        <w:ind w:firstLine="720"/>
        <w:jc w:val="center"/>
        <w:rPr>
          <w:b/>
          <w:lang w:val="bg-BG"/>
        </w:rPr>
      </w:pPr>
    </w:p>
    <w:p w14:paraId="00C8AA17" w14:textId="77777777" w:rsidR="005E217C" w:rsidRPr="00044D25" w:rsidRDefault="00913C93" w:rsidP="00BB0A3A">
      <w:pPr>
        <w:ind w:firstLine="720"/>
        <w:jc w:val="center"/>
        <w:rPr>
          <w:b/>
          <w:lang w:val="bg-BG"/>
        </w:rPr>
      </w:pPr>
      <w:r>
        <w:rPr>
          <w:b/>
          <w:lang w:val="bg-BG"/>
        </w:rPr>
        <w:t>Раздел</w:t>
      </w:r>
      <w:r w:rsidR="005E217C" w:rsidRPr="005E217C">
        <w:rPr>
          <w:b/>
          <w:lang w:val="bg-BG"/>
        </w:rPr>
        <w:t xml:space="preserve"> </w:t>
      </w:r>
      <w:r w:rsidR="005E217C" w:rsidRPr="005E217C">
        <w:rPr>
          <w:b/>
        </w:rPr>
        <w:t>III</w:t>
      </w:r>
    </w:p>
    <w:p w14:paraId="2D31F0F9" w14:textId="77777777" w:rsidR="005E217C" w:rsidRDefault="005E217C" w:rsidP="00BB0A3A">
      <w:pPr>
        <w:spacing w:after="120"/>
        <w:ind w:firstLine="720"/>
        <w:jc w:val="center"/>
        <w:rPr>
          <w:b/>
          <w:lang w:val="bg-BG"/>
        </w:rPr>
      </w:pPr>
      <w:r>
        <w:rPr>
          <w:b/>
          <w:lang w:val="bg-BG"/>
        </w:rPr>
        <w:t>Р</w:t>
      </w:r>
      <w:r w:rsidR="00913C93">
        <w:rPr>
          <w:b/>
          <w:lang w:val="bg-BG"/>
        </w:rPr>
        <w:t>ед за събиране на информация и критерии за оценка</w:t>
      </w:r>
    </w:p>
    <w:p w14:paraId="6FF65846" w14:textId="77777777" w:rsidR="005E217C" w:rsidRDefault="005E217C" w:rsidP="00BB0A3A">
      <w:pPr>
        <w:spacing w:after="120"/>
        <w:ind w:firstLine="720"/>
        <w:jc w:val="center"/>
        <w:rPr>
          <w:b/>
          <w:lang w:val="bg-BG"/>
        </w:rPr>
      </w:pPr>
    </w:p>
    <w:p w14:paraId="58A55646" w14:textId="23E5911E" w:rsidR="005E217C" w:rsidRPr="00D60278" w:rsidRDefault="005E217C" w:rsidP="00BB0A3A">
      <w:pPr>
        <w:spacing w:after="120"/>
        <w:ind w:firstLine="720"/>
        <w:jc w:val="both"/>
        <w:rPr>
          <w:lang w:val="bg-BG"/>
        </w:rPr>
      </w:pPr>
      <w:r w:rsidRPr="0014522D">
        <w:rPr>
          <w:lang w:val="bg-BG"/>
        </w:rPr>
        <w:t>Ч</w:t>
      </w:r>
      <w:r>
        <w:rPr>
          <w:lang w:val="bg-BG"/>
        </w:rPr>
        <w:t>л. 7. Комисията по чл. 6, ал. 1</w:t>
      </w:r>
      <w:r w:rsidRPr="0014522D">
        <w:rPr>
          <w:lang w:val="bg-BG"/>
        </w:rPr>
        <w:t xml:space="preserve"> извършва наблюдение </w:t>
      </w:r>
      <w:r>
        <w:rPr>
          <w:lang w:val="bg-BG"/>
        </w:rPr>
        <w:t xml:space="preserve">и оценка </w:t>
      </w:r>
      <w:r w:rsidRPr="0014522D">
        <w:rPr>
          <w:lang w:val="bg-BG"/>
        </w:rPr>
        <w:t xml:space="preserve">на дейността на </w:t>
      </w:r>
      <w:r>
        <w:rPr>
          <w:lang w:val="bg-BG"/>
        </w:rPr>
        <w:t>НИФ</w:t>
      </w:r>
      <w:r w:rsidRPr="0014522D">
        <w:rPr>
          <w:lang w:val="bg-BG"/>
        </w:rPr>
        <w:t>, като пр</w:t>
      </w:r>
      <w:r>
        <w:rPr>
          <w:lang w:val="bg-BG"/>
        </w:rPr>
        <w:t>оследява напредъка по конкурсните процедури</w:t>
      </w:r>
      <w:r w:rsidRPr="0014522D">
        <w:rPr>
          <w:lang w:val="bg-BG"/>
        </w:rPr>
        <w:t xml:space="preserve"> и изпълнението на </w:t>
      </w:r>
      <w:r w:rsidR="00484B7A">
        <w:rPr>
          <w:lang w:val="bg-BG"/>
        </w:rPr>
        <w:t>три</w:t>
      </w:r>
      <w:r w:rsidRPr="0014522D">
        <w:rPr>
          <w:lang w:val="bg-BG"/>
        </w:rPr>
        <w:t xml:space="preserve">годишната </w:t>
      </w:r>
      <w:r>
        <w:rPr>
          <w:lang w:val="bg-BG"/>
        </w:rPr>
        <w:t xml:space="preserve">оперативна програма </w:t>
      </w:r>
      <w:r w:rsidRPr="00D60278">
        <w:rPr>
          <w:lang w:val="bg-BG"/>
        </w:rPr>
        <w:t>въз основа документален анализ по предоставената по чл. 8 информация,</w:t>
      </w:r>
      <w:r w:rsidR="006A2F68" w:rsidRPr="00D60278">
        <w:rPr>
          <w:lang w:val="bg-BG"/>
        </w:rPr>
        <w:t xml:space="preserve"> оценка на ключови индикатори, сравнителен анализ и</w:t>
      </w:r>
      <w:r w:rsidRPr="00D60278">
        <w:rPr>
          <w:lang w:val="bg-BG"/>
        </w:rPr>
        <w:t xml:space="preserve"> анкетни проучвания за обратна връзка с</w:t>
      </w:r>
      <w:r w:rsidR="006A2F68" w:rsidRPr="00D60278">
        <w:rPr>
          <w:lang w:val="bg-BG"/>
        </w:rPr>
        <w:t>ред</w:t>
      </w:r>
      <w:r w:rsidRPr="00D60278">
        <w:rPr>
          <w:lang w:val="bg-BG"/>
        </w:rPr>
        <w:t xml:space="preserve"> бенефициентите,</w:t>
      </w:r>
      <w:r w:rsidR="006A2F68" w:rsidRPr="00D60278">
        <w:rPr>
          <w:lang w:val="bg-BG"/>
        </w:rPr>
        <w:t xml:space="preserve"> съобразно </w:t>
      </w:r>
      <w:r w:rsidR="006A2F68" w:rsidRPr="006B5096">
        <w:rPr>
          <w:b/>
          <w:lang w:val="bg-BG"/>
        </w:rPr>
        <w:t>Приложение № 2</w:t>
      </w:r>
      <w:r w:rsidR="00EF7FE5">
        <w:rPr>
          <w:lang w:val="bg-BG"/>
        </w:rPr>
        <w:t>, както и по други достоверни източници на информация.</w:t>
      </w:r>
    </w:p>
    <w:p w14:paraId="59EB9FC2" w14:textId="77777777" w:rsidR="008F0BAB" w:rsidRPr="008E5A7C" w:rsidRDefault="008F0BAB" w:rsidP="00D97558">
      <w:pPr>
        <w:spacing w:after="120"/>
        <w:ind w:firstLine="720"/>
        <w:jc w:val="both"/>
        <w:rPr>
          <w:lang w:val="bg-BG"/>
        </w:rPr>
      </w:pPr>
      <w:r w:rsidRPr="006B5096">
        <w:rPr>
          <w:lang w:val="bg-BG"/>
        </w:rPr>
        <w:t>Ч</w:t>
      </w:r>
      <w:r w:rsidR="005652EF" w:rsidRPr="006B5096">
        <w:rPr>
          <w:lang w:val="bg-BG"/>
        </w:rPr>
        <w:t>л. 8</w:t>
      </w:r>
      <w:r>
        <w:rPr>
          <w:b/>
          <w:lang w:val="bg-BG"/>
        </w:rPr>
        <w:t xml:space="preserve"> </w:t>
      </w:r>
      <w:r w:rsidRPr="0014522D">
        <w:rPr>
          <w:lang w:val="bg-BG"/>
        </w:rPr>
        <w:t xml:space="preserve">Ежегодно до края на месец март </w:t>
      </w:r>
      <w:r>
        <w:rPr>
          <w:lang w:val="bg-BG"/>
        </w:rPr>
        <w:t xml:space="preserve">управителят на </w:t>
      </w:r>
      <w:r w:rsidR="005E217C">
        <w:rPr>
          <w:lang w:val="bg-BG"/>
        </w:rPr>
        <w:t>НИФ</w:t>
      </w:r>
      <w:r w:rsidR="000E3F83">
        <w:rPr>
          <w:lang w:val="bg-BG"/>
        </w:rPr>
        <w:t xml:space="preserve"> пред</w:t>
      </w:r>
      <w:r w:rsidRPr="0014522D">
        <w:rPr>
          <w:lang w:val="bg-BG"/>
        </w:rPr>
        <w:t xml:space="preserve">ставя </w:t>
      </w:r>
      <w:r w:rsidR="000E3F83">
        <w:rPr>
          <w:lang w:val="bg-BG"/>
        </w:rPr>
        <w:t>на министъра на</w:t>
      </w:r>
      <w:r w:rsidRPr="0014522D">
        <w:rPr>
          <w:lang w:val="bg-BG"/>
        </w:rPr>
        <w:t xml:space="preserve"> </w:t>
      </w:r>
      <w:r>
        <w:rPr>
          <w:lang w:val="bg-BG"/>
        </w:rPr>
        <w:t xml:space="preserve"> иновациите и растежа</w:t>
      </w:r>
      <w:r w:rsidRPr="0014522D">
        <w:rPr>
          <w:lang w:val="bg-BG"/>
        </w:rPr>
        <w:t xml:space="preserve"> </w:t>
      </w:r>
      <w:r w:rsidR="000E3F83">
        <w:rPr>
          <w:lang w:val="bg-BG"/>
        </w:rPr>
        <w:t xml:space="preserve">доклад за дейността съдържащ </w:t>
      </w:r>
      <w:r w:rsidRPr="0014522D">
        <w:rPr>
          <w:lang w:val="bg-BG"/>
        </w:rPr>
        <w:t xml:space="preserve">информация на електронен носител за предходната </w:t>
      </w:r>
      <w:r w:rsidRPr="008E5A7C">
        <w:rPr>
          <w:lang w:val="bg-BG"/>
        </w:rPr>
        <w:t>календарна година, както следва:</w:t>
      </w:r>
    </w:p>
    <w:p w14:paraId="3F5CB7A2" w14:textId="77777777" w:rsidR="008F0BAB" w:rsidRPr="00D60278" w:rsidRDefault="008F0BAB" w:rsidP="006B5096">
      <w:pPr>
        <w:spacing w:after="120"/>
        <w:ind w:firstLine="851"/>
        <w:jc w:val="both"/>
        <w:rPr>
          <w:lang w:val="bg-BG"/>
        </w:rPr>
      </w:pPr>
      <w:r w:rsidRPr="008E5A7C">
        <w:rPr>
          <w:lang w:val="bg-BG"/>
        </w:rPr>
        <w:t xml:space="preserve">1. </w:t>
      </w:r>
      <w:r w:rsidRPr="00D60278">
        <w:rPr>
          <w:lang w:val="bg-BG"/>
        </w:rPr>
        <w:t xml:space="preserve">списък на проведените конкурсни процедури, финансираните проекти през отчетния период, </w:t>
      </w:r>
      <w:r w:rsidR="001D61E4" w:rsidRPr="00D60278">
        <w:rPr>
          <w:lang w:val="bg-BG"/>
        </w:rPr>
        <w:t xml:space="preserve">целевите индикатори към тях, </w:t>
      </w:r>
      <w:r w:rsidRPr="00D60278">
        <w:rPr>
          <w:lang w:val="bg-BG"/>
        </w:rPr>
        <w:t>както и</w:t>
      </w:r>
      <w:r w:rsidR="001D61E4" w:rsidRPr="00D60278">
        <w:rPr>
          <w:lang w:val="bg-BG"/>
        </w:rPr>
        <w:t xml:space="preserve"> етапа на изпълнение</w:t>
      </w:r>
      <w:r w:rsidR="00B006C7" w:rsidRPr="00D60278">
        <w:rPr>
          <w:lang w:val="bg-BG"/>
        </w:rPr>
        <w:t xml:space="preserve">, съобразно </w:t>
      </w:r>
      <w:r w:rsidR="00B006C7" w:rsidRPr="001C1E73">
        <w:rPr>
          <w:b/>
          <w:lang w:val="bg-BG"/>
        </w:rPr>
        <w:t xml:space="preserve">Приложение </w:t>
      </w:r>
      <w:r w:rsidR="00317AAD" w:rsidRPr="001C1E73">
        <w:rPr>
          <w:b/>
          <w:lang w:val="bg-BG"/>
        </w:rPr>
        <w:t>3</w:t>
      </w:r>
      <w:r w:rsidRPr="00D60278">
        <w:rPr>
          <w:lang w:val="bg-BG"/>
        </w:rPr>
        <w:t>;</w:t>
      </w:r>
    </w:p>
    <w:p w14:paraId="62FD99BE" w14:textId="77777777" w:rsidR="008F0BAB" w:rsidRPr="008E5A7C" w:rsidRDefault="008F0BAB" w:rsidP="006B5096">
      <w:pPr>
        <w:spacing w:after="120"/>
        <w:ind w:firstLine="851"/>
        <w:jc w:val="both"/>
        <w:rPr>
          <w:lang w:val="bg-BG"/>
        </w:rPr>
      </w:pPr>
      <w:r w:rsidRPr="008E5A7C">
        <w:rPr>
          <w:lang w:val="bg-BG"/>
        </w:rPr>
        <w:t>2.  правила за допустимите разходи за различните видове конкурси и указания за изразходване и отчитане на с</w:t>
      </w:r>
      <w:r w:rsidR="005E217C">
        <w:rPr>
          <w:lang w:val="bg-BG"/>
        </w:rPr>
        <w:t>редствата, предоставени от НИФ</w:t>
      </w:r>
      <w:r w:rsidRPr="008E5A7C">
        <w:rPr>
          <w:lang w:val="bg-BG"/>
        </w:rPr>
        <w:t xml:space="preserve">; </w:t>
      </w:r>
    </w:p>
    <w:p w14:paraId="35FFEA56" w14:textId="77777777" w:rsidR="008F0BAB" w:rsidRPr="008E5A7C" w:rsidRDefault="008F0BAB" w:rsidP="006B5096">
      <w:pPr>
        <w:spacing w:after="120"/>
        <w:ind w:firstLine="851"/>
        <w:jc w:val="both"/>
        <w:rPr>
          <w:lang w:val="bg-BG"/>
        </w:rPr>
      </w:pPr>
      <w:r w:rsidRPr="008E5A7C">
        <w:rPr>
          <w:lang w:val="bg-BG"/>
        </w:rPr>
        <w:t>3. критерии за оценяване на изпълнението на проектите и правила за текущ контрол на изпълнението на договорите за финансиране на проекти;</w:t>
      </w:r>
    </w:p>
    <w:p w14:paraId="35CDB6B1" w14:textId="77777777" w:rsidR="008F0BAB" w:rsidRDefault="00DD2AB0" w:rsidP="006B5096">
      <w:pPr>
        <w:spacing w:after="120"/>
        <w:ind w:firstLine="851"/>
        <w:jc w:val="both"/>
        <w:rPr>
          <w:lang w:val="bg-BG"/>
        </w:rPr>
      </w:pPr>
      <w:r>
        <w:rPr>
          <w:lang w:val="bg-BG"/>
        </w:rPr>
        <w:t>4</w:t>
      </w:r>
      <w:r w:rsidR="008F0BAB" w:rsidRPr="008E5A7C">
        <w:rPr>
          <w:lang w:val="bg-BG"/>
        </w:rPr>
        <w:t>. решения, свързани със защитата и управлението на интел</w:t>
      </w:r>
      <w:r w:rsidR="00D60278">
        <w:rPr>
          <w:lang w:val="bg-BG"/>
        </w:rPr>
        <w:t>ектуалната собственост на НИФ</w:t>
      </w:r>
      <w:r w:rsidR="008F0BAB">
        <w:rPr>
          <w:lang w:val="bg-BG"/>
        </w:rPr>
        <w:t>.</w:t>
      </w:r>
    </w:p>
    <w:p w14:paraId="2FE668C9" w14:textId="77777777" w:rsidR="00C14704" w:rsidRPr="00C14704" w:rsidRDefault="00C14704" w:rsidP="00C14704">
      <w:pPr>
        <w:spacing w:after="120"/>
        <w:ind w:firstLine="851"/>
        <w:jc w:val="both"/>
        <w:rPr>
          <w:lang w:val="bg-BG"/>
        </w:rPr>
      </w:pPr>
      <w:r w:rsidRPr="00C14704">
        <w:rPr>
          <w:lang w:val="bg-BG"/>
        </w:rPr>
        <w:t>5. други документи и информация изискани от председателя на Комисията по чл. 6, ал. 1.</w:t>
      </w:r>
    </w:p>
    <w:p w14:paraId="354EC19C" w14:textId="77777777" w:rsidR="00485C91" w:rsidRPr="0014522D" w:rsidRDefault="00B979DD" w:rsidP="00D97558">
      <w:pPr>
        <w:spacing w:after="120"/>
        <w:ind w:firstLine="720"/>
        <w:jc w:val="both"/>
        <w:rPr>
          <w:lang w:val="bg-BG"/>
        </w:rPr>
      </w:pPr>
      <w:r>
        <w:rPr>
          <w:lang w:val="bg-BG"/>
        </w:rPr>
        <w:t>Чл. 9</w:t>
      </w:r>
      <w:r w:rsidR="00825E48" w:rsidRPr="0014522D">
        <w:rPr>
          <w:lang w:val="bg-BG"/>
        </w:rPr>
        <w:t>. (1) Критериите, по кои</w:t>
      </w:r>
      <w:r w:rsidR="009F0162">
        <w:rPr>
          <w:lang w:val="bg-BG"/>
        </w:rPr>
        <w:t>то се оценява дейността на НИФ</w:t>
      </w:r>
      <w:r w:rsidR="006B5096">
        <w:rPr>
          <w:lang w:val="bg-BG"/>
        </w:rPr>
        <w:t>,</w:t>
      </w:r>
      <w:r w:rsidR="00825E48" w:rsidRPr="0014522D">
        <w:rPr>
          <w:lang w:val="bg-BG"/>
        </w:rPr>
        <w:t xml:space="preserve"> са:</w:t>
      </w:r>
    </w:p>
    <w:p w14:paraId="2966484D" w14:textId="77777777" w:rsidR="00485C91" w:rsidRPr="0014522D" w:rsidRDefault="009F0162" w:rsidP="006B5096">
      <w:pPr>
        <w:spacing w:after="120"/>
        <w:ind w:firstLine="720"/>
        <w:jc w:val="both"/>
        <w:rPr>
          <w:lang w:val="bg-BG"/>
        </w:rPr>
      </w:pPr>
      <w:r>
        <w:rPr>
          <w:lang w:val="bg-BG"/>
        </w:rPr>
        <w:t>1. принос на НИФ</w:t>
      </w:r>
      <w:r w:rsidR="00825E48" w:rsidRPr="0014522D">
        <w:rPr>
          <w:lang w:val="bg-BG"/>
        </w:rPr>
        <w:t xml:space="preserve"> за постигане </w:t>
      </w:r>
      <w:r w:rsidRPr="00592012">
        <w:rPr>
          <w:lang w:val="bg-BG"/>
        </w:rPr>
        <w:t xml:space="preserve">целите на Иновационната стратегия за интелигентна специализация и разходването на средствата му съобразно условията на </w:t>
      </w:r>
      <w:hyperlink r:id="rId9" w:tgtFrame="_blank" w:history="1">
        <w:r w:rsidRPr="00592012">
          <w:rPr>
            <w:rStyle w:val="Hyperlink"/>
            <w:color w:val="auto"/>
            <w:u w:val="none"/>
            <w:lang w:val="bg-BG"/>
          </w:rPr>
          <w:t>чл. 59, ал. 1</w:t>
        </w:r>
      </w:hyperlink>
      <w:r w:rsidRPr="00592012">
        <w:t> </w:t>
      </w:r>
      <w:r w:rsidRPr="00592012">
        <w:rPr>
          <w:lang w:val="bg-BG"/>
        </w:rPr>
        <w:t>и</w:t>
      </w:r>
      <w:r w:rsidRPr="00592012">
        <w:t> </w:t>
      </w:r>
      <w:hyperlink r:id="rId10" w:tgtFrame="_blank" w:history="1">
        <w:r w:rsidRPr="00592012">
          <w:rPr>
            <w:rStyle w:val="Hyperlink"/>
            <w:color w:val="auto"/>
            <w:u w:val="none"/>
            <w:lang w:val="bg-BG"/>
          </w:rPr>
          <w:t>2 от Закона за насърчаване на научните изследвания и иновациите</w:t>
        </w:r>
      </w:hyperlink>
      <w:r w:rsidR="00825E48" w:rsidRPr="0014522D">
        <w:rPr>
          <w:lang w:val="bg-BG"/>
        </w:rPr>
        <w:t>;</w:t>
      </w:r>
    </w:p>
    <w:p w14:paraId="53F08884" w14:textId="50D9C603" w:rsidR="00485C91" w:rsidRPr="000A10D0" w:rsidRDefault="004D0344" w:rsidP="006B5096">
      <w:pPr>
        <w:spacing w:after="120"/>
        <w:ind w:firstLine="720"/>
        <w:jc w:val="both"/>
        <w:rPr>
          <w:lang w:val="bg-BG"/>
        </w:rPr>
      </w:pPr>
      <w:r>
        <w:rPr>
          <w:lang w:val="bg-BG"/>
        </w:rPr>
        <w:t xml:space="preserve">2. </w:t>
      </w:r>
      <w:r w:rsidR="00825E48" w:rsidRPr="000A10D0">
        <w:rPr>
          <w:lang w:val="bg-BG"/>
        </w:rPr>
        <w:t xml:space="preserve">изпълнението на </w:t>
      </w:r>
      <w:r w:rsidR="000A10D0" w:rsidRPr="000A10D0">
        <w:rPr>
          <w:lang w:val="bg-BG"/>
        </w:rPr>
        <w:t xml:space="preserve">тригодишната оперативна програма на </w:t>
      </w:r>
      <w:r w:rsidR="00A40094">
        <w:rPr>
          <w:lang w:val="bg-BG"/>
        </w:rPr>
        <w:t>НИФ</w:t>
      </w:r>
      <w:r w:rsidR="000A10D0" w:rsidRPr="000A10D0">
        <w:rPr>
          <w:lang w:val="bg-BG"/>
        </w:rPr>
        <w:t xml:space="preserve"> за периода на съответната средносрочна бюджетна прогноза</w:t>
      </w:r>
      <w:r w:rsidR="00825E48" w:rsidRPr="000A10D0">
        <w:rPr>
          <w:lang w:val="bg-BG"/>
        </w:rPr>
        <w:t>;</w:t>
      </w:r>
    </w:p>
    <w:p w14:paraId="4DB201ED" w14:textId="77777777" w:rsidR="00485C91" w:rsidRPr="0014522D" w:rsidRDefault="00825E48" w:rsidP="006B5096">
      <w:pPr>
        <w:spacing w:after="120"/>
        <w:ind w:firstLine="720"/>
        <w:jc w:val="both"/>
        <w:rPr>
          <w:lang w:val="bg-BG"/>
        </w:rPr>
      </w:pPr>
      <w:r w:rsidRPr="0014522D">
        <w:rPr>
          <w:lang w:val="bg-BG"/>
        </w:rPr>
        <w:t>3. ефективност на дейността по осъществявания контрол на изпълнение и отчитане на финансираните проекти;</w:t>
      </w:r>
    </w:p>
    <w:p w14:paraId="4100AFFF" w14:textId="77777777" w:rsidR="00485C91" w:rsidRPr="0014522D" w:rsidRDefault="007825AB" w:rsidP="006B5096">
      <w:pPr>
        <w:spacing w:after="120"/>
        <w:ind w:firstLine="720"/>
        <w:jc w:val="both"/>
        <w:rPr>
          <w:lang w:val="bg-BG"/>
        </w:rPr>
      </w:pPr>
      <w:r>
        <w:rPr>
          <w:lang w:val="bg-BG"/>
        </w:rPr>
        <w:t>4</w:t>
      </w:r>
      <w:r w:rsidR="00825E48" w:rsidRPr="0014522D">
        <w:rPr>
          <w:lang w:val="bg-BG"/>
        </w:rPr>
        <w:t>. социално-икономическо въздействие на резултатите от финансираните проекти;</w:t>
      </w:r>
    </w:p>
    <w:p w14:paraId="526CADBD" w14:textId="77777777" w:rsidR="00485C91" w:rsidRPr="0014522D" w:rsidRDefault="007825AB" w:rsidP="006B5096">
      <w:pPr>
        <w:spacing w:after="120"/>
        <w:ind w:firstLine="720"/>
        <w:jc w:val="both"/>
        <w:rPr>
          <w:lang w:val="bg-BG"/>
        </w:rPr>
      </w:pPr>
      <w:r>
        <w:rPr>
          <w:lang w:val="bg-BG"/>
        </w:rPr>
        <w:t>5</w:t>
      </w:r>
      <w:r w:rsidR="00825E48" w:rsidRPr="0014522D">
        <w:rPr>
          <w:lang w:val="bg-BG"/>
        </w:rPr>
        <w:t>. качество на работни процеси</w:t>
      </w:r>
      <w:r w:rsidR="005E217C">
        <w:rPr>
          <w:lang w:val="bg-BG"/>
        </w:rPr>
        <w:t xml:space="preserve"> и практики, прилагани от НИФ</w:t>
      </w:r>
      <w:r w:rsidR="00825E48" w:rsidRPr="0014522D">
        <w:rPr>
          <w:lang w:val="bg-BG"/>
        </w:rPr>
        <w:t xml:space="preserve"> през оценявания период</w:t>
      </w:r>
      <w:r w:rsidR="000A10D0">
        <w:rPr>
          <w:lang w:val="bg-BG"/>
        </w:rPr>
        <w:t>.</w:t>
      </w:r>
    </w:p>
    <w:p w14:paraId="2E521F47" w14:textId="77777777" w:rsidR="00305AEF" w:rsidRPr="00305AEF" w:rsidRDefault="00305AEF" w:rsidP="00305AEF">
      <w:pPr>
        <w:spacing w:after="120"/>
        <w:ind w:firstLine="720"/>
        <w:jc w:val="both"/>
        <w:rPr>
          <w:lang w:val="bg-BG"/>
        </w:rPr>
      </w:pPr>
      <w:r w:rsidRPr="00305AEF">
        <w:rPr>
          <w:lang w:val="bg-BG"/>
        </w:rPr>
        <w:lastRenderedPageBreak/>
        <w:t>(2) Със заповедта по чл. 6, ал. 2 може да се определят и допълнителни критерии, по които се извършва наблюдение и оценка на дейността на НИФ.</w:t>
      </w:r>
    </w:p>
    <w:p w14:paraId="1F86A4B0" w14:textId="77777777" w:rsidR="00485C91" w:rsidRPr="0014522D" w:rsidRDefault="00825E48" w:rsidP="006B5096">
      <w:pPr>
        <w:spacing w:after="120"/>
        <w:ind w:firstLine="720"/>
        <w:jc w:val="both"/>
        <w:rPr>
          <w:lang w:val="bg-BG"/>
        </w:rPr>
      </w:pPr>
      <w:r w:rsidRPr="0014522D">
        <w:rPr>
          <w:lang w:val="bg-BG"/>
        </w:rPr>
        <w:t>(</w:t>
      </w:r>
      <w:r w:rsidR="00305AEF">
        <w:rPr>
          <w:lang w:val="bg-BG"/>
        </w:rPr>
        <w:t>3</w:t>
      </w:r>
      <w:r w:rsidRPr="0014522D">
        <w:rPr>
          <w:lang w:val="bg-BG"/>
        </w:rPr>
        <w:t>) В съответствие с критериите по ал. 1</w:t>
      </w:r>
      <w:r w:rsidR="00305AEF">
        <w:rPr>
          <w:lang w:val="bg-BG"/>
        </w:rPr>
        <w:t xml:space="preserve"> и 2, и</w:t>
      </w:r>
      <w:r w:rsidRPr="0014522D">
        <w:rPr>
          <w:lang w:val="bg-BG"/>
        </w:rPr>
        <w:t xml:space="preserve"> въз</w:t>
      </w:r>
      <w:r w:rsidR="000A10D0">
        <w:rPr>
          <w:lang w:val="bg-BG"/>
        </w:rPr>
        <w:t xml:space="preserve"> основа на информацията по чл. 7 и 8</w:t>
      </w:r>
      <w:r w:rsidRPr="0014522D">
        <w:rPr>
          <w:lang w:val="bg-BG"/>
        </w:rPr>
        <w:t xml:space="preserve"> коми</w:t>
      </w:r>
      <w:r w:rsidR="000A10D0">
        <w:rPr>
          <w:lang w:val="bg-BG"/>
        </w:rPr>
        <w:t>сията оценява дейността на НИФ</w:t>
      </w:r>
      <w:r w:rsidR="00305AEF">
        <w:rPr>
          <w:lang w:val="bg-BG"/>
        </w:rPr>
        <w:t xml:space="preserve"> </w:t>
      </w:r>
      <w:r w:rsidRPr="0014522D">
        <w:rPr>
          <w:lang w:val="bg-BG"/>
        </w:rPr>
        <w:t>з</w:t>
      </w:r>
      <w:r w:rsidR="00305AEF">
        <w:rPr>
          <w:lang w:val="bg-BG"/>
        </w:rPr>
        <w:t>а</w:t>
      </w:r>
      <w:r w:rsidRPr="0014522D">
        <w:rPr>
          <w:lang w:val="bg-BG"/>
        </w:rPr>
        <w:t xml:space="preserve"> съответния отчетен период.</w:t>
      </w:r>
    </w:p>
    <w:p w14:paraId="0B68A8C4" w14:textId="77777777" w:rsidR="00D10D51" w:rsidRDefault="00D10D51" w:rsidP="006B5096">
      <w:pPr>
        <w:pStyle w:val="Heading3"/>
        <w:spacing w:after="120"/>
        <w:jc w:val="center"/>
        <w:rPr>
          <w:b/>
          <w:bCs/>
          <w:sz w:val="36"/>
          <w:szCs w:val="36"/>
          <w:lang w:val="bg-BG"/>
        </w:rPr>
      </w:pPr>
    </w:p>
    <w:p w14:paraId="491F1CDA" w14:textId="77777777" w:rsidR="00D10D51" w:rsidRDefault="00D10D51" w:rsidP="006B5096">
      <w:pPr>
        <w:pStyle w:val="Heading3"/>
        <w:spacing w:after="120"/>
        <w:jc w:val="center"/>
        <w:rPr>
          <w:b/>
          <w:bCs/>
          <w:sz w:val="36"/>
          <w:szCs w:val="36"/>
          <w:lang w:val="bg-BG"/>
        </w:rPr>
      </w:pPr>
    </w:p>
    <w:p w14:paraId="49A2B322" w14:textId="77777777" w:rsidR="00485C91" w:rsidRPr="0014522D" w:rsidRDefault="00825E48" w:rsidP="006B5096">
      <w:pPr>
        <w:pStyle w:val="Heading3"/>
        <w:spacing w:after="120"/>
        <w:jc w:val="center"/>
        <w:rPr>
          <w:b/>
          <w:bCs/>
          <w:sz w:val="36"/>
          <w:szCs w:val="36"/>
          <w:lang w:val="bg-BG"/>
        </w:rPr>
      </w:pPr>
      <w:r w:rsidRPr="0014522D">
        <w:rPr>
          <w:b/>
          <w:bCs/>
          <w:sz w:val="36"/>
          <w:szCs w:val="36"/>
          <w:lang w:val="bg-BG"/>
        </w:rPr>
        <w:t>ДОПЪЛНИТЕЛНА РАЗПОРЕДБА</w:t>
      </w:r>
    </w:p>
    <w:p w14:paraId="01BEF453" w14:textId="77777777" w:rsidR="00485C91" w:rsidRPr="0014522D" w:rsidRDefault="00825E48" w:rsidP="006B5096">
      <w:pPr>
        <w:spacing w:after="120"/>
        <w:ind w:firstLine="990"/>
        <w:jc w:val="both"/>
        <w:rPr>
          <w:lang w:val="bg-BG"/>
        </w:rPr>
      </w:pPr>
      <w:r w:rsidRPr="0014522D">
        <w:rPr>
          <w:lang w:val="bg-BG"/>
        </w:rPr>
        <w:t>§ 1. По смисъла на този правилник:</w:t>
      </w:r>
    </w:p>
    <w:p w14:paraId="15AFC6E2" w14:textId="77777777" w:rsidR="00485C91" w:rsidRDefault="00105241" w:rsidP="00105241">
      <w:pPr>
        <w:spacing w:after="120"/>
        <w:ind w:firstLine="720"/>
        <w:jc w:val="both"/>
        <w:rPr>
          <w:lang w:val="bg-BG"/>
        </w:rPr>
      </w:pPr>
      <w:r>
        <w:rPr>
          <w:lang w:val="bg-BG"/>
        </w:rPr>
        <w:t xml:space="preserve">     </w:t>
      </w:r>
      <w:r w:rsidR="00825E48" w:rsidRPr="0014522D">
        <w:rPr>
          <w:lang w:val="bg-BG"/>
        </w:rPr>
        <w:t xml:space="preserve">1. </w:t>
      </w:r>
      <w:r w:rsidR="00825E48" w:rsidRPr="0085684C">
        <w:rPr>
          <w:color w:val="2E74B5" w:themeColor="accent1" w:themeShade="BF"/>
          <w:lang w:val="bg-BG"/>
        </w:rPr>
        <w:t xml:space="preserve">"Конфиденциалност" </w:t>
      </w:r>
      <w:r w:rsidR="00825E48" w:rsidRPr="0014522D">
        <w:rPr>
          <w:lang w:val="bg-BG"/>
        </w:rPr>
        <w:t xml:space="preserve">е забрана за </w:t>
      </w:r>
      <w:r w:rsidR="00AB4543">
        <w:rPr>
          <w:lang w:val="bg-BG"/>
        </w:rPr>
        <w:t xml:space="preserve">членовете </w:t>
      </w:r>
      <w:r w:rsidR="00A351B4">
        <w:rPr>
          <w:lang w:val="bg-BG"/>
        </w:rPr>
        <w:t>на комисията по</w:t>
      </w:r>
      <w:r w:rsidR="00AB4543">
        <w:rPr>
          <w:lang w:val="bg-BG"/>
        </w:rPr>
        <w:t xml:space="preserve"> чл. 6 да разгласяват</w:t>
      </w:r>
      <w:r w:rsidR="00825E48" w:rsidRPr="0014522D">
        <w:rPr>
          <w:lang w:val="bg-BG"/>
        </w:rPr>
        <w:t xml:space="preserve"> или предоставят на трети лица информация, станала им известна при или по повод изпълнение на задълженията им, освен когато това е предвидено в закон.</w:t>
      </w:r>
    </w:p>
    <w:p w14:paraId="136D7E75" w14:textId="77777777" w:rsidR="003055C4" w:rsidRPr="0014522D" w:rsidRDefault="00AA22D9" w:rsidP="00F52069">
      <w:pPr>
        <w:spacing w:after="120"/>
        <w:jc w:val="both"/>
        <w:rPr>
          <w:lang w:val="bg-BG"/>
        </w:rPr>
      </w:pPr>
      <w:r>
        <w:rPr>
          <w:lang w:val="bg-BG"/>
        </w:rPr>
        <w:tab/>
        <w:t xml:space="preserve">     2. </w:t>
      </w:r>
      <w:r w:rsidRPr="00857EF8">
        <w:rPr>
          <w:b/>
          <w:color w:val="2E74B5" w:themeColor="accent1" w:themeShade="BF"/>
          <w:lang w:val="bg-BG"/>
        </w:rPr>
        <w:t>„</w:t>
      </w:r>
      <w:r w:rsidRPr="00857EF8">
        <w:rPr>
          <w:rStyle w:val="Strong"/>
          <w:b w:val="0"/>
          <w:color w:val="2E74B5" w:themeColor="accent1" w:themeShade="BF"/>
          <w:lang w:val="bg-BG"/>
        </w:rPr>
        <w:t>Достоверен източник на информация“</w:t>
      </w:r>
      <w:r w:rsidRPr="00857EF8">
        <w:rPr>
          <w:color w:val="2E74B5" w:themeColor="accent1" w:themeShade="BF"/>
          <w:lang w:val="bg-BG"/>
        </w:rPr>
        <w:t xml:space="preserve"> </w:t>
      </w:r>
      <w:r w:rsidRPr="00F52069">
        <w:rPr>
          <w:lang w:val="bg-BG"/>
        </w:rPr>
        <w:t>е  източник, който предоставя надеждни, точни и проверими данни, основани на факти, обективност и авторитет</w:t>
      </w:r>
      <w:r w:rsidR="006B7FC6">
        <w:rPr>
          <w:lang w:val="bg-BG"/>
        </w:rPr>
        <w:t xml:space="preserve"> и биват</w:t>
      </w:r>
      <w:r w:rsidR="006B7FC6" w:rsidRPr="00DA273E">
        <w:rPr>
          <w:lang w:val="bg-BG"/>
        </w:rPr>
        <w:t xml:space="preserve"> </w:t>
      </w:r>
      <w:r w:rsidR="006B7FC6" w:rsidRPr="006B7FC6">
        <w:rPr>
          <w:lang w:val="bg-BG"/>
        </w:rPr>
        <w:t>официални</w:t>
      </w:r>
      <w:r w:rsidR="006B7FC6">
        <w:rPr>
          <w:lang w:val="bg-BG"/>
        </w:rPr>
        <w:t xml:space="preserve"> документи на публични органи, информация, съдържаща се в </w:t>
      </w:r>
      <w:r w:rsidR="006B7FC6" w:rsidRPr="006B7FC6">
        <w:rPr>
          <w:lang w:val="bg-BG"/>
        </w:rPr>
        <w:t>публични регистри</w:t>
      </w:r>
      <w:r w:rsidR="007A56E6">
        <w:rPr>
          <w:lang w:val="bg-BG"/>
        </w:rPr>
        <w:t xml:space="preserve"> и </w:t>
      </w:r>
      <w:r>
        <w:rPr>
          <w:lang w:val="bg-BG"/>
        </w:rPr>
        <w:t xml:space="preserve">доклади на </w:t>
      </w:r>
      <w:r w:rsidR="00986F22">
        <w:rPr>
          <w:lang w:val="bg-BG"/>
        </w:rPr>
        <w:t xml:space="preserve">национални и европейски </w:t>
      </w:r>
      <w:r>
        <w:rPr>
          <w:lang w:val="bg-BG"/>
        </w:rPr>
        <w:t>контролни органи.</w:t>
      </w:r>
    </w:p>
    <w:p w14:paraId="6A991B61" w14:textId="77777777" w:rsidR="00AB4543" w:rsidRPr="00F52069" w:rsidRDefault="00AB4543" w:rsidP="006B5096">
      <w:pPr>
        <w:pStyle w:val="Heading3"/>
        <w:spacing w:after="120"/>
        <w:jc w:val="center"/>
        <w:rPr>
          <w:b/>
          <w:bCs/>
          <w:sz w:val="36"/>
          <w:szCs w:val="36"/>
          <w:lang w:val="bg-BG"/>
        </w:rPr>
      </w:pPr>
    </w:p>
    <w:p w14:paraId="0EBC4004" w14:textId="77777777" w:rsidR="00485C91" w:rsidRPr="0014522D" w:rsidRDefault="00825E48" w:rsidP="006B5096">
      <w:pPr>
        <w:pStyle w:val="Heading3"/>
        <w:spacing w:after="120"/>
        <w:jc w:val="center"/>
        <w:rPr>
          <w:b/>
          <w:bCs/>
          <w:sz w:val="36"/>
          <w:szCs w:val="36"/>
          <w:lang w:val="bg-BG"/>
        </w:rPr>
      </w:pPr>
      <w:r w:rsidRPr="0014522D">
        <w:rPr>
          <w:b/>
          <w:bCs/>
          <w:sz w:val="36"/>
          <w:szCs w:val="36"/>
          <w:lang w:val="bg-BG"/>
        </w:rPr>
        <w:t>ЗАКЛЮЧИТЕЛН</w:t>
      </w:r>
      <w:r w:rsidR="009D13A7">
        <w:rPr>
          <w:b/>
          <w:bCs/>
          <w:sz w:val="36"/>
          <w:szCs w:val="36"/>
          <w:lang w:val="bg-BG"/>
        </w:rPr>
        <w:t>И</w:t>
      </w:r>
      <w:r w:rsidRPr="0014522D">
        <w:rPr>
          <w:b/>
          <w:bCs/>
          <w:sz w:val="36"/>
          <w:szCs w:val="36"/>
          <w:lang w:val="bg-BG"/>
        </w:rPr>
        <w:t xml:space="preserve"> РАЗПОРЕДБ</w:t>
      </w:r>
      <w:r w:rsidR="009D13A7">
        <w:rPr>
          <w:b/>
          <w:bCs/>
          <w:sz w:val="36"/>
          <w:szCs w:val="36"/>
          <w:lang w:val="bg-BG"/>
        </w:rPr>
        <w:t>И</w:t>
      </w:r>
    </w:p>
    <w:p w14:paraId="66F0A2E1" w14:textId="77777777" w:rsidR="00485C91" w:rsidRDefault="004F1A0F" w:rsidP="006B5096">
      <w:pPr>
        <w:spacing w:after="120"/>
        <w:ind w:firstLine="990"/>
        <w:jc w:val="both"/>
        <w:rPr>
          <w:lang w:val="bg-BG"/>
        </w:rPr>
      </w:pPr>
      <w:r>
        <w:rPr>
          <w:lang w:val="bg-BG"/>
        </w:rPr>
        <w:t>§ 2</w:t>
      </w:r>
      <w:r w:rsidR="00825E48" w:rsidRPr="0014522D">
        <w:rPr>
          <w:lang w:val="bg-BG"/>
        </w:rPr>
        <w:t>. Правилник</w:t>
      </w:r>
      <w:r w:rsidR="000059E7">
        <w:rPr>
          <w:lang w:val="bg-BG"/>
        </w:rPr>
        <w:t>ът се издава на основание чл. 86</w:t>
      </w:r>
      <w:r w:rsidR="00825E48" w:rsidRPr="0014522D">
        <w:rPr>
          <w:lang w:val="bg-BG"/>
        </w:rPr>
        <w:t xml:space="preserve"> от Закона за насърчаване на научните изследвания и </w:t>
      </w:r>
      <w:r w:rsidR="00EB6EC8">
        <w:rPr>
          <w:lang w:val="bg-BG"/>
        </w:rPr>
        <w:t>иновациите.</w:t>
      </w:r>
    </w:p>
    <w:p w14:paraId="38A5923E" w14:textId="77777777" w:rsidR="003A0DD4" w:rsidRPr="003A0DD4" w:rsidRDefault="003A0DD4" w:rsidP="003A0DD4">
      <w:pPr>
        <w:spacing w:after="120"/>
        <w:ind w:firstLine="990"/>
        <w:jc w:val="both"/>
        <w:rPr>
          <w:lang w:val="bg-BG"/>
        </w:rPr>
      </w:pPr>
      <w:r w:rsidRPr="003A0DD4">
        <w:rPr>
          <w:lang w:val="bg-BG"/>
        </w:rPr>
        <w:t>§</w:t>
      </w:r>
      <w:r w:rsidR="0015318B">
        <w:rPr>
          <w:lang w:val="bg-BG"/>
        </w:rPr>
        <w:t xml:space="preserve"> </w:t>
      </w:r>
      <w:r w:rsidR="004F1A0F">
        <w:rPr>
          <w:lang w:val="bg-BG"/>
        </w:rPr>
        <w:t>3</w:t>
      </w:r>
      <w:r w:rsidRPr="003A0DD4">
        <w:rPr>
          <w:lang w:val="bg-BG"/>
        </w:rPr>
        <w:t>. Дейности по наблюдение и оценка на дейността на НИФ за 2025</w:t>
      </w:r>
      <w:r w:rsidR="00F06FCE" w:rsidRPr="00DA273E">
        <w:rPr>
          <w:lang w:val="bg-BG"/>
        </w:rPr>
        <w:t xml:space="preserve"> </w:t>
      </w:r>
      <w:r w:rsidR="00F06FCE">
        <w:rPr>
          <w:lang w:val="bg-BG"/>
        </w:rPr>
        <w:t>г.</w:t>
      </w:r>
      <w:r w:rsidRPr="003A0DD4">
        <w:rPr>
          <w:lang w:val="bg-BG"/>
        </w:rPr>
        <w:t xml:space="preserve"> не се извършват.</w:t>
      </w:r>
    </w:p>
    <w:p w14:paraId="42E81BB5" w14:textId="77777777" w:rsidR="003A0DD4" w:rsidRDefault="0015318B" w:rsidP="003A0DD4">
      <w:pPr>
        <w:spacing w:after="120"/>
        <w:ind w:firstLine="990"/>
        <w:jc w:val="both"/>
        <w:rPr>
          <w:lang w:val="bg-BG"/>
        </w:rPr>
      </w:pPr>
      <w:r>
        <w:rPr>
          <w:lang w:val="bg-BG"/>
        </w:rPr>
        <w:t xml:space="preserve">§ </w:t>
      </w:r>
      <w:r w:rsidR="004F1A0F">
        <w:rPr>
          <w:lang w:val="bg-BG"/>
        </w:rPr>
        <w:t>4</w:t>
      </w:r>
      <w:r w:rsidR="003A0DD4" w:rsidRPr="0014522D">
        <w:rPr>
          <w:lang w:val="bg-BG"/>
        </w:rPr>
        <w:t>. Правилникът в</w:t>
      </w:r>
      <w:r w:rsidR="003A0DD4">
        <w:rPr>
          <w:lang w:val="bg-BG"/>
        </w:rPr>
        <w:t>лиза в сила от деня на неговото обнародване.</w:t>
      </w:r>
    </w:p>
    <w:p w14:paraId="5D7BB7A8" w14:textId="77777777" w:rsidR="000059E7" w:rsidRDefault="000059E7">
      <w:pPr>
        <w:jc w:val="both"/>
        <w:rPr>
          <w:lang w:val="bg-BG"/>
        </w:rPr>
      </w:pPr>
    </w:p>
    <w:p w14:paraId="6E419E1E" w14:textId="77777777" w:rsidR="000059E7" w:rsidRDefault="000059E7">
      <w:pPr>
        <w:jc w:val="both"/>
        <w:rPr>
          <w:lang w:val="bg-BG"/>
        </w:rPr>
      </w:pPr>
    </w:p>
    <w:p w14:paraId="665BC8ED" w14:textId="77777777" w:rsidR="000059E7" w:rsidRDefault="000059E7">
      <w:pPr>
        <w:jc w:val="both"/>
        <w:rPr>
          <w:lang w:val="bg-BG"/>
        </w:rPr>
      </w:pPr>
    </w:p>
    <w:p w14:paraId="6A3818D1" w14:textId="77777777" w:rsidR="00515EEF" w:rsidRPr="001C1E73" w:rsidRDefault="00515EEF" w:rsidP="00515EEF">
      <w:pPr>
        <w:jc w:val="both"/>
        <w:rPr>
          <w:b/>
          <w:lang w:val="bg-BG"/>
        </w:rPr>
      </w:pPr>
      <w:r w:rsidRPr="001C1E73">
        <w:rPr>
          <w:b/>
          <w:lang w:val="bg-BG"/>
        </w:rPr>
        <w:t xml:space="preserve">Приложение № 1 към чл. 6, ал. </w:t>
      </w:r>
      <w:r w:rsidR="00532334">
        <w:rPr>
          <w:b/>
          <w:lang w:val="bg-BG"/>
        </w:rPr>
        <w:t>7</w:t>
      </w:r>
    </w:p>
    <w:p w14:paraId="051CF946" w14:textId="77777777" w:rsidR="00515EEF" w:rsidRPr="001C1E73" w:rsidRDefault="00515EEF" w:rsidP="00515EEF">
      <w:pPr>
        <w:jc w:val="both"/>
        <w:rPr>
          <w:b/>
          <w:lang w:val="bg-BG"/>
        </w:rPr>
      </w:pPr>
      <w:r w:rsidRPr="001C1E73">
        <w:rPr>
          <w:b/>
          <w:lang w:val="bg-BG"/>
        </w:rPr>
        <w:t xml:space="preserve">Декларация </w:t>
      </w:r>
    </w:p>
    <w:p w14:paraId="4393A2C2" w14:textId="77777777" w:rsidR="00515EEF" w:rsidRDefault="00515EEF" w:rsidP="00515EEF">
      <w:pPr>
        <w:jc w:val="both"/>
        <w:rPr>
          <w:lang w:val="bg-BG"/>
        </w:rPr>
      </w:pPr>
    </w:p>
    <w:p w14:paraId="11D7CC63" w14:textId="77777777" w:rsidR="00515EEF" w:rsidRPr="00676AAA" w:rsidRDefault="00515EEF" w:rsidP="00515EEF">
      <w:pPr>
        <w:spacing w:line="360" w:lineRule="auto"/>
        <w:ind w:firstLine="720"/>
        <w:jc w:val="both"/>
        <w:outlineLvl w:val="0"/>
        <w:rPr>
          <w:lang w:val="bg-BG" w:eastAsia="bg-BG"/>
        </w:rPr>
      </w:pPr>
    </w:p>
    <w:p w14:paraId="1EC8B8A0" w14:textId="77777777" w:rsidR="00515EEF" w:rsidRPr="00515EEF" w:rsidRDefault="00515EEF" w:rsidP="00515EEF">
      <w:pPr>
        <w:jc w:val="center"/>
        <w:outlineLvl w:val="0"/>
        <w:rPr>
          <w:b/>
          <w:sz w:val="20"/>
          <w:szCs w:val="20"/>
          <w:lang w:val="bg-BG"/>
        </w:rPr>
      </w:pPr>
      <w:r w:rsidRPr="00515EEF">
        <w:rPr>
          <w:b/>
          <w:sz w:val="20"/>
          <w:szCs w:val="20"/>
          <w:lang w:val="bg-BG"/>
        </w:rPr>
        <w:t xml:space="preserve">ДЕКЛАРАЦИЯ </w:t>
      </w:r>
    </w:p>
    <w:p w14:paraId="155F909E" w14:textId="77777777" w:rsidR="00515EEF" w:rsidRPr="00515EEF" w:rsidRDefault="00515EEF" w:rsidP="00515EEF">
      <w:pPr>
        <w:jc w:val="center"/>
        <w:outlineLvl w:val="0"/>
        <w:rPr>
          <w:bCs/>
          <w:sz w:val="20"/>
          <w:szCs w:val="20"/>
          <w:lang w:val="bg-BG"/>
        </w:rPr>
      </w:pPr>
      <w:r w:rsidRPr="00515EEF">
        <w:rPr>
          <w:bCs/>
          <w:sz w:val="20"/>
          <w:szCs w:val="20"/>
          <w:lang w:val="bg-BG"/>
        </w:rPr>
        <w:t>за конфиденциалност и липса на личен интерес</w:t>
      </w:r>
    </w:p>
    <w:p w14:paraId="0E3BC39C" w14:textId="77777777" w:rsidR="00515EEF" w:rsidRPr="00515EEF" w:rsidRDefault="00515EEF" w:rsidP="00515EEF">
      <w:pPr>
        <w:jc w:val="center"/>
        <w:outlineLvl w:val="0"/>
        <w:rPr>
          <w:bCs/>
          <w:sz w:val="20"/>
          <w:szCs w:val="20"/>
          <w:lang w:val="bg-BG"/>
        </w:rPr>
      </w:pPr>
    </w:p>
    <w:p w14:paraId="25CBF2B8" w14:textId="77777777" w:rsidR="00515EEF" w:rsidRPr="00515EEF" w:rsidRDefault="00515EEF" w:rsidP="00515EEF">
      <w:pPr>
        <w:ind w:firstLine="720"/>
        <w:outlineLvl w:val="0"/>
        <w:rPr>
          <w:b/>
          <w:sz w:val="20"/>
          <w:szCs w:val="20"/>
          <w:lang w:val="bg-BG" w:eastAsia="bg-BG"/>
        </w:rPr>
      </w:pPr>
    </w:p>
    <w:p w14:paraId="1C2B356B" w14:textId="77777777" w:rsidR="00515EEF" w:rsidRPr="00515EEF" w:rsidRDefault="00515EEF" w:rsidP="00515EEF">
      <w:pPr>
        <w:jc w:val="both"/>
        <w:outlineLvl w:val="0"/>
        <w:rPr>
          <w:sz w:val="20"/>
          <w:szCs w:val="20"/>
          <w:lang w:val="bg-BG" w:eastAsia="bg-BG"/>
        </w:rPr>
      </w:pPr>
      <w:r w:rsidRPr="00515EEF">
        <w:rPr>
          <w:sz w:val="20"/>
          <w:szCs w:val="20"/>
          <w:lang w:val="bg-BG" w:eastAsia="bg-BG"/>
        </w:rPr>
        <w:t>Долуподписаният/та …………………………………………………………………………………………………</w:t>
      </w:r>
    </w:p>
    <w:p w14:paraId="40AD02AB" w14:textId="77777777" w:rsidR="00515EEF" w:rsidRPr="00515EEF" w:rsidRDefault="00515EEF" w:rsidP="00515EEF">
      <w:pPr>
        <w:jc w:val="both"/>
        <w:outlineLvl w:val="0"/>
        <w:rPr>
          <w:sz w:val="20"/>
          <w:szCs w:val="20"/>
          <w:lang w:val="bg-BG" w:eastAsia="bg-BG"/>
        </w:rPr>
      </w:pPr>
      <w:r w:rsidRPr="00515EEF">
        <w:rPr>
          <w:sz w:val="20"/>
          <w:szCs w:val="20"/>
          <w:lang w:val="bg-BG" w:eastAsia="bg-BG"/>
        </w:rPr>
        <w:t>Адрес: …………………………………………………………………………………………………</w:t>
      </w:r>
    </w:p>
    <w:p w14:paraId="484C27D2" w14:textId="77777777" w:rsidR="00515EEF" w:rsidRPr="00515EEF" w:rsidRDefault="00515EEF" w:rsidP="00515EEF">
      <w:pPr>
        <w:jc w:val="both"/>
        <w:outlineLvl w:val="0"/>
        <w:rPr>
          <w:sz w:val="20"/>
          <w:szCs w:val="20"/>
          <w:lang w:val="bg-BG" w:eastAsia="bg-BG"/>
        </w:rPr>
      </w:pPr>
      <w:r w:rsidRPr="00515EEF">
        <w:rPr>
          <w:sz w:val="20"/>
          <w:szCs w:val="20"/>
          <w:lang w:val="bg-BG" w:eastAsia="bg-BG"/>
        </w:rPr>
        <w:t>на длъжност……………………………………………………………………………………,</w:t>
      </w:r>
    </w:p>
    <w:p w14:paraId="2CA08AFE" w14:textId="77777777" w:rsidR="00515EEF" w:rsidRPr="00515EEF" w:rsidRDefault="00515EEF" w:rsidP="00515EEF">
      <w:pPr>
        <w:jc w:val="both"/>
        <w:outlineLvl w:val="0"/>
        <w:rPr>
          <w:sz w:val="20"/>
          <w:szCs w:val="20"/>
          <w:lang w:val="bg-BG" w:eastAsia="bg-BG"/>
        </w:rPr>
      </w:pPr>
      <w:r w:rsidRPr="00515EEF">
        <w:rPr>
          <w:sz w:val="20"/>
          <w:szCs w:val="20"/>
          <w:lang w:val="bg-BG" w:eastAsia="bg-BG"/>
        </w:rPr>
        <w:t>в качеството ми на …………………. на Комисия за наблюдение и оценка на дейността на Националния иновационен фонд, назначена със Заповед на министъра на иновациите и растежа №   ............./...........….</w:t>
      </w:r>
      <w:r w:rsidRPr="00515EEF">
        <w:rPr>
          <w:sz w:val="20"/>
          <w:szCs w:val="20"/>
          <w:lang w:val="bg-BG" w:eastAsia="bg-BG"/>
        </w:rPr>
        <w:tab/>
        <w:t>г. /Комисията/</w:t>
      </w:r>
    </w:p>
    <w:p w14:paraId="2600F4BD" w14:textId="77777777" w:rsidR="00515EEF" w:rsidRPr="00515EEF" w:rsidRDefault="00515EEF" w:rsidP="00515EEF">
      <w:pPr>
        <w:jc w:val="both"/>
        <w:outlineLvl w:val="0"/>
        <w:rPr>
          <w:sz w:val="20"/>
          <w:szCs w:val="20"/>
          <w:lang w:val="bg-BG" w:eastAsia="bg-BG"/>
        </w:rPr>
      </w:pPr>
    </w:p>
    <w:p w14:paraId="0DB9AE8F" w14:textId="77777777" w:rsidR="00515EEF" w:rsidRPr="00515EEF" w:rsidRDefault="00515EEF" w:rsidP="00515EEF">
      <w:pPr>
        <w:ind w:firstLine="720"/>
        <w:jc w:val="center"/>
        <w:outlineLvl w:val="0"/>
        <w:rPr>
          <w:b/>
          <w:bCs/>
          <w:sz w:val="20"/>
          <w:szCs w:val="20"/>
          <w:lang w:val="bg-BG" w:eastAsia="bg-BG"/>
        </w:rPr>
      </w:pPr>
      <w:r w:rsidRPr="00515EEF">
        <w:rPr>
          <w:b/>
          <w:bCs/>
          <w:sz w:val="20"/>
          <w:szCs w:val="20"/>
          <w:lang w:val="bg-BG" w:eastAsia="bg-BG"/>
        </w:rPr>
        <w:t xml:space="preserve">ДЕКЛАРИРАМ, </w:t>
      </w:r>
      <w:r w:rsidRPr="00515EEF">
        <w:rPr>
          <w:sz w:val="20"/>
          <w:szCs w:val="20"/>
          <w:lang w:val="bg-BG" w:eastAsia="bg-BG"/>
        </w:rPr>
        <w:t>че:</w:t>
      </w:r>
    </w:p>
    <w:p w14:paraId="276A6AC2" w14:textId="77777777" w:rsidR="00515EEF" w:rsidRPr="00515EEF" w:rsidRDefault="00515EEF" w:rsidP="00515EEF">
      <w:pPr>
        <w:ind w:firstLine="720"/>
        <w:jc w:val="both"/>
        <w:outlineLvl w:val="0"/>
        <w:rPr>
          <w:sz w:val="20"/>
          <w:szCs w:val="20"/>
          <w:lang w:val="bg-BG" w:eastAsia="bg-BG"/>
        </w:rPr>
      </w:pPr>
    </w:p>
    <w:p w14:paraId="388E60E7" w14:textId="77777777" w:rsidR="00515EEF" w:rsidRPr="00515EEF" w:rsidRDefault="00515EEF" w:rsidP="00515EEF">
      <w:pPr>
        <w:numPr>
          <w:ilvl w:val="0"/>
          <w:numId w:val="1"/>
        </w:numPr>
        <w:ind w:left="0" w:firstLine="1134"/>
        <w:contextualSpacing/>
        <w:jc w:val="both"/>
        <w:outlineLvl w:val="0"/>
        <w:rPr>
          <w:bCs/>
          <w:sz w:val="20"/>
          <w:szCs w:val="20"/>
          <w:lang w:val="bg-BG" w:eastAsia="bg-BG"/>
        </w:rPr>
      </w:pPr>
      <w:r w:rsidRPr="00515EEF">
        <w:rPr>
          <w:bCs/>
          <w:sz w:val="20"/>
          <w:szCs w:val="20"/>
          <w:lang w:val="bg-BG" w:eastAsia="bg-BG"/>
        </w:rPr>
        <w:t>Нямам личен интерес, който може да доведе до облага, от материален или нематериален характер, за мен или свързани с мен лица, по смисъла на чл. 72 от Закона за противодействие на корупцията и за който би могло да се приеме, че би повлиял на моята безпристрастност и обективност при участието ми в работата на Комисията.</w:t>
      </w:r>
    </w:p>
    <w:p w14:paraId="4928623F" w14:textId="77777777" w:rsidR="00515EEF" w:rsidRPr="00515EEF" w:rsidRDefault="00515EEF" w:rsidP="00515EEF">
      <w:pPr>
        <w:numPr>
          <w:ilvl w:val="0"/>
          <w:numId w:val="1"/>
        </w:numPr>
        <w:ind w:left="0" w:firstLine="1134"/>
        <w:contextualSpacing/>
        <w:jc w:val="both"/>
        <w:outlineLvl w:val="0"/>
        <w:rPr>
          <w:sz w:val="20"/>
          <w:szCs w:val="20"/>
          <w:lang w:val="bg-BG" w:eastAsia="bg-BG"/>
        </w:rPr>
      </w:pPr>
      <w:r w:rsidRPr="00515EEF">
        <w:rPr>
          <w:sz w:val="20"/>
          <w:szCs w:val="20"/>
          <w:lang w:val="bg-BG" w:eastAsia="bg-BG"/>
        </w:rPr>
        <w:lastRenderedPageBreak/>
        <w:t xml:space="preserve">Приемам да третирам предоставената ми във връзка с </w:t>
      </w:r>
      <w:bookmarkStart w:id="1" w:name="_Hlk206582156"/>
      <w:r w:rsidRPr="00515EEF">
        <w:rPr>
          <w:sz w:val="20"/>
          <w:szCs w:val="20"/>
          <w:lang w:val="bg-BG" w:eastAsia="bg-BG"/>
        </w:rPr>
        <w:t xml:space="preserve">работата на </w:t>
      </w:r>
      <w:bookmarkEnd w:id="1"/>
      <w:r w:rsidRPr="00515EEF">
        <w:rPr>
          <w:sz w:val="20"/>
          <w:szCs w:val="20"/>
          <w:lang w:val="bg-BG" w:eastAsia="bg-BG"/>
        </w:rPr>
        <w:t>Комисията устна или писмена информация и/или данни като „конфиденциална информация”.</w:t>
      </w:r>
    </w:p>
    <w:p w14:paraId="2D4DED0B" w14:textId="77777777" w:rsidR="00515EEF" w:rsidRPr="00515EEF" w:rsidRDefault="00515EEF" w:rsidP="00515EEF">
      <w:pPr>
        <w:numPr>
          <w:ilvl w:val="0"/>
          <w:numId w:val="1"/>
        </w:numPr>
        <w:ind w:left="0" w:firstLine="1134"/>
        <w:contextualSpacing/>
        <w:jc w:val="both"/>
        <w:outlineLvl w:val="0"/>
        <w:rPr>
          <w:sz w:val="20"/>
          <w:szCs w:val="20"/>
          <w:lang w:val="bg-BG" w:eastAsia="bg-BG"/>
        </w:rPr>
      </w:pPr>
      <w:r w:rsidRPr="00515EEF">
        <w:rPr>
          <w:sz w:val="20"/>
          <w:szCs w:val="20"/>
          <w:lang w:val="bg-BG" w:eastAsia="bg-BG"/>
        </w:rPr>
        <w:t>Няма да разгласявам по никакъв начин конфиденциална информация по отношение на информацията, станала ми известна в процеса на работа на Комисията, извън състава на същата.</w:t>
      </w:r>
    </w:p>
    <w:p w14:paraId="218B96E4" w14:textId="77777777" w:rsidR="00515EEF" w:rsidRPr="00515EEF" w:rsidRDefault="00515EEF" w:rsidP="00515EEF">
      <w:pPr>
        <w:numPr>
          <w:ilvl w:val="0"/>
          <w:numId w:val="1"/>
        </w:numPr>
        <w:ind w:left="0" w:firstLine="1134"/>
        <w:contextualSpacing/>
        <w:jc w:val="both"/>
        <w:outlineLvl w:val="0"/>
        <w:rPr>
          <w:sz w:val="20"/>
          <w:szCs w:val="20"/>
          <w:lang w:val="bg-BG" w:eastAsia="bg-BG"/>
        </w:rPr>
      </w:pPr>
      <w:r w:rsidRPr="00515EEF">
        <w:rPr>
          <w:sz w:val="20"/>
          <w:szCs w:val="20"/>
          <w:lang w:val="bg-BG" w:eastAsia="bg-BG"/>
        </w:rPr>
        <w:t>Разгласяване на конфиденциална информация по смисъла на настоящата Декларация представлява всякакъв вид устно или писмено изявление, предаване на информация на хартиен, електронен или друг носител, включително по поща, факс или електронна поща, както и всякакъв друг начин на разгласяване на информация, в това число чрез средствата за масово осведомяване, печатните издания или Интернет.</w:t>
      </w:r>
    </w:p>
    <w:p w14:paraId="03285EC8" w14:textId="77777777" w:rsidR="00515EEF" w:rsidRPr="00515EEF" w:rsidRDefault="00515EEF" w:rsidP="00515EEF">
      <w:pPr>
        <w:numPr>
          <w:ilvl w:val="0"/>
          <w:numId w:val="1"/>
        </w:numPr>
        <w:ind w:left="0" w:firstLine="1134"/>
        <w:contextualSpacing/>
        <w:jc w:val="both"/>
        <w:outlineLvl w:val="0"/>
        <w:rPr>
          <w:sz w:val="20"/>
          <w:szCs w:val="20"/>
          <w:lang w:val="bg-BG" w:eastAsia="bg-BG"/>
        </w:rPr>
      </w:pPr>
      <w:r w:rsidRPr="00515EEF">
        <w:rPr>
          <w:sz w:val="20"/>
          <w:szCs w:val="20"/>
          <w:lang w:val="bg-BG" w:eastAsia="bg-BG"/>
        </w:rPr>
        <w:t>Задължението за запазване на конфиденциалност няма да се прилага по отношение на информация, която е предадена по искане на компетентен орган, както и по отношение на информация, която е публично оповестена и/или публично достъпна.</w:t>
      </w:r>
    </w:p>
    <w:p w14:paraId="3EC8C9BE" w14:textId="77777777" w:rsidR="00515EEF" w:rsidRPr="00515EEF" w:rsidRDefault="00515EEF" w:rsidP="00515EEF">
      <w:pPr>
        <w:ind w:firstLine="720"/>
        <w:jc w:val="both"/>
        <w:outlineLvl w:val="0"/>
        <w:rPr>
          <w:sz w:val="20"/>
          <w:szCs w:val="20"/>
          <w:lang w:val="bg-BG" w:eastAsia="bg-BG"/>
        </w:rPr>
      </w:pPr>
    </w:p>
    <w:p w14:paraId="37F04283" w14:textId="77777777" w:rsidR="00515EEF" w:rsidRPr="00515EEF" w:rsidRDefault="00515EEF" w:rsidP="00515EEF">
      <w:pPr>
        <w:ind w:firstLine="720"/>
        <w:jc w:val="both"/>
        <w:outlineLvl w:val="0"/>
        <w:rPr>
          <w:sz w:val="20"/>
          <w:szCs w:val="20"/>
          <w:lang w:val="bg-BG" w:eastAsia="bg-BG"/>
        </w:rPr>
      </w:pPr>
      <w:r w:rsidRPr="00515EEF">
        <w:rPr>
          <w:sz w:val="20"/>
          <w:szCs w:val="20"/>
          <w:lang w:val="bg-BG" w:eastAsia="bg-BG"/>
        </w:rPr>
        <w:t>Известна ми е наказателната отговорност за декларирани неверни данни по чл. 313 от Наказателния кодекс.</w:t>
      </w:r>
    </w:p>
    <w:p w14:paraId="173466D2" w14:textId="77777777" w:rsidR="00515EEF" w:rsidRPr="00515EEF" w:rsidRDefault="00515EEF" w:rsidP="00515EEF">
      <w:pPr>
        <w:ind w:firstLine="720"/>
        <w:jc w:val="both"/>
        <w:outlineLvl w:val="0"/>
        <w:rPr>
          <w:sz w:val="20"/>
          <w:szCs w:val="20"/>
          <w:lang w:val="bg-BG" w:eastAsia="bg-BG"/>
        </w:rPr>
      </w:pPr>
    </w:p>
    <w:p w14:paraId="505947DA" w14:textId="77777777" w:rsidR="00515EEF" w:rsidRPr="00515EEF" w:rsidRDefault="00515EEF" w:rsidP="00515EEF">
      <w:pPr>
        <w:ind w:firstLine="720"/>
        <w:jc w:val="both"/>
        <w:outlineLvl w:val="0"/>
        <w:rPr>
          <w:sz w:val="20"/>
          <w:szCs w:val="20"/>
          <w:lang w:val="bg-BG" w:eastAsia="bg-BG"/>
        </w:rPr>
      </w:pPr>
    </w:p>
    <w:p w14:paraId="0C264D91" w14:textId="77777777" w:rsidR="00515EEF" w:rsidRPr="00515EEF" w:rsidRDefault="00515EEF" w:rsidP="00515EEF">
      <w:pPr>
        <w:ind w:firstLine="720"/>
        <w:jc w:val="both"/>
        <w:outlineLvl w:val="0"/>
        <w:rPr>
          <w:sz w:val="20"/>
          <w:szCs w:val="20"/>
          <w:lang w:val="bg-BG" w:eastAsia="bg-BG"/>
        </w:rPr>
      </w:pPr>
      <w:r w:rsidRPr="00515EEF">
        <w:rPr>
          <w:sz w:val="20"/>
          <w:szCs w:val="20"/>
          <w:lang w:val="bg-BG" w:eastAsia="bg-BG"/>
        </w:rPr>
        <w:t>Дата:..........................</w:t>
      </w:r>
      <w:r w:rsidRPr="00515EEF">
        <w:rPr>
          <w:sz w:val="20"/>
          <w:szCs w:val="20"/>
          <w:lang w:val="bg-BG" w:eastAsia="bg-BG"/>
        </w:rPr>
        <w:tab/>
      </w:r>
      <w:r w:rsidRPr="00515EEF">
        <w:rPr>
          <w:sz w:val="20"/>
          <w:szCs w:val="20"/>
          <w:lang w:val="bg-BG" w:eastAsia="bg-BG"/>
        </w:rPr>
        <w:tab/>
      </w:r>
      <w:r w:rsidRPr="00515EEF">
        <w:rPr>
          <w:sz w:val="20"/>
          <w:szCs w:val="20"/>
          <w:lang w:val="bg-BG" w:eastAsia="bg-BG"/>
        </w:rPr>
        <w:tab/>
      </w:r>
      <w:r w:rsidRPr="00515EEF">
        <w:rPr>
          <w:sz w:val="20"/>
          <w:szCs w:val="20"/>
          <w:lang w:val="bg-BG" w:eastAsia="bg-BG"/>
        </w:rPr>
        <w:tab/>
        <w:t>ДЕКЛАРАТОР . .....................................</w:t>
      </w:r>
    </w:p>
    <w:p w14:paraId="347A5F36" w14:textId="77777777" w:rsidR="00515EEF" w:rsidRPr="00515EEF" w:rsidRDefault="00515EEF" w:rsidP="00515EEF">
      <w:pPr>
        <w:ind w:left="6360" w:firstLine="720"/>
        <w:jc w:val="both"/>
        <w:outlineLvl w:val="0"/>
        <w:rPr>
          <w:sz w:val="20"/>
          <w:szCs w:val="20"/>
          <w:lang w:val="bg-BG" w:eastAsia="bg-BG"/>
        </w:rPr>
      </w:pPr>
      <w:r w:rsidRPr="00515EEF">
        <w:rPr>
          <w:sz w:val="20"/>
          <w:szCs w:val="20"/>
          <w:lang w:val="bg-BG" w:eastAsia="bg-BG"/>
        </w:rPr>
        <w:t>(име, подпис)</w:t>
      </w:r>
    </w:p>
    <w:p w14:paraId="55A3628C" w14:textId="77777777" w:rsidR="001C1E73" w:rsidRDefault="001C1E73" w:rsidP="00515EEF">
      <w:pPr>
        <w:rPr>
          <w:color w:val="000000" w:themeColor="text1"/>
          <w:lang w:val="bg-BG"/>
        </w:rPr>
      </w:pPr>
    </w:p>
    <w:p w14:paraId="78087D15" w14:textId="77777777" w:rsidR="001C1E73" w:rsidRDefault="001C1E73" w:rsidP="00515EEF">
      <w:pPr>
        <w:rPr>
          <w:color w:val="000000" w:themeColor="text1"/>
          <w:lang w:val="bg-BG"/>
        </w:rPr>
      </w:pPr>
    </w:p>
    <w:p w14:paraId="78B381DE" w14:textId="77777777" w:rsidR="00515EEF" w:rsidRPr="001C1E73" w:rsidRDefault="00515EEF" w:rsidP="00515EEF">
      <w:pPr>
        <w:rPr>
          <w:b/>
          <w:color w:val="000000" w:themeColor="text1"/>
          <w:lang w:val="bg-BG"/>
        </w:rPr>
      </w:pPr>
      <w:r w:rsidRPr="001C1E73">
        <w:rPr>
          <w:b/>
          <w:color w:val="000000" w:themeColor="text1"/>
          <w:lang w:val="bg-BG"/>
        </w:rPr>
        <w:t>Приложение № 2 към чл. 7</w:t>
      </w:r>
    </w:p>
    <w:p w14:paraId="198A0994" w14:textId="77777777" w:rsidR="00515EEF" w:rsidRPr="001C1E73" w:rsidRDefault="00515EEF" w:rsidP="00515EEF">
      <w:pPr>
        <w:rPr>
          <w:b/>
          <w:color w:val="000000" w:themeColor="text1"/>
          <w:lang w:val="bg-BG"/>
        </w:rPr>
      </w:pPr>
      <w:r w:rsidRPr="001C1E73">
        <w:rPr>
          <w:b/>
          <w:color w:val="000000" w:themeColor="text1"/>
          <w:lang w:val="bg-BG"/>
        </w:rPr>
        <w:t>Анкетна карта</w:t>
      </w:r>
    </w:p>
    <w:p w14:paraId="5F9E23D8" w14:textId="77777777" w:rsidR="001C1E73" w:rsidRPr="00D03B71" w:rsidRDefault="001C1E73" w:rsidP="001C1E73">
      <w:pPr>
        <w:rPr>
          <w:lang w:val="bg-BG"/>
        </w:rPr>
      </w:pPr>
    </w:p>
    <w:tbl>
      <w:tblPr>
        <w:tblStyle w:val="TableGrid"/>
        <w:tblW w:w="0" w:type="auto"/>
        <w:tblLook w:val="04A0" w:firstRow="1" w:lastRow="0" w:firstColumn="1" w:lastColumn="0" w:noHBand="0" w:noVBand="1"/>
      </w:tblPr>
      <w:tblGrid>
        <w:gridCol w:w="4320"/>
        <w:gridCol w:w="4320"/>
      </w:tblGrid>
      <w:tr w:rsidR="001C1E73" w:rsidRPr="00D03B71" w14:paraId="45B46453" w14:textId="77777777" w:rsidTr="0077699B">
        <w:tc>
          <w:tcPr>
            <w:tcW w:w="4320" w:type="dxa"/>
          </w:tcPr>
          <w:p w14:paraId="50D1EE55"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Бенефициент</w:t>
            </w:r>
          </w:p>
        </w:tc>
        <w:tc>
          <w:tcPr>
            <w:tcW w:w="4320" w:type="dxa"/>
          </w:tcPr>
          <w:p w14:paraId="20B11D0E" w14:textId="77777777" w:rsidR="001C1E73" w:rsidRPr="00515EEF" w:rsidRDefault="001C1E73" w:rsidP="0077699B">
            <w:pPr>
              <w:rPr>
                <w:rFonts w:ascii="Times New Roman" w:hAnsi="Times New Roman" w:cs="Times New Roman"/>
                <w:sz w:val="20"/>
                <w:szCs w:val="20"/>
                <w:lang w:val="bg-BG"/>
              </w:rPr>
            </w:pPr>
          </w:p>
        </w:tc>
      </w:tr>
      <w:tr w:rsidR="001C1E73" w:rsidRPr="00D03B71" w14:paraId="64F51F5B" w14:textId="77777777" w:rsidTr="0077699B">
        <w:tc>
          <w:tcPr>
            <w:tcW w:w="4320" w:type="dxa"/>
          </w:tcPr>
          <w:p w14:paraId="34798D82"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Проект</w:t>
            </w:r>
          </w:p>
        </w:tc>
        <w:tc>
          <w:tcPr>
            <w:tcW w:w="4320" w:type="dxa"/>
          </w:tcPr>
          <w:p w14:paraId="36368766" w14:textId="77777777" w:rsidR="001C1E73" w:rsidRPr="00515EEF" w:rsidRDefault="001C1E73" w:rsidP="0077699B">
            <w:pPr>
              <w:rPr>
                <w:rFonts w:ascii="Times New Roman" w:hAnsi="Times New Roman" w:cs="Times New Roman"/>
                <w:sz w:val="20"/>
                <w:szCs w:val="20"/>
                <w:lang w:val="bg-BG"/>
              </w:rPr>
            </w:pPr>
          </w:p>
        </w:tc>
      </w:tr>
      <w:tr w:rsidR="001C1E73" w:rsidRPr="00D03B71" w14:paraId="6ABC41BC" w14:textId="77777777" w:rsidTr="0077699B">
        <w:tc>
          <w:tcPr>
            <w:tcW w:w="4320" w:type="dxa"/>
          </w:tcPr>
          <w:p w14:paraId="2AC0D4F4" w14:textId="77777777" w:rsidR="001C1E73" w:rsidRPr="00515EEF" w:rsidRDefault="001C1E73" w:rsidP="0077699B">
            <w:pPr>
              <w:rPr>
                <w:rFonts w:ascii="Times New Roman" w:hAnsi="Times New Roman" w:cs="Times New Roman"/>
                <w:b/>
                <w:bCs/>
                <w:sz w:val="20"/>
                <w:szCs w:val="20"/>
                <w:lang w:val="bg-BG"/>
              </w:rPr>
            </w:pPr>
            <w:r>
              <w:rPr>
                <w:rFonts w:ascii="Times New Roman" w:hAnsi="Times New Roman" w:cs="Times New Roman"/>
                <w:b/>
                <w:bCs/>
                <w:sz w:val="20"/>
                <w:szCs w:val="20"/>
                <w:lang w:val="bg-BG"/>
              </w:rPr>
              <w:t xml:space="preserve">1. Оценка на извършваната административна дейност </w:t>
            </w:r>
          </w:p>
        </w:tc>
        <w:tc>
          <w:tcPr>
            <w:tcW w:w="4320" w:type="dxa"/>
          </w:tcPr>
          <w:p w14:paraId="42B667E3" w14:textId="77777777" w:rsidR="001C1E73" w:rsidRPr="00515EEF" w:rsidRDefault="001C1E73" w:rsidP="0077699B">
            <w:pPr>
              <w:rPr>
                <w:rFonts w:ascii="Times New Roman" w:hAnsi="Times New Roman" w:cs="Times New Roman"/>
                <w:sz w:val="20"/>
                <w:szCs w:val="20"/>
                <w:lang w:val="bg-BG"/>
              </w:rPr>
            </w:pPr>
          </w:p>
        </w:tc>
      </w:tr>
      <w:tr w:rsidR="001C1E73" w:rsidRPr="00D03B71" w14:paraId="4B4DF5A5" w14:textId="77777777" w:rsidTr="0077699B">
        <w:tc>
          <w:tcPr>
            <w:tcW w:w="4320" w:type="dxa"/>
          </w:tcPr>
          <w:p w14:paraId="5332B412" w14:textId="77777777" w:rsidR="001C1E73" w:rsidRPr="00515EEF" w:rsidRDefault="001C1E73" w:rsidP="0077699B">
            <w:pPr>
              <w:rPr>
                <w:rFonts w:ascii="Times New Roman" w:hAnsi="Times New Roman" w:cs="Times New Roman"/>
                <w:b/>
                <w:bCs/>
                <w:sz w:val="20"/>
                <w:szCs w:val="20"/>
                <w:lang w:val="bg-BG"/>
              </w:rPr>
            </w:pPr>
            <w:r w:rsidRPr="00515EEF">
              <w:rPr>
                <w:rFonts w:ascii="Times New Roman" w:hAnsi="Times New Roman" w:cs="Times New Roman"/>
                <w:b/>
                <w:bCs/>
                <w:sz w:val="20"/>
                <w:szCs w:val="20"/>
                <w:lang w:val="bg-BG"/>
              </w:rPr>
              <w:t>1.1. Информация</w:t>
            </w:r>
          </w:p>
        </w:tc>
        <w:tc>
          <w:tcPr>
            <w:tcW w:w="4320" w:type="dxa"/>
          </w:tcPr>
          <w:p w14:paraId="5B32EA28" w14:textId="77777777" w:rsidR="001C1E73" w:rsidRPr="00515EEF" w:rsidRDefault="001C1E73" w:rsidP="0077699B">
            <w:pPr>
              <w:rPr>
                <w:rFonts w:ascii="Times New Roman" w:hAnsi="Times New Roman" w:cs="Times New Roman"/>
                <w:sz w:val="20"/>
                <w:szCs w:val="20"/>
                <w:lang w:val="bg-BG"/>
              </w:rPr>
            </w:pPr>
          </w:p>
        </w:tc>
      </w:tr>
      <w:tr w:rsidR="001C1E73" w:rsidRPr="00D03B71" w14:paraId="421BC143" w14:textId="77777777" w:rsidTr="0077699B">
        <w:tc>
          <w:tcPr>
            <w:tcW w:w="4320" w:type="dxa"/>
          </w:tcPr>
          <w:p w14:paraId="08D5911D"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1.1.1. Достъпност на информацията.</w:t>
            </w:r>
          </w:p>
        </w:tc>
        <w:tc>
          <w:tcPr>
            <w:tcW w:w="4320" w:type="dxa"/>
          </w:tcPr>
          <w:p w14:paraId="042CB4AB"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ДА/НЕ</w:t>
            </w:r>
          </w:p>
        </w:tc>
      </w:tr>
      <w:tr w:rsidR="001C1E73" w:rsidRPr="00D03B71" w14:paraId="70B6C3BE" w14:textId="77777777" w:rsidTr="0077699B">
        <w:tc>
          <w:tcPr>
            <w:tcW w:w="4320" w:type="dxa"/>
          </w:tcPr>
          <w:p w14:paraId="3DD20992"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1.1.2. Пълнота на информацията.</w:t>
            </w:r>
          </w:p>
        </w:tc>
        <w:tc>
          <w:tcPr>
            <w:tcW w:w="4320" w:type="dxa"/>
          </w:tcPr>
          <w:p w14:paraId="3DC604E6"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ДА/НЕ</w:t>
            </w:r>
          </w:p>
        </w:tc>
      </w:tr>
      <w:tr w:rsidR="001C1E73" w:rsidRPr="00D03B71" w14:paraId="74449709" w14:textId="77777777" w:rsidTr="0077699B">
        <w:tc>
          <w:tcPr>
            <w:tcW w:w="4320" w:type="dxa"/>
          </w:tcPr>
          <w:p w14:paraId="2E804836"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1.1.3. Необходимост от допълнителни разяснения по информацията. /моля, посочете пример/препоръка/</w:t>
            </w:r>
          </w:p>
        </w:tc>
        <w:tc>
          <w:tcPr>
            <w:tcW w:w="4320" w:type="dxa"/>
          </w:tcPr>
          <w:p w14:paraId="0A5F0095" w14:textId="77777777" w:rsidR="001C1E73" w:rsidRPr="00515EEF" w:rsidRDefault="001C1E73" w:rsidP="0077699B">
            <w:pPr>
              <w:jc w:val="center"/>
              <w:rPr>
                <w:rFonts w:ascii="Times New Roman" w:hAnsi="Times New Roman" w:cs="Times New Roman"/>
                <w:sz w:val="20"/>
                <w:szCs w:val="20"/>
                <w:lang w:val="bg-BG"/>
              </w:rPr>
            </w:pPr>
          </w:p>
          <w:p w14:paraId="79A61A1C"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ДА/НЕ</w:t>
            </w:r>
          </w:p>
        </w:tc>
      </w:tr>
      <w:tr w:rsidR="001C1E73" w:rsidRPr="00D03B71" w14:paraId="5A48F725" w14:textId="77777777" w:rsidTr="0077699B">
        <w:tc>
          <w:tcPr>
            <w:tcW w:w="4320" w:type="dxa"/>
          </w:tcPr>
          <w:p w14:paraId="06631FA5" w14:textId="77777777" w:rsidR="001C1E73" w:rsidRPr="00515EEF" w:rsidRDefault="001C1E73" w:rsidP="0077699B">
            <w:pPr>
              <w:rPr>
                <w:rFonts w:ascii="Times New Roman" w:hAnsi="Times New Roman" w:cs="Times New Roman"/>
                <w:b/>
                <w:bCs/>
                <w:sz w:val="20"/>
                <w:szCs w:val="20"/>
                <w:lang w:val="bg-BG"/>
              </w:rPr>
            </w:pPr>
            <w:r w:rsidRPr="00515EEF">
              <w:rPr>
                <w:rFonts w:ascii="Times New Roman" w:hAnsi="Times New Roman" w:cs="Times New Roman"/>
                <w:b/>
                <w:bCs/>
                <w:sz w:val="20"/>
                <w:szCs w:val="20"/>
                <w:lang w:val="bg-BG"/>
              </w:rPr>
              <w:t>1.2. Комуникация</w:t>
            </w:r>
          </w:p>
        </w:tc>
        <w:tc>
          <w:tcPr>
            <w:tcW w:w="4320" w:type="dxa"/>
          </w:tcPr>
          <w:p w14:paraId="23C1BBA9" w14:textId="77777777" w:rsidR="001C1E73" w:rsidRPr="00515EEF" w:rsidRDefault="001C1E73" w:rsidP="0077699B">
            <w:pPr>
              <w:rPr>
                <w:rFonts w:ascii="Times New Roman" w:hAnsi="Times New Roman" w:cs="Times New Roman"/>
                <w:sz w:val="20"/>
                <w:szCs w:val="20"/>
                <w:lang w:val="bg-BG"/>
              </w:rPr>
            </w:pPr>
          </w:p>
        </w:tc>
      </w:tr>
      <w:tr w:rsidR="001C1E73" w:rsidRPr="00D03B71" w14:paraId="6C8E9466" w14:textId="77777777" w:rsidTr="0077699B">
        <w:tc>
          <w:tcPr>
            <w:tcW w:w="4320" w:type="dxa"/>
          </w:tcPr>
          <w:p w14:paraId="3C3E1B7C"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1.2.1. Трудности в комуникацията.</w:t>
            </w:r>
          </w:p>
        </w:tc>
        <w:tc>
          <w:tcPr>
            <w:tcW w:w="4320" w:type="dxa"/>
          </w:tcPr>
          <w:p w14:paraId="35B1441B"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ДА/НЕ</w:t>
            </w:r>
          </w:p>
        </w:tc>
      </w:tr>
      <w:tr w:rsidR="001C1E73" w:rsidRPr="00D03B71" w14:paraId="61F3FDA6" w14:textId="77777777" w:rsidTr="0077699B">
        <w:tc>
          <w:tcPr>
            <w:tcW w:w="4320" w:type="dxa"/>
          </w:tcPr>
          <w:p w14:paraId="34E01008"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1.2.2 Бързина в комуникацията</w:t>
            </w:r>
          </w:p>
        </w:tc>
        <w:tc>
          <w:tcPr>
            <w:tcW w:w="4320" w:type="dxa"/>
          </w:tcPr>
          <w:p w14:paraId="12D3C9DE"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ДА/НЕ</w:t>
            </w:r>
          </w:p>
        </w:tc>
      </w:tr>
      <w:tr w:rsidR="001C1E73" w:rsidRPr="00D03B71" w14:paraId="16285EA6" w14:textId="77777777" w:rsidTr="0077699B">
        <w:tc>
          <w:tcPr>
            <w:tcW w:w="4320" w:type="dxa"/>
          </w:tcPr>
          <w:p w14:paraId="6856A564"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1.2.3. Комуникационни канали</w:t>
            </w:r>
          </w:p>
        </w:tc>
        <w:tc>
          <w:tcPr>
            <w:tcW w:w="4320" w:type="dxa"/>
          </w:tcPr>
          <w:p w14:paraId="5F13D03B"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Телефон/имейл/срещи/други</w:t>
            </w:r>
          </w:p>
        </w:tc>
      </w:tr>
      <w:tr w:rsidR="001C1E73" w:rsidRPr="00D03B71" w14:paraId="59820173" w14:textId="77777777" w:rsidTr="0077699B">
        <w:tc>
          <w:tcPr>
            <w:tcW w:w="4320" w:type="dxa"/>
          </w:tcPr>
          <w:p w14:paraId="25C3B968" w14:textId="77777777" w:rsidR="001C1E73" w:rsidRPr="00515EEF" w:rsidRDefault="001C1E73" w:rsidP="0077699B">
            <w:pPr>
              <w:rPr>
                <w:rFonts w:ascii="Times New Roman" w:hAnsi="Times New Roman" w:cs="Times New Roman"/>
                <w:b/>
                <w:bCs/>
                <w:sz w:val="20"/>
                <w:szCs w:val="20"/>
                <w:lang w:val="bg-BG"/>
              </w:rPr>
            </w:pPr>
            <w:r w:rsidRPr="00515EEF">
              <w:rPr>
                <w:rFonts w:ascii="Times New Roman" w:hAnsi="Times New Roman" w:cs="Times New Roman"/>
                <w:b/>
                <w:bCs/>
                <w:sz w:val="20"/>
                <w:szCs w:val="20"/>
                <w:lang w:val="bg-BG"/>
              </w:rPr>
              <w:t>1.3. Административна тежест</w:t>
            </w:r>
          </w:p>
        </w:tc>
        <w:tc>
          <w:tcPr>
            <w:tcW w:w="4320" w:type="dxa"/>
          </w:tcPr>
          <w:p w14:paraId="60AC9FF9"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ДА/НЕ</w:t>
            </w:r>
          </w:p>
        </w:tc>
      </w:tr>
      <w:tr w:rsidR="001C1E73" w:rsidRPr="00D03B71" w14:paraId="33EE84C8" w14:textId="77777777" w:rsidTr="0077699B">
        <w:tc>
          <w:tcPr>
            <w:tcW w:w="4320" w:type="dxa"/>
          </w:tcPr>
          <w:p w14:paraId="6B7E8B7D"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1.3.1. Бавна процедура</w:t>
            </w:r>
          </w:p>
        </w:tc>
        <w:tc>
          <w:tcPr>
            <w:tcW w:w="4320" w:type="dxa"/>
          </w:tcPr>
          <w:p w14:paraId="70BA3E22"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ДА/НЕ</w:t>
            </w:r>
          </w:p>
        </w:tc>
      </w:tr>
      <w:tr w:rsidR="001C1E73" w:rsidRPr="00D03B71" w14:paraId="1C79E884" w14:textId="77777777" w:rsidTr="0077699B">
        <w:tc>
          <w:tcPr>
            <w:tcW w:w="4320" w:type="dxa"/>
          </w:tcPr>
          <w:p w14:paraId="6068ABD2"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 xml:space="preserve">1.3.2. Голям брой изискуеми документи </w:t>
            </w:r>
          </w:p>
        </w:tc>
        <w:tc>
          <w:tcPr>
            <w:tcW w:w="4320" w:type="dxa"/>
          </w:tcPr>
          <w:p w14:paraId="2A9475DA"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ДА/НЕ</w:t>
            </w:r>
          </w:p>
        </w:tc>
      </w:tr>
      <w:tr w:rsidR="001C1E73" w:rsidRPr="00D03B71" w14:paraId="0B3DF1E4" w14:textId="77777777" w:rsidTr="0077699B">
        <w:tc>
          <w:tcPr>
            <w:tcW w:w="4320" w:type="dxa"/>
          </w:tcPr>
          <w:p w14:paraId="0BD9CBE6" w14:textId="77777777" w:rsidR="001C1E73" w:rsidRPr="00515EEF" w:rsidRDefault="001C1E73" w:rsidP="0077699B">
            <w:pPr>
              <w:rPr>
                <w:rFonts w:ascii="Times New Roman" w:hAnsi="Times New Roman" w:cs="Times New Roman"/>
                <w:b/>
                <w:bCs/>
                <w:sz w:val="20"/>
                <w:szCs w:val="20"/>
                <w:lang w:val="bg-BG"/>
              </w:rPr>
            </w:pPr>
            <w:r w:rsidRPr="00515EEF">
              <w:rPr>
                <w:rFonts w:ascii="Times New Roman" w:hAnsi="Times New Roman" w:cs="Times New Roman"/>
                <w:b/>
                <w:bCs/>
                <w:sz w:val="20"/>
                <w:szCs w:val="20"/>
                <w:lang w:val="bg-BG"/>
              </w:rPr>
              <w:t>Обща удовлетвор</w:t>
            </w:r>
            <w:r>
              <w:rPr>
                <w:rFonts w:ascii="Times New Roman" w:hAnsi="Times New Roman" w:cs="Times New Roman"/>
                <w:b/>
                <w:bCs/>
                <w:sz w:val="20"/>
                <w:szCs w:val="20"/>
                <w:lang w:val="bg-BG"/>
              </w:rPr>
              <w:t>еност от административната дейност</w:t>
            </w:r>
            <w:r w:rsidRPr="00515EEF">
              <w:rPr>
                <w:rFonts w:ascii="Times New Roman" w:hAnsi="Times New Roman" w:cs="Times New Roman"/>
                <w:b/>
                <w:bCs/>
                <w:sz w:val="20"/>
                <w:szCs w:val="20"/>
                <w:lang w:val="bg-BG"/>
              </w:rPr>
              <w:t xml:space="preserve"> /моля, поставете оценка по скалата от 1 /най-ниска/ до 10 /най-висока//</w:t>
            </w:r>
          </w:p>
        </w:tc>
        <w:tc>
          <w:tcPr>
            <w:tcW w:w="4320" w:type="dxa"/>
          </w:tcPr>
          <w:p w14:paraId="3D6FF605" w14:textId="77777777" w:rsidR="001C1E73" w:rsidRPr="00515EEF" w:rsidRDefault="001C1E73" w:rsidP="0077699B">
            <w:pPr>
              <w:jc w:val="center"/>
              <w:rPr>
                <w:rFonts w:ascii="Times New Roman" w:hAnsi="Times New Roman" w:cs="Times New Roman"/>
                <w:sz w:val="20"/>
                <w:szCs w:val="20"/>
                <w:lang w:val="bg-BG"/>
              </w:rPr>
            </w:pPr>
          </w:p>
        </w:tc>
      </w:tr>
      <w:tr w:rsidR="001C1E73" w:rsidRPr="00D03B71" w14:paraId="79623244" w14:textId="77777777" w:rsidTr="0077699B">
        <w:tc>
          <w:tcPr>
            <w:tcW w:w="4320" w:type="dxa"/>
          </w:tcPr>
          <w:p w14:paraId="627563A9"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Мнения и препоръки</w:t>
            </w:r>
          </w:p>
        </w:tc>
        <w:tc>
          <w:tcPr>
            <w:tcW w:w="4320" w:type="dxa"/>
          </w:tcPr>
          <w:p w14:paraId="4C7D2E33" w14:textId="77777777" w:rsidR="001C1E73" w:rsidRPr="00515EEF" w:rsidRDefault="001C1E73" w:rsidP="0077699B">
            <w:pPr>
              <w:jc w:val="center"/>
              <w:rPr>
                <w:rFonts w:ascii="Times New Roman" w:hAnsi="Times New Roman" w:cs="Times New Roman"/>
                <w:sz w:val="20"/>
                <w:szCs w:val="20"/>
                <w:lang w:val="bg-BG"/>
              </w:rPr>
            </w:pPr>
          </w:p>
        </w:tc>
      </w:tr>
      <w:tr w:rsidR="001C1E73" w:rsidRPr="00D03B71" w14:paraId="2328AB81" w14:textId="77777777" w:rsidTr="0077699B">
        <w:tc>
          <w:tcPr>
            <w:tcW w:w="4320" w:type="dxa"/>
          </w:tcPr>
          <w:p w14:paraId="472F4F71" w14:textId="77777777" w:rsidR="001C1E73" w:rsidRPr="00515EEF" w:rsidRDefault="001C1E73" w:rsidP="0077699B">
            <w:pPr>
              <w:rPr>
                <w:rFonts w:ascii="Times New Roman" w:hAnsi="Times New Roman" w:cs="Times New Roman"/>
                <w:b/>
                <w:bCs/>
                <w:sz w:val="20"/>
                <w:szCs w:val="20"/>
                <w:lang w:val="bg-BG"/>
              </w:rPr>
            </w:pPr>
            <w:r w:rsidRPr="00515EEF">
              <w:rPr>
                <w:rFonts w:ascii="Times New Roman" w:hAnsi="Times New Roman" w:cs="Times New Roman"/>
                <w:b/>
                <w:bCs/>
                <w:sz w:val="20"/>
                <w:szCs w:val="20"/>
                <w:lang w:val="bg-BG"/>
              </w:rPr>
              <w:t>2. Въздействие от реализиране на проекта</w:t>
            </w:r>
          </w:p>
        </w:tc>
        <w:tc>
          <w:tcPr>
            <w:tcW w:w="4320" w:type="dxa"/>
          </w:tcPr>
          <w:p w14:paraId="7D077BE3" w14:textId="77777777" w:rsidR="001C1E73" w:rsidRPr="00515EEF" w:rsidRDefault="001C1E73" w:rsidP="0077699B">
            <w:pPr>
              <w:rPr>
                <w:rFonts w:ascii="Times New Roman" w:hAnsi="Times New Roman" w:cs="Times New Roman"/>
                <w:sz w:val="20"/>
                <w:szCs w:val="20"/>
                <w:lang w:val="bg-BG"/>
              </w:rPr>
            </w:pPr>
          </w:p>
        </w:tc>
      </w:tr>
      <w:tr w:rsidR="001C1E73" w:rsidRPr="0091005A" w14:paraId="6156039E" w14:textId="77777777" w:rsidTr="0077699B">
        <w:tc>
          <w:tcPr>
            <w:tcW w:w="4320" w:type="dxa"/>
          </w:tcPr>
          <w:p w14:paraId="6A482709"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2.1. Брой разкрити нови работни места/без промяна/намален брой</w:t>
            </w:r>
          </w:p>
        </w:tc>
        <w:tc>
          <w:tcPr>
            <w:tcW w:w="4320" w:type="dxa"/>
          </w:tcPr>
          <w:p w14:paraId="6D0E86CB"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 бр. /без промяна/намален брой ……</w:t>
            </w:r>
          </w:p>
        </w:tc>
      </w:tr>
      <w:tr w:rsidR="001C1E73" w:rsidRPr="00D03B71" w14:paraId="5FDBA2D0" w14:textId="77777777" w:rsidTr="0077699B">
        <w:tc>
          <w:tcPr>
            <w:tcW w:w="4320" w:type="dxa"/>
          </w:tcPr>
          <w:p w14:paraId="3BD5B790" w14:textId="0D2A183B" w:rsidR="001C1E73" w:rsidRPr="00515EEF" w:rsidRDefault="001C1E73" w:rsidP="003A7A81">
            <w:pPr>
              <w:rPr>
                <w:rFonts w:ascii="Times New Roman" w:hAnsi="Times New Roman" w:cs="Times New Roman"/>
                <w:sz w:val="20"/>
                <w:szCs w:val="20"/>
                <w:lang w:val="bg-BG"/>
              </w:rPr>
            </w:pPr>
            <w:r w:rsidRPr="00515EEF">
              <w:rPr>
                <w:rFonts w:ascii="Times New Roman" w:hAnsi="Times New Roman" w:cs="Times New Roman"/>
                <w:sz w:val="20"/>
                <w:szCs w:val="20"/>
                <w:lang w:val="bg-BG"/>
              </w:rPr>
              <w:t>2.2. Внедрени</w:t>
            </w:r>
            <w:r w:rsidR="003A7A81" w:rsidRPr="00DA273E">
              <w:rPr>
                <w:rFonts w:ascii="Times New Roman" w:hAnsi="Times New Roman" w:cs="Times New Roman"/>
                <w:sz w:val="20"/>
                <w:szCs w:val="20"/>
                <w:lang w:val="bg-BG"/>
              </w:rPr>
              <w:t>/</w:t>
            </w:r>
            <w:r w:rsidR="003A7A81">
              <w:rPr>
                <w:rFonts w:ascii="Times New Roman" w:hAnsi="Times New Roman" w:cs="Times New Roman"/>
                <w:sz w:val="20"/>
                <w:szCs w:val="20"/>
                <w:lang w:val="bg-BG"/>
              </w:rPr>
              <w:t>подобрени</w:t>
            </w:r>
            <w:r w:rsidRPr="00515EEF">
              <w:rPr>
                <w:rFonts w:ascii="Times New Roman" w:hAnsi="Times New Roman" w:cs="Times New Roman"/>
                <w:sz w:val="20"/>
                <w:szCs w:val="20"/>
                <w:lang w:val="bg-BG"/>
              </w:rPr>
              <w:t xml:space="preserve"> продукти</w:t>
            </w:r>
            <w:r w:rsidR="003A7A81">
              <w:rPr>
                <w:rFonts w:ascii="Times New Roman" w:hAnsi="Times New Roman" w:cs="Times New Roman"/>
                <w:sz w:val="20"/>
                <w:szCs w:val="20"/>
                <w:lang w:val="bg-BG"/>
              </w:rPr>
              <w:t>,</w:t>
            </w:r>
            <w:r w:rsidRPr="00515EEF">
              <w:rPr>
                <w:rFonts w:ascii="Times New Roman" w:hAnsi="Times New Roman" w:cs="Times New Roman"/>
                <w:sz w:val="20"/>
                <w:szCs w:val="20"/>
                <w:lang w:val="bg-BG"/>
              </w:rPr>
              <w:t xml:space="preserve"> услуги на пазара</w:t>
            </w:r>
            <w:r w:rsidR="003A7A81">
              <w:rPr>
                <w:rFonts w:ascii="Times New Roman" w:hAnsi="Times New Roman" w:cs="Times New Roman"/>
                <w:sz w:val="20"/>
                <w:szCs w:val="20"/>
                <w:lang w:val="bg-BG"/>
              </w:rPr>
              <w:t xml:space="preserve"> или процеси</w:t>
            </w:r>
          </w:p>
        </w:tc>
        <w:tc>
          <w:tcPr>
            <w:tcW w:w="4320" w:type="dxa"/>
          </w:tcPr>
          <w:p w14:paraId="10EFF020"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 …… бр. /НЕ</w:t>
            </w:r>
          </w:p>
        </w:tc>
      </w:tr>
      <w:tr w:rsidR="001C1E73" w:rsidRPr="00D03B71" w14:paraId="43CE95DB" w14:textId="77777777" w:rsidTr="0077699B">
        <w:tc>
          <w:tcPr>
            <w:tcW w:w="4320" w:type="dxa"/>
          </w:tcPr>
          <w:p w14:paraId="0801DF55" w14:textId="77777777" w:rsidR="001C1E73" w:rsidRPr="00515EEF" w:rsidRDefault="001C1E73" w:rsidP="0077699B">
            <w:pPr>
              <w:rPr>
                <w:rFonts w:ascii="Times New Roman" w:hAnsi="Times New Roman" w:cs="Times New Roman"/>
                <w:sz w:val="20"/>
                <w:szCs w:val="20"/>
              </w:rPr>
            </w:pPr>
            <w:r w:rsidRPr="00515EEF">
              <w:rPr>
                <w:rFonts w:ascii="Times New Roman" w:hAnsi="Times New Roman" w:cs="Times New Roman"/>
                <w:sz w:val="20"/>
                <w:szCs w:val="20"/>
                <w:lang w:val="bg-BG"/>
              </w:rPr>
              <w:t>2.3. Увеличение на приходите на предприятието</w:t>
            </w:r>
          </w:p>
        </w:tc>
        <w:tc>
          <w:tcPr>
            <w:tcW w:w="4320" w:type="dxa"/>
          </w:tcPr>
          <w:p w14:paraId="4AE16438"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 /НЕ</w:t>
            </w:r>
          </w:p>
        </w:tc>
      </w:tr>
      <w:tr w:rsidR="001C1E73" w:rsidRPr="00D03B71" w14:paraId="5DC32874" w14:textId="77777777" w:rsidTr="0077699B">
        <w:tc>
          <w:tcPr>
            <w:tcW w:w="4320" w:type="dxa"/>
          </w:tcPr>
          <w:p w14:paraId="6757C068"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2.4. Промяна в пазарния дял</w:t>
            </w:r>
          </w:p>
        </w:tc>
        <w:tc>
          <w:tcPr>
            <w:tcW w:w="4320" w:type="dxa"/>
          </w:tcPr>
          <w:p w14:paraId="2C7D4B6C"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 /НЕ</w:t>
            </w:r>
          </w:p>
        </w:tc>
      </w:tr>
      <w:tr w:rsidR="001C1E73" w:rsidRPr="00D03B71" w14:paraId="17294668" w14:textId="77777777" w:rsidTr="0077699B">
        <w:tc>
          <w:tcPr>
            <w:tcW w:w="4320" w:type="dxa"/>
          </w:tcPr>
          <w:p w14:paraId="22F3C927"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2.5. Сключени нови договори с клиенти/доставчици/партньори:</w:t>
            </w:r>
          </w:p>
        </w:tc>
        <w:tc>
          <w:tcPr>
            <w:tcW w:w="4320" w:type="dxa"/>
          </w:tcPr>
          <w:p w14:paraId="7D789CEE"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 …… бр. /НЕ</w:t>
            </w:r>
          </w:p>
        </w:tc>
      </w:tr>
      <w:tr w:rsidR="001C1E73" w:rsidRPr="00D03B71" w14:paraId="0CAB94B4" w14:textId="77777777" w:rsidTr="0077699B">
        <w:tc>
          <w:tcPr>
            <w:tcW w:w="4320" w:type="dxa"/>
          </w:tcPr>
          <w:p w14:paraId="257EC5A5"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2.5.1. на национално ниво</w:t>
            </w:r>
          </w:p>
        </w:tc>
        <w:tc>
          <w:tcPr>
            <w:tcW w:w="4320" w:type="dxa"/>
          </w:tcPr>
          <w:p w14:paraId="0B7117D2" w14:textId="77777777" w:rsidR="001C1E73" w:rsidRPr="00515EEF" w:rsidRDefault="001C1E73" w:rsidP="0077699B">
            <w:pPr>
              <w:rPr>
                <w:rFonts w:ascii="Times New Roman" w:hAnsi="Times New Roman" w:cs="Times New Roman"/>
                <w:sz w:val="20"/>
                <w:szCs w:val="20"/>
                <w:lang w:val="bg-BG"/>
              </w:rPr>
            </w:pPr>
          </w:p>
        </w:tc>
      </w:tr>
      <w:tr w:rsidR="001C1E73" w:rsidRPr="00D03B71" w14:paraId="3FCE4325" w14:textId="77777777" w:rsidTr="0077699B">
        <w:tc>
          <w:tcPr>
            <w:tcW w:w="4320" w:type="dxa"/>
          </w:tcPr>
          <w:p w14:paraId="2D7486D2" w14:textId="77777777" w:rsidR="001C1E73" w:rsidRPr="00515EEF" w:rsidRDefault="001C1E73" w:rsidP="0077699B">
            <w:pPr>
              <w:rPr>
                <w:rFonts w:ascii="Times New Roman" w:hAnsi="Times New Roman" w:cs="Times New Roman"/>
                <w:sz w:val="20"/>
                <w:szCs w:val="20"/>
                <w:lang w:val="bg-BG"/>
              </w:rPr>
            </w:pPr>
            <w:r w:rsidRPr="00515EEF">
              <w:rPr>
                <w:rFonts w:ascii="Times New Roman" w:hAnsi="Times New Roman" w:cs="Times New Roman"/>
                <w:sz w:val="20"/>
                <w:szCs w:val="20"/>
                <w:lang w:val="bg-BG"/>
              </w:rPr>
              <w:t>2.5.2. на международно ниво</w:t>
            </w:r>
          </w:p>
        </w:tc>
        <w:tc>
          <w:tcPr>
            <w:tcW w:w="4320" w:type="dxa"/>
          </w:tcPr>
          <w:p w14:paraId="6A65006D" w14:textId="77777777" w:rsidR="001C1E73" w:rsidRPr="00515EEF" w:rsidRDefault="001C1E73" w:rsidP="0077699B">
            <w:pPr>
              <w:rPr>
                <w:rFonts w:ascii="Times New Roman" w:hAnsi="Times New Roman" w:cs="Times New Roman"/>
                <w:sz w:val="20"/>
                <w:szCs w:val="20"/>
                <w:lang w:val="bg-BG"/>
              </w:rPr>
            </w:pPr>
          </w:p>
        </w:tc>
      </w:tr>
      <w:tr w:rsidR="001C1E73" w:rsidRPr="00D03B71" w14:paraId="66FA0E1D" w14:textId="77777777" w:rsidTr="0077699B">
        <w:tc>
          <w:tcPr>
            <w:tcW w:w="4320" w:type="dxa"/>
          </w:tcPr>
          <w:p w14:paraId="66F2AB58" w14:textId="77777777" w:rsidR="001C1E73" w:rsidRPr="00515EEF" w:rsidRDefault="001C1E73" w:rsidP="0077699B">
            <w:pPr>
              <w:rPr>
                <w:sz w:val="20"/>
                <w:szCs w:val="20"/>
                <w:lang w:val="bg-BG"/>
              </w:rPr>
            </w:pPr>
            <w:r w:rsidRPr="00515EEF">
              <w:rPr>
                <w:rFonts w:ascii="Times New Roman" w:hAnsi="Times New Roman" w:cs="Times New Roman"/>
                <w:sz w:val="20"/>
                <w:szCs w:val="20"/>
                <w:lang w:val="bg-BG"/>
              </w:rPr>
              <w:t>2.6. Новореализирани партньорства с академичните среди</w:t>
            </w:r>
          </w:p>
        </w:tc>
        <w:tc>
          <w:tcPr>
            <w:tcW w:w="4320" w:type="dxa"/>
          </w:tcPr>
          <w:p w14:paraId="06A4450F" w14:textId="77777777" w:rsidR="001C1E73" w:rsidRPr="00515EEF" w:rsidRDefault="001C1E73" w:rsidP="0077699B">
            <w:pPr>
              <w:jc w:val="center"/>
              <w:rPr>
                <w:sz w:val="20"/>
                <w:szCs w:val="20"/>
                <w:lang w:val="bg-BG"/>
              </w:rPr>
            </w:pPr>
            <w:r w:rsidRPr="00515EEF">
              <w:rPr>
                <w:rFonts w:ascii="Times New Roman" w:hAnsi="Times New Roman" w:cs="Times New Roman"/>
                <w:sz w:val="20"/>
                <w:szCs w:val="20"/>
                <w:lang w:val="bg-BG"/>
              </w:rPr>
              <w:t>ДА …….. бр./НЕ</w:t>
            </w:r>
          </w:p>
        </w:tc>
      </w:tr>
      <w:tr w:rsidR="001C1E73" w:rsidRPr="00D03B71" w14:paraId="450212CE" w14:textId="77777777" w:rsidTr="0077699B">
        <w:tc>
          <w:tcPr>
            <w:tcW w:w="4320" w:type="dxa"/>
          </w:tcPr>
          <w:p w14:paraId="21FC5B2F" w14:textId="22F03E1E" w:rsidR="001C1E73" w:rsidRPr="00852462" w:rsidRDefault="001C1E73" w:rsidP="0077699B">
            <w:pPr>
              <w:rPr>
                <w:rFonts w:ascii="Times New Roman" w:hAnsi="Times New Roman" w:cs="Times New Roman"/>
                <w:sz w:val="20"/>
                <w:szCs w:val="20"/>
                <w:lang w:val="bg-BG"/>
              </w:rPr>
            </w:pPr>
            <w:r w:rsidRPr="00852462">
              <w:rPr>
                <w:rFonts w:ascii="Times New Roman" w:hAnsi="Times New Roman" w:cs="Times New Roman"/>
                <w:sz w:val="20"/>
                <w:szCs w:val="20"/>
                <w:lang w:val="bg-BG"/>
              </w:rPr>
              <w:lastRenderedPageBreak/>
              <w:t>2.7. TRL (Technology Readiness Level – нив</w:t>
            </w:r>
            <w:r w:rsidR="00BB6812">
              <w:rPr>
                <w:rFonts w:ascii="Times New Roman" w:hAnsi="Times New Roman" w:cs="Times New Roman"/>
                <w:sz w:val="20"/>
                <w:szCs w:val="20"/>
                <w:lang w:val="bg-BG"/>
              </w:rPr>
              <w:t>о</w:t>
            </w:r>
            <w:r w:rsidRPr="00852462">
              <w:rPr>
                <w:rFonts w:ascii="Times New Roman" w:hAnsi="Times New Roman" w:cs="Times New Roman"/>
                <w:sz w:val="20"/>
                <w:szCs w:val="20"/>
                <w:lang w:val="bg-BG"/>
              </w:rPr>
              <w:t xml:space="preserve"> на зрялост на технологията) </w:t>
            </w:r>
          </w:p>
        </w:tc>
        <w:tc>
          <w:tcPr>
            <w:tcW w:w="4320" w:type="dxa"/>
          </w:tcPr>
          <w:p w14:paraId="6942DC15" w14:textId="77777777" w:rsidR="001C1E73" w:rsidRPr="00515EEF" w:rsidRDefault="005F5445" w:rsidP="005F5445">
            <w:pPr>
              <w:jc w:val="center"/>
              <w:rPr>
                <w:sz w:val="20"/>
                <w:szCs w:val="20"/>
                <w:lang w:val="bg-BG"/>
              </w:rPr>
            </w:pPr>
            <w:r w:rsidRPr="00852E5E">
              <w:rPr>
                <w:rFonts w:ascii="Times New Roman" w:hAnsi="Times New Roman" w:cs="Times New Roman"/>
                <w:sz w:val="20"/>
                <w:szCs w:val="20"/>
              </w:rPr>
              <w:t>TRL…</w:t>
            </w:r>
            <w:r>
              <w:rPr>
                <w:sz w:val="20"/>
                <w:szCs w:val="20"/>
                <w:lang w:val="bg-BG"/>
              </w:rPr>
              <w:t>………………….</w:t>
            </w:r>
          </w:p>
        </w:tc>
      </w:tr>
      <w:tr w:rsidR="001C1E73" w:rsidRPr="00D03B71" w14:paraId="26950F8C" w14:textId="77777777" w:rsidTr="0077699B">
        <w:tc>
          <w:tcPr>
            <w:tcW w:w="4320" w:type="dxa"/>
          </w:tcPr>
          <w:p w14:paraId="7B98485E" w14:textId="77777777" w:rsidR="001C1E73" w:rsidRPr="00515EEF" w:rsidRDefault="001C1E73" w:rsidP="0077699B">
            <w:pPr>
              <w:rPr>
                <w:rFonts w:ascii="Times New Roman" w:hAnsi="Times New Roman" w:cs="Times New Roman"/>
                <w:sz w:val="20"/>
                <w:szCs w:val="20"/>
                <w:lang w:val="bg-BG"/>
              </w:rPr>
            </w:pPr>
            <w:r>
              <w:rPr>
                <w:rFonts w:ascii="Times New Roman" w:hAnsi="Times New Roman" w:cs="Times New Roman"/>
                <w:sz w:val="20"/>
                <w:szCs w:val="20"/>
                <w:lang w:val="bg-BG"/>
              </w:rPr>
              <w:t>2.8. Регистрирани патенти и заявки за патенти</w:t>
            </w:r>
          </w:p>
        </w:tc>
        <w:tc>
          <w:tcPr>
            <w:tcW w:w="4320" w:type="dxa"/>
          </w:tcPr>
          <w:p w14:paraId="1C1D2EB1" w14:textId="77777777" w:rsidR="001C1E73" w:rsidRPr="00515EEF" w:rsidRDefault="001C1E73" w:rsidP="0077699B">
            <w:pPr>
              <w:jc w:val="center"/>
              <w:rPr>
                <w:rFonts w:ascii="Times New Roman" w:hAnsi="Times New Roman" w:cs="Times New Roman"/>
                <w:sz w:val="20"/>
                <w:szCs w:val="20"/>
                <w:lang w:val="bg-BG"/>
              </w:rPr>
            </w:pPr>
            <w:r w:rsidRPr="00515EEF">
              <w:rPr>
                <w:rFonts w:ascii="Times New Roman" w:hAnsi="Times New Roman" w:cs="Times New Roman"/>
                <w:sz w:val="20"/>
                <w:szCs w:val="20"/>
                <w:lang w:val="bg-BG"/>
              </w:rPr>
              <w:t>ДА …….. бр./НЕ</w:t>
            </w:r>
          </w:p>
        </w:tc>
      </w:tr>
    </w:tbl>
    <w:p w14:paraId="3F824022" w14:textId="77777777" w:rsidR="001C1E73" w:rsidRPr="001765DD" w:rsidRDefault="001C1E73" w:rsidP="001C1E73">
      <w:pPr>
        <w:rPr>
          <w:i/>
          <w:lang w:val="bg-BG"/>
        </w:rPr>
      </w:pPr>
    </w:p>
    <w:p w14:paraId="02E31CC4" w14:textId="77777777" w:rsidR="00515EEF" w:rsidRDefault="00515EEF" w:rsidP="00515EEF">
      <w:pPr>
        <w:rPr>
          <w:lang w:val="bg-BG"/>
        </w:rPr>
      </w:pPr>
    </w:p>
    <w:p w14:paraId="5DD33875" w14:textId="77777777" w:rsidR="001C1E73" w:rsidRDefault="001C1E73" w:rsidP="00515EEF">
      <w:pPr>
        <w:rPr>
          <w:lang w:val="bg-BG"/>
        </w:rPr>
      </w:pPr>
    </w:p>
    <w:p w14:paraId="0B29D59F" w14:textId="77777777" w:rsidR="001C1E73" w:rsidRDefault="001C1E73" w:rsidP="00515EEF">
      <w:pPr>
        <w:rPr>
          <w:lang w:val="bg-BG"/>
        </w:rPr>
      </w:pPr>
    </w:p>
    <w:p w14:paraId="5EF4FB91" w14:textId="77777777" w:rsidR="00515EEF" w:rsidRPr="001C1E73" w:rsidRDefault="00515EEF" w:rsidP="00515EEF">
      <w:pPr>
        <w:rPr>
          <w:b/>
          <w:lang w:val="bg-BG"/>
        </w:rPr>
      </w:pPr>
      <w:r w:rsidRPr="001C1E73">
        <w:rPr>
          <w:b/>
          <w:lang w:val="bg-BG"/>
        </w:rPr>
        <w:t>Приложение № 3 към чл. 8, т. 1</w:t>
      </w:r>
    </w:p>
    <w:p w14:paraId="7763DC76" w14:textId="77777777" w:rsidR="00515EEF" w:rsidRPr="007F5A4B" w:rsidRDefault="00515EEF" w:rsidP="00515EEF">
      <w:pPr>
        <w:pStyle w:val="Heading2"/>
        <w:rPr>
          <w:lang w:val="bg-BG"/>
        </w:rPr>
      </w:pPr>
    </w:p>
    <w:tbl>
      <w:tblPr>
        <w:tblStyle w:val="TableGrid"/>
        <w:tblW w:w="0" w:type="auto"/>
        <w:tblLook w:val="04A0" w:firstRow="1" w:lastRow="0" w:firstColumn="1" w:lastColumn="0" w:noHBand="0" w:noVBand="1"/>
      </w:tblPr>
      <w:tblGrid>
        <w:gridCol w:w="4390"/>
        <w:gridCol w:w="4252"/>
      </w:tblGrid>
      <w:tr w:rsidR="00515EEF" w:rsidRPr="007F5A4B" w14:paraId="3BF26092" w14:textId="77777777" w:rsidTr="00515EEF">
        <w:tc>
          <w:tcPr>
            <w:tcW w:w="4390" w:type="dxa"/>
          </w:tcPr>
          <w:p w14:paraId="4D0DA58F" w14:textId="77777777" w:rsidR="00515EEF" w:rsidRPr="00515EEF" w:rsidRDefault="00515EEF" w:rsidP="001C06D1">
            <w:pPr>
              <w:rPr>
                <w:rFonts w:ascii="Times New Roman" w:hAnsi="Times New Roman" w:cs="Times New Roman"/>
                <w:sz w:val="20"/>
                <w:szCs w:val="20"/>
                <w:lang w:val="bg-BG"/>
              </w:rPr>
            </w:pPr>
            <w:r w:rsidRPr="00515EEF">
              <w:rPr>
                <w:rFonts w:ascii="Times New Roman" w:hAnsi="Times New Roman" w:cs="Times New Roman"/>
                <w:sz w:val="20"/>
                <w:szCs w:val="20"/>
                <w:lang w:val="bg-BG"/>
              </w:rPr>
              <w:t>Конкурсна процедура</w:t>
            </w:r>
            <w:r w:rsidR="00CC1659">
              <w:rPr>
                <w:rFonts w:ascii="Times New Roman" w:hAnsi="Times New Roman" w:cs="Times New Roman"/>
                <w:sz w:val="20"/>
                <w:szCs w:val="20"/>
                <w:lang w:val="bg-BG"/>
              </w:rPr>
              <w:t xml:space="preserve">⃰ </w:t>
            </w:r>
          </w:p>
        </w:tc>
        <w:tc>
          <w:tcPr>
            <w:tcW w:w="4252" w:type="dxa"/>
          </w:tcPr>
          <w:p w14:paraId="1F95412F" w14:textId="77777777" w:rsidR="00515EEF" w:rsidRPr="007F5A4B" w:rsidRDefault="00515EEF" w:rsidP="001C06D1">
            <w:pPr>
              <w:rPr>
                <w:lang w:val="bg-BG"/>
              </w:rPr>
            </w:pPr>
          </w:p>
        </w:tc>
      </w:tr>
      <w:tr w:rsidR="00515EEF" w:rsidRPr="007F5A4B" w14:paraId="479F2AF0" w14:textId="77777777" w:rsidTr="00515EEF">
        <w:tc>
          <w:tcPr>
            <w:tcW w:w="4390" w:type="dxa"/>
          </w:tcPr>
          <w:p w14:paraId="5C6F993A" w14:textId="77777777" w:rsidR="00515EEF" w:rsidRPr="00515EEF" w:rsidRDefault="00515EEF" w:rsidP="001C06D1">
            <w:pPr>
              <w:rPr>
                <w:rFonts w:ascii="Times New Roman" w:hAnsi="Times New Roman" w:cs="Times New Roman"/>
                <w:sz w:val="20"/>
                <w:szCs w:val="20"/>
                <w:lang w:val="bg-BG"/>
              </w:rPr>
            </w:pPr>
            <w:r w:rsidRPr="00515EEF">
              <w:rPr>
                <w:rFonts w:ascii="Times New Roman" w:hAnsi="Times New Roman" w:cs="Times New Roman"/>
                <w:sz w:val="20"/>
                <w:szCs w:val="20"/>
                <w:lang w:val="bg-BG"/>
              </w:rPr>
              <w:t>№ на проект</w:t>
            </w:r>
          </w:p>
        </w:tc>
        <w:tc>
          <w:tcPr>
            <w:tcW w:w="4252" w:type="dxa"/>
          </w:tcPr>
          <w:p w14:paraId="40563E41" w14:textId="77777777" w:rsidR="00515EEF" w:rsidRPr="007F5A4B" w:rsidRDefault="00515EEF" w:rsidP="001C06D1">
            <w:pPr>
              <w:rPr>
                <w:lang w:val="bg-BG"/>
              </w:rPr>
            </w:pPr>
          </w:p>
        </w:tc>
      </w:tr>
      <w:tr w:rsidR="00515EEF" w:rsidRPr="007F5A4B" w14:paraId="138FD35E" w14:textId="77777777" w:rsidTr="00515EEF">
        <w:tc>
          <w:tcPr>
            <w:tcW w:w="4390" w:type="dxa"/>
          </w:tcPr>
          <w:p w14:paraId="403F2589" w14:textId="77777777" w:rsidR="00515EEF" w:rsidRPr="00515EEF" w:rsidRDefault="00515EEF" w:rsidP="001C06D1">
            <w:pPr>
              <w:rPr>
                <w:rFonts w:ascii="Times New Roman" w:hAnsi="Times New Roman" w:cs="Times New Roman"/>
                <w:sz w:val="20"/>
                <w:szCs w:val="20"/>
                <w:lang w:val="bg-BG"/>
              </w:rPr>
            </w:pPr>
            <w:r w:rsidRPr="00515EEF">
              <w:rPr>
                <w:rFonts w:ascii="Times New Roman" w:hAnsi="Times New Roman" w:cs="Times New Roman"/>
                <w:sz w:val="20"/>
                <w:szCs w:val="20"/>
                <w:lang w:val="bg-BG"/>
              </w:rPr>
              <w:t>Наименование на проекта</w:t>
            </w:r>
          </w:p>
        </w:tc>
        <w:tc>
          <w:tcPr>
            <w:tcW w:w="4252" w:type="dxa"/>
          </w:tcPr>
          <w:p w14:paraId="518FC545" w14:textId="77777777" w:rsidR="00515EEF" w:rsidRPr="007F5A4B" w:rsidRDefault="00515EEF" w:rsidP="001C06D1">
            <w:pPr>
              <w:rPr>
                <w:lang w:val="bg-BG"/>
              </w:rPr>
            </w:pPr>
          </w:p>
        </w:tc>
      </w:tr>
      <w:tr w:rsidR="00515EEF" w:rsidRPr="007F5A4B" w14:paraId="3A264460" w14:textId="77777777" w:rsidTr="00515EEF">
        <w:tc>
          <w:tcPr>
            <w:tcW w:w="4390" w:type="dxa"/>
          </w:tcPr>
          <w:p w14:paraId="0FAC74D3" w14:textId="77777777" w:rsidR="00515EEF" w:rsidRPr="00515EEF" w:rsidRDefault="00515EEF" w:rsidP="001C06D1">
            <w:pPr>
              <w:rPr>
                <w:rFonts w:ascii="Times New Roman" w:hAnsi="Times New Roman" w:cs="Times New Roman"/>
                <w:sz w:val="20"/>
                <w:szCs w:val="20"/>
                <w:lang w:val="bg-BG"/>
              </w:rPr>
            </w:pPr>
            <w:r w:rsidRPr="00515EEF">
              <w:rPr>
                <w:rFonts w:ascii="Times New Roman" w:hAnsi="Times New Roman" w:cs="Times New Roman"/>
                <w:sz w:val="20"/>
                <w:szCs w:val="20"/>
                <w:lang w:val="bg-BG"/>
              </w:rPr>
              <w:t>Целеви индикатори</w:t>
            </w:r>
          </w:p>
        </w:tc>
        <w:tc>
          <w:tcPr>
            <w:tcW w:w="4252" w:type="dxa"/>
          </w:tcPr>
          <w:p w14:paraId="660A748D" w14:textId="77777777" w:rsidR="00515EEF" w:rsidRPr="007F5A4B" w:rsidRDefault="00515EEF" w:rsidP="001C06D1">
            <w:pPr>
              <w:rPr>
                <w:lang w:val="bg-BG"/>
              </w:rPr>
            </w:pPr>
          </w:p>
        </w:tc>
      </w:tr>
      <w:tr w:rsidR="00515EEF" w:rsidRPr="007F5A4B" w14:paraId="05D45BE5" w14:textId="77777777" w:rsidTr="00515EEF">
        <w:tc>
          <w:tcPr>
            <w:tcW w:w="4390" w:type="dxa"/>
          </w:tcPr>
          <w:p w14:paraId="6919FA14" w14:textId="77777777" w:rsidR="00515EEF" w:rsidRPr="00515EEF" w:rsidRDefault="00515EEF" w:rsidP="001C06D1">
            <w:pPr>
              <w:rPr>
                <w:rFonts w:ascii="Times New Roman" w:hAnsi="Times New Roman" w:cs="Times New Roman"/>
                <w:sz w:val="20"/>
                <w:szCs w:val="20"/>
                <w:lang w:val="bg-BG"/>
              </w:rPr>
            </w:pPr>
            <w:r w:rsidRPr="00515EEF">
              <w:rPr>
                <w:rFonts w:ascii="Times New Roman" w:hAnsi="Times New Roman" w:cs="Times New Roman"/>
                <w:sz w:val="20"/>
                <w:szCs w:val="20"/>
                <w:lang w:val="bg-BG"/>
              </w:rPr>
              <w:t>Етап на изпълнение</w:t>
            </w:r>
          </w:p>
        </w:tc>
        <w:tc>
          <w:tcPr>
            <w:tcW w:w="4252" w:type="dxa"/>
          </w:tcPr>
          <w:p w14:paraId="249BBDFD" w14:textId="77777777" w:rsidR="00515EEF" w:rsidRPr="007F5A4B" w:rsidRDefault="00515EEF" w:rsidP="001C06D1">
            <w:pPr>
              <w:rPr>
                <w:lang w:val="bg-BG"/>
              </w:rPr>
            </w:pPr>
          </w:p>
        </w:tc>
      </w:tr>
      <w:tr w:rsidR="00515EEF" w:rsidRPr="007F5A4B" w14:paraId="2476DDBB" w14:textId="77777777" w:rsidTr="00515EEF">
        <w:tc>
          <w:tcPr>
            <w:tcW w:w="4390" w:type="dxa"/>
          </w:tcPr>
          <w:p w14:paraId="3ED61085" w14:textId="77777777" w:rsidR="00515EEF" w:rsidRPr="00515EEF" w:rsidRDefault="00515EEF" w:rsidP="001C06D1">
            <w:pPr>
              <w:rPr>
                <w:rFonts w:ascii="Times New Roman" w:hAnsi="Times New Roman" w:cs="Times New Roman"/>
                <w:sz w:val="20"/>
                <w:szCs w:val="20"/>
                <w:lang w:val="bg-BG"/>
              </w:rPr>
            </w:pPr>
            <w:r w:rsidRPr="00515EEF">
              <w:rPr>
                <w:rFonts w:ascii="Times New Roman" w:hAnsi="Times New Roman" w:cs="Times New Roman"/>
                <w:sz w:val="20"/>
                <w:szCs w:val="20"/>
                <w:lang w:val="bg-BG"/>
              </w:rPr>
              <w:t>Процент на усвояване на предоставените средства</w:t>
            </w:r>
          </w:p>
        </w:tc>
        <w:tc>
          <w:tcPr>
            <w:tcW w:w="4252" w:type="dxa"/>
          </w:tcPr>
          <w:p w14:paraId="35449E3A" w14:textId="77777777" w:rsidR="00515EEF" w:rsidRPr="007F5A4B" w:rsidRDefault="00515EEF" w:rsidP="001C06D1">
            <w:pPr>
              <w:rPr>
                <w:lang w:val="bg-BG"/>
              </w:rPr>
            </w:pPr>
          </w:p>
        </w:tc>
      </w:tr>
      <w:tr w:rsidR="00515EEF" w:rsidRPr="007F5A4B" w14:paraId="2870C452" w14:textId="77777777" w:rsidTr="00515EEF">
        <w:tc>
          <w:tcPr>
            <w:tcW w:w="4390" w:type="dxa"/>
          </w:tcPr>
          <w:p w14:paraId="7F250D6C" w14:textId="77777777" w:rsidR="00515EEF" w:rsidRPr="00515EEF" w:rsidRDefault="00515EEF" w:rsidP="001C06D1">
            <w:pPr>
              <w:rPr>
                <w:rFonts w:ascii="Times New Roman" w:hAnsi="Times New Roman" w:cs="Times New Roman"/>
                <w:sz w:val="20"/>
                <w:szCs w:val="20"/>
                <w:lang w:val="bg-BG"/>
              </w:rPr>
            </w:pPr>
            <w:r w:rsidRPr="00515EEF">
              <w:rPr>
                <w:rFonts w:ascii="Times New Roman" w:hAnsi="Times New Roman" w:cs="Times New Roman"/>
                <w:sz w:val="20"/>
                <w:szCs w:val="20"/>
                <w:lang w:val="bg-BG"/>
              </w:rPr>
              <w:t xml:space="preserve">Коментари </w:t>
            </w:r>
          </w:p>
        </w:tc>
        <w:tc>
          <w:tcPr>
            <w:tcW w:w="4252" w:type="dxa"/>
          </w:tcPr>
          <w:p w14:paraId="4B80D4CE" w14:textId="77777777" w:rsidR="00515EEF" w:rsidRPr="007F5A4B" w:rsidRDefault="00515EEF" w:rsidP="001C06D1">
            <w:pPr>
              <w:rPr>
                <w:lang w:val="bg-BG"/>
              </w:rPr>
            </w:pPr>
          </w:p>
        </w:tc>
      </w:tr>
    </w:tbl>
    <w:p w14:paraId="09283D55" w14:textId="77777777" w:rsidR="00515EEF" w:rsidRDefault="00515EEF" w:rsidP="00515EEF">
      <w:pPr>
        <w:jc w:val="both"/>
        <w:rPr>
          <w:lang w:val="bg-BG"/>
        </w:rPr>
      </w:pPr>
    </w:p>
    <w:tbl>
      <w:tblPr>
        <w:tblW w:w="9609" w:type="dxa"/>
        <w:tblLayout w:type="fixed"/>
        <w:tblCellMar>
          <w:left w:w="0" w:type="dxa"/>
          <w:right w:w="0" w:type="dxa"/>
        </w:tblCellMar>
        <w:tblLook w:val="0000" w:firstRow="0" w:lastRow="0" w:firstColumn="0" w:lastColumn="0" w:noHBand="0" w:noVBand="0"/>
      </w:tblPr>
      <w:tblGrid>
        <w:gridCol w:w="9609"/>
      </w:tblGrid>
      <w:tr w:rsidR="00515EEF" w:rsidRPr="0014522D" w14:paraId="22C707AA" w14:textId="77777777" w:rsidTr="001C06D1">
        <w:tc>
          <w:tcPr>
            <w:tcW w:w="9609" w:type="dxa"/>
            <w:tcBorders>
              <w:top w:val="nil"/>
              <w:left w:val="nil"/>
              <w:bottom w:val="nil"/>
              <w:right w:val="nil"/>
              <w:tl2br w:val="nil"/>
              <w:tr2bl w:val="nil"/>
            </w:tcBorders>
            <w:tcMar>
              <w:top w:w="0" w:type="dxa"/>
              <w:left w:w="108" w:type="dxa"/>
              <w:bottom w:w="0" w:type="dxa"/>
              <w:right w:w="108" w:type="dxa"/>
            </w:tcMar>
          </w:tcPr>
          <w:p w14:paraId="67C59A8D" w14:textId="77777777" w:rsidR="00515EEF" w:rsidRPr="0014522D" w:rsidRDefault="00515EEF" w:rsidP="001C06D1">
            <w:pPr>
              <w:jc w:val="right"/>
              <w:rPr>
                <w:color w:val="000000"/>
                <w:lang w:val="bg-BG"/>
              </w:rPr>
            </w:pPr>
          </w:p>
        </w:tc>
      </w:tr>
    </w:tbl>
    <w:p w14:paraId="487DC293" w14:textId="77777777" w:rsidR="00485C91" w:rsidRPr="0014522D" w:rsidRDefault="00CC1659" w:rsidP="00515EEF">
      <w:pPr>
        <w:jc w:val="both"/>
        <w:rPr>
          <w:lang w:val="bg-BG"/>
        </w:rPr>
      </w:pPr>
      <w:r>
        <w:rPr>
          <w:i/>
          <w:iCs/>
          <w:lang w:val="bg-BG"/>
        </w:rPr>
        <w:t>Забележка</w:t>
      </w:r>
      <w:r w:rsidR="00515EEF" w:rsidRPr="0014522D">
        <w:rPr>
          <w:i/>
          <w:iCs/>
          <w:lang w:val="bg-BG"/>
        </w:rPr>
        <w:t>:</w:t>
      </w:r>
      <w:r w:rsidR="00515EEF" w:rsidRPr="0014522D">
        <w:rPr>
          <w:i/>
          <w:iCs/>
          <w:lang w:val="bg-BG"/>
        </w:rPr>
        <w:br/>
      </w:r>
      <w:r w:rsidR="00515EEF" w:rsidRPr="0014522D">
        <w:rPr>
          <w:i/>
          <w:iCs/>
          <w:lang w:val="bg-BG"/>
        </w:rPr>
        <w:br/>
      </w:r>
      <w:r>
        <w:rPr>
          <w:vertAlign w:val="superscript"/>
          <w:lang w:val="bg-BG"/>
        </w:rPr>
        <w:t>⃰</w:t>
      </w:r>
      <w:r w:rsidR="00515EEF" w:rsidRPr="0014522D">
        <w:rPr>
          <w:lang w:val="bg-BG"/>
        </w:rPr>
        <w:t xml:space="preserve"> Описват се </w:t>
      </w:r>
      <w:r>
        <w:rPr>
          <w:lang w:val="bg-BG"/>
        </w:rPr>
        <w:t>поименно всички конкурсни процедури</w:t>
      </w:r>
      <w:r w:rsidR="00515EEF">
        <w:rPr>
          <w:lang w:val="bg-BG"/>
        </w:rPr>
        <w:t xml:space="preserve"> и</w:t>
      </w:r>
      <w:r w:rsidR="00515EEF" w:rsidRPr="0014522D">
        <w:rPr>
          <w:lang w:val="bg-BG"/>
        </w:rPr>
        <w:t xml:space="preserve"> фина</w:t>
      </w:r>
      <w:r w:rsidR="00515EEF">
        <w:rPr>
          <w:lang w:val="bg-BG"/>
        </w:rPr>
        <w:t xml:space="preserve">нсираните </w:t>
      </w:r>
      <w:r w:rsidR="00515EEF" w:rsidRPr="0014522D">
        <w:rPr>
          <w:lang w:val="bg-BG"/>
        </w:rPr>
        <w:t>проекти през отчетната година.</w:t>
      </w:r>
      <w:r w:rsidR="00515EEF" w:rsidRPr="0014522D">
        <w:rPr>
          <w:lang w:val="bg-BG"/>
        </w:rPr>
        <w:br/>
      </w:r>
      <w:r w:rsidR="00515EEF" w:rsidRPr="0014522D">
        <w:rPr>
          <w:lang w:val="bg-BG"/>
        </w:rPr>
        <w:br/>
      </w:r>
    </w:p>
    <w:sectPr w:rsidR="00485C91" w:rsidRPr="0014522D">
      <w:footerReference w:type="default" r:id="rId11"/>
      <w:pgSz w:w="11907" w:h="16839"/>
      <w:pgMar w:top="1134" w:right="1134" w:bottom="1134" w:left="1134" w:header="720" w:footer="72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772994" w16cex:dateUtc="2025-08-21T08:20:00Z"/>
  <w16cex:commentExtensible w16cex:durableId="19CB0010" w16cex:dateUtc="2025-08-21T08:21:00Z"/>
  <w16cex:commentExtensible w16cex:durableId="2A65C025" w16cex:dateUtc="2025-08-21T08:22:00Z"/>
  <w16cex:commentExtensible w16cex:durableId="04D7475E" w16cex:dateUtc="2025-08-21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9F4183" w16cid:durableId="61772994"/>
  <w16cid:commentId w16cid:paraId="06262337" w16cid:durableId="19CB0010"/>
  <w16cid:commentId w16cid:paraId="070EFE77" w16cid:durableId="2A65C025"/>
  <w16cid:commentId w16cid:paraId="084EAC69" w16cid:durableId="04D7475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2A0BB" w14:textId="77777777" w:rsidR="005B7CEC" w:rsidRDefault="005B7CEC">
      <w:r>
        <w:separator/>
      </w:r>
    </w:p>
  </w:endnote>
  <w:endnote w:type="continuationSeparator" w:id="0">
    <w:p w14:paraId="2D38B0A4" w14:textId="77777777" w:rsidR="005B7CEC" w:rsidRDefault="005B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000" w:firstRow="0" w:lastRow="0" w:firstColumn="0" w:lastColumn="0" w:noHBand="0" w:noVBand="0"/>
    </w:tblPr>
    <w:tblGrid>
      <w:gridCol w:w="518"/>
      <w:gridCol w:w="9091"/>
    </w:tblGrid>
    <w:tr w:rsidR="001C06D1" w14:paraId="4124C659" w14:textId="77777777">
      <w:trPr>
        <w:trHeight w:val="375"/>
      </w:trPr>
      <w:tc>
        <w:tcPr>
          <w:tcW w:w="518" w:type="dxa"/>
          <w:tcBorders>
            <w:top w:val="single" w:sz="6" w:space="0" w:color="BDBDBD"/>
            <w:left w:val="nil"/>
            <w:bottom w:val="nil"/>
            <w:right w:val="nil"/>
            <w:tl2br w:val="nil"/>
            <w:tr2bl w:val="nil"/>
          </w:tcBorders>
          <w:vAlign w:val="center"/>
        </w:tcPr>
        <w:p w14:paraId="7DCD49A0" w14:textId="77777777" w:rsidR="001C06D1" w:rsidRDefault="001C06D1">
          <w:pPr>
            <w:spacing w:before="75"/>
            <w:ind w:right="150"/>
            <w:rPr>
              <w:rFonts w:ascii="Verdana" w:eastAsia="Verdana" w:hAnsi="Verdana" w:cs="Verdana"/>
              <w:color w:val="000000"/>
              <w:sz w:val="15"/>
              <w:szCs w:val="15"/>
            </w:rPr>
          </w:pPr>
          <w:r>
            <w:rPr>
              <w:rFonts w:ascii="Verdana" w:eastAsia="Verdana" w:hAnsi="Verdana" w:cs="Verdana"/>
              <w:color w:val="000000"/>
              <w:sz w:val="15"/>
              <w:szCs w:val="15"/>
            </w:rPr>
            <w:t xml:space="preserve"> </w:t>
          </w:r>
        </w:p>
      </w:tc>
      <w:tc>
        <w:tcPr>
          <w:tcW w:w="9091" w:type="dxa"/>
          <w:tcBorders>
            <w:top w:val="single" w:sz="6" w:space="0" w:color="BDBDBD"/>
            <w:left w:val="nil"/>
            <w:bottom w:val="nil"/>
            <w:right w:val="nil"/>
            <w:tl2br w:val="nil"/>
            <w:tr2bl w:val="nil"/>
          </w:tcBorders>
          <w:vAlign w:val="center"/>
        </w:tcPr>
        <w:p w14:paraId="478E822D" w14:textId="77777777" w:rsidR="001C06D1" w:rsidRDefault="001C06D1" w:rsidP="004254E9">
          <w:pPr>
            <w:rPr>
              <w:rFonts w:ascii="Verdana" w:eastAsia="Verdana" w:hAnsi="Verdana" w:cs="Verdana"/>
              <w:color w:val="000000"/>
              <w:sz w:val="18"/>
              <w:szCs w:val="18"/>
            </w:rPr>
          </w:pPr>
        </w:p>
      </w:tc>
    </w:tr>
  </w:tbl>
  <w:p w14:paraId="3ADA218B" w14:textId="22CAAE82" w:rsidR="001C06D1" w:rsidRPr="000D1C40" w:rsidRDefault="001C06D1">
    <w:pPr>
      <w:jc w:val="right"/>
      <w:rPr>
        <w:lang w:val="bg-BG"/>
      </w:rPr>
    </w:pPr>
    <w:r w:rsidRPr="000D1C40">
      <w:rPr>
        <w:rFonts w:eastAsia="Verdana"/>
        <w:sz w:val="20"/>
        <w:szCs w:val="20"/>
        <w:lang w:val="bg-BG"/>
      </w:rPr>
      <w:t xml:space="preserve">стр. </w:t>
    </w:r>
    <w:r w:rsidRPr="000D1C40">
      <w:rPr>
        <w:rFonts w:eastAsia="Verdana"/>
        <w:sz w:val="20"/>
        <w:szCs w:val="20"/>
        <w:lang w:val="bg-BG"/>
      </w:rPr>
      <w:fldChar w:fldCharType="begin"/>
    </w:r>
    <w:r w:rsidRPr="000D1C40">
      <w:rPr>
        <w:rFonts w:eastAsia="Verdana"/>
        <w:sz w:val="20"/>
        <w:szCs w:val="20"/>
        <w:lang w:val="bg-BG"/>
      </w:rPr>
      <w:instrText xml:space="preserve"> PAGE</w:instrText>
    </w:r>
    <w:r w:rsidRPr="000D1C40">
      <w:rPr>
        <w:rFonts w:eastAsia="Verdana"/>
        <w:sz w:val="20"/>
        <w:szCs w:val="20"/>
        <w:lang w:val="bg-BG"/>
      </w:rPr>
      <w:fldChar w:fldCharType="separate"/>
    </w:r>
    <w:r w:rsidR="008C4C9F">
      <w:rPr>
        <w:rFonts w:eastAsia="Verdana"/>
        <w:noProof/>
        <w:sz w:val="20"/>
        <w:szCs w:val="20"/>
        <w:lang w:val="bg-BG"/>
      </w:rPr>
      <w:t>1</w:t>
    </w:r>
    <w:r w:rsidRPr="000D1C40">
      <w:rPr>
        <w:rFonts w:eastAsia="Verdana"/>
        <w:sz w:val="20"/>
        <w:szCs w:val="20"/>
        <w:lang w:val="bg-BG"/>
      </w:rPr>
      <w:fldChar w:fldCharType="end"/>
    </w:r>
    <w:r w:rsidRPr="000D1C40">
      <w:rPr>
        <w:rFonts w:eastAsia="Verdana"/>
        <w:sz w:val="20"/>
        <w:szCs w:val="20"/>
        <w:lang w:val="bg-BG"/>
      </w:rPr>
      <w:t xml:space="preserve"> от </w:t>
    </w:r>
    <w:r w:rsidRPr="000D1C40">
      <w:rPr>
        <w:rFonts w:eastAsia="Verdana"/>
        <w:sz w:val="20"/>
        <w:szCs w:val="20"/>
        <w:lang w:val="bg-BG"/>
      </w:rPr>
      <w:fldChar w:fldCharType="begin"/>
    </w:r>
    <w:r w:rsidRPr="000D1C40">
      <w:rPr>
        <w:rFonts w:eastAsia="Verdana"/>
        <w:sz w:val="20"/>
        <w:szCs w:val="20"/>
        <w:lang w:val="bg-BG"/>
      </w:rPr>
      <w:instrText xml:space="preserve"> NUMPAGES</w:instrText>
    </w:r>
    <w:r w:rsidRPr="000D1C40">
      <w:rPr>
        <w:rFonts w:eastAsia="Verdana"/>
        <w:sz w:val="20"/>
        <w:szCs w:val="20"/>
        <w:lang w:val="bg-BG"/>
      </w:rPr>
      <w:fldChar w:fldCharType="separate"/>
    </w:r>
    <w:r w:rsidR="008C4C9F">
      <w:rPr>
        <w:rFonts w:eastAsia="Verdana"/>
        <w:noProof/>
        <w:sz w:val="20"/>
        <w:szCs w:val="20"/>
        <w:lang w:val="bg-BG"/>
      </w:rPr>
      <w:t>5</w:t>
    </w:r>
    <w:r w:rsidRPr="000D1C40">
      <w:rPr>
        <w:rFonts w:eastAsia="Verdana"/>
        <w:sz w:val="20"/>
        <w:szCs w:val="20"/>
        <w:lang w:val="bg-BG"/>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920B4" w14:textId="77777777" w:rsidR="005B7CEC" w:rsidRDefault="005B7CEC">
      <w:r>
        <w:separator/>
      </w:r>
    </w:p>
  </w:footnote>
  <w:footnote w:type="continuationSeparator" w:id="0">
    <w:p w14:paraId="30B167D4" w14:textId="77777777" w:rsidR="005B7CEC" w:rsidRDefault="005B7C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81B3D"/>
    <w:multiLevelType w:val="hybridMultilevel"/>
    <w:tmpl w:val="5142A868"/>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hyphenationZone w:val="425"/>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91"/>
    <w:rsid w:val="000059E7"/>
    <w:rsid w:val="00017FA3"/>
    <w:rsid w:val="00044D25"/>
    <w:rsid w:val="00057697"/>
    <w:rsid w:val="00057736"/>
    <w:rsid w:val="00066E2E"/>
    <w:rsid w:val="00080429"/>
    <w:rsid w:val="000A10D0"/>
    <w:rsid w:val="000B6194"/>
    <w:rsid w:val="000D1C40"/>
    <w:rsid w:val="000E3F83"/>
    <w:rsid w:val="000F54B1"/>
    <w:rsid w:val="00105241"/>
    <w:rsid w:val="00122049"/>
    <w:rsid w:val="0013476D"/>
    <w:rsid w:val="0014522D"/>
    <w:rsid w:val="0015318B"/>
    <w:rsid w:val="001542FC"/>
    <w:rsid w:val="001822FE"/>
    <w:rsid w:val="001A5D3B"/>
    <w:rsid w:val="001C06D1"/>
    <w:rsid w:val="001C1E73"/>
    <w:rsid w:val="001C5331"/>
    <w:rsid w:val="001D4A6D"/>
    <w:rsid w:val="001D61E4"/>
    <w:rsid w:val="001F534F"/>
    <w:rsid w:val="0023729A"/>
    <w:rsid w:val="00241C59"/>
    <w:rsid w:val="0028361C"/>
    <w:rsid w:val="002A0EA3"/>
    <w:rsid w:val="002E2614"/>
    <w:rsid w:val="002F1893"/>
    <w:rsid w:val="002F7D66"/>
    <w:rsid w:val="0030179F"/>
    <w:rsid w:val="0030216E"/>
    <w:rsid w:val="003055C4"/>
    <w:rsid w:val="00305AEF"/>
    <w:rsid w:val="00317AAD"/>
    <w:rsid w:val="00322624"/>
    <w:rsid w:val="0032560B"/>
    <w:rsid w:val="0036105A"/>
    <w:rsid w:val="00383EC0"/>
    <w:rsid w:val="003A0DD4"/>
    <w:rsid w:val="003A7A81"/>
    <w:rsid w:val="003B2A5B"/>
    <w:rsid w:val="003C047A"/>
    <w:rsid w:val="004254E9"/>
    <w:rsid w:val="0042784A"/>
    <w:rsid w:val="00442F55"/>
    <w:rsid w:val="00472331"/>
    <w:rsid w:val="00484B7A"/>
    <w:rsid w:val="00485C91"/>
    <w:rsid w:val="004A3796"/>
    <w:rsid w:val="004D0344"/>
    <w:rsid w:val="004D2DA7"/>
    <w:rsid w:val="004F1A0F"/>
    <w:rsid w:val="00515EEF"/>
    <w:rsid w:val="00530976"/>
    <w:rsid w:val="00532334"/>
    <w:rsid w:val="005648C3"/>
    <w:rsid w:val="005652EF"/>
    <w:rsid w:val="005660F1"/>
    <w:rsid w:val="00592012"/>
    <w:rsid w:val="005940CC"/>
    <w:rsid w:val="005A4314"/>
    <w:rsid w:val="005A7ECE"/>
    <w:rsid w:val="005B7CEC"/>
    <w:rsid w:val="005D5A30"/>
    <w:rsid w:val="005E217C"/>
    <w:rsid w:val="005F5445"/>
    <w:rsid w:val="005F7657"/>
    <w:rsid w:val="006006D9"/>
    <w:rsid w:val="00604681"/>
    <w:rsid w:val="00645C07"/>
    <w:rsid w:val="00652FC9"/>
    <w:rsid w:val="006604FB"/>
    <w:rsid w:val="006707AA"/>
    <w:rsid w:val="0068304A"/>
    <w:rsid w:val="0069787B"/>
    <w:rsid w:val="006A2F68"/>
    <w:rsid w:val="006B5096"/>
    <w:rsid w:val="006B5B68"/>
    <w:rsid w:val="006B7FC6"/>
    <w:rsid w:val="006E73BB"/>
    <w:rsid w:val="007234E9"/>
    <w:rsid w:val="0073592D"/>
    <w:rsid w:val="0075124D"/>
    <w:rsid w:val="007825AB"/>
    <w:rsid w:val="00790FA1"/>
    <w:rsid w:val="007A56E6"/>
    <w:rsid w:val="007C4E37"/>
    <w:rsid w:val="007F1499"/>
    <w:rsid w:val="007F5A4B"/>
    <w:rsid w:val="00825E48"/>
    <w:rsid w:val="00847CF5"/>
    <w:rsid w:val="00852E5E"/>
    <w:rsid w:val="0085684C"/>
    <w:rsid w:val="00857EF8"/>
    <w:rsid w:val="00876E2A"/>
    <w:rsid w:val="008A6CB1"/>
    <w:rsid w:val="008B7848"/>
    <w:rsid w:val="008C4C9F"/>
    <w:rsid w:val="008D4447"/>
    <w:rsid w:val="008E5A7C"/>
    <w:rsid w:val="008F0BAB"/>
    <w:rsid w:val="0091005A"/>
    <w:rsid w:val="00913C93"/>
    <w:rsid w:val="00916D2F"/>
    <w:rsid w:val="009309A7"/>
    <w:rsid w:val="009556DF"/>
    <w:rsid w:val="00960E6A"/>
    <w:rsid w:val="009743F5"/>
    <w:rsid w:val="00974963"/>
    <w:rsid w:val="00986F22"/>
    <w:rsid w:val="009C0F7F"/>
    <w:rsid w:val="009C5910"/>
    <w:rsid w:val="009D13A7"/>
    <w:rsid w:val="009E7D2E"/>
    <w:rsid w:val="009F0162"/>
    <w:rsid w:val="00A023A9"/>
    <w:rsid w:val="00A0295D"/>
    <w:rsid w:val="00A351B4"/>
    <w:rsid w:val="00A40094"/>
    <w:rsid w:val="00A43C06"/>
    <w:rsid w:val="00A5760A"/>
    <w:rsid w:val="00A66CB6"/>
    <w:rsid w:val="00A70CDE"/>
    <w:rsid w:val="00A77D4C"/>
    <w:rsid w:val="00AA21C6"/>
    <w:rsid w:val="00AA22D9"/>
    <w:rsid w:val="00AB4543"/>
    <w:rsid w:val="00AC0E92"/>
    <w:rsid w:val="00AF2149"/>
    <w:rsid w:val="00B006C7"/>
    <w:rsid w:val="00B06135"/>
    <w:rsid w:val="00B2601F"/>
    <w:rsid w:val="00B270F0"/>
    <w:rsid w:val="00B46259"/>
    <w:rsid w:val="00B71CD6"/>
    <w:rsid w:val="00B869F6"/>
    <w:rsid w:val="00B979DD"/>
    <w:rsid w:val="00BB0A3A"/>
    <w:rsid w:val="00BB6812"/>
    <w:rsid w:val="00BC714E"/>
    <w:rsid w:val="00BC76D6"/>
    <w:rsid w:val="00BE2AFD"/>
    <w:rsid w:val="00C14704"/>
    <w:rsid w:val="00C33500"/>
    <w:rsid w:val="00C90091"/>
    <w:rsid w:val="00CC1659"/>
    <w:rsid w:val="00CC6DA2"/>
    <w:rsid w:val="00CD22D9"/>
    <w:rsid w:val="00CE3BE1"/>
    <w:rsid w:val="00D03B71"/>
    <w:rsid w:val="00D10D51"/>
    <w:rsid w:val="00D125F6"/>
    <w:rsid w:val="00D366C8"/>
    <w:rsid w:val="00D54D82"/>
    <w:rsid w:val="00D551D0"/>
    <w:rsid w:val="00D57CF5"/>
    <w:rsid w:val="00D60278"/>
    <w:rsid w:val="00D96D2F"/>
    <w:rsid w:val="00D97558"/>
    <w:rsid w:val="00DA273E"/>
    <w:rsid w:val="00DD2AB0"/>
    <w:rsid w:val="00DD33C6"/>
    <w:rsid w:val="00DD59F8"/>
    <w:rsid w:val="00DE624C"/>
    <w:rsid w:val="00DF308B"/>
    <w:rsid w:val="00E0638A"/>
    <w:rsid w:val="00E508D1"/>
    <w:rsid w:val="00E73121"/>
    <w:rsid w:val="00EB6EC8"/>
    <w:rsid w:val="00EB707E"/>
    <w:rsid w:val="00EB78EB"/>
    <w:rsid w:val="00EF7FE5"/>
    <w:rsid w:val="00F06FCE"/>
    <w:rsid w:val="00F269C6"/>
    <w:rsid w:val="00F52069"/>
    <w:rsid w:val="00F72D9D"/>
    <w:rsid w:val="00FE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817F"/>
  <w15:docId w15:val="{2D64C90C-A7F0-4A32-A510-2F62AF4F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link w:val="Heading2Char"/>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character" w:styleId="Hyperlink">
    <w:name w:val="Hyperlink"/>
    <w:basedOn w:val="DefaultParagraphFont"/>
    <w:uiPriority w:val="99"/>
    <w:unhideWhenUsed/>
    <w:rsid w:val="00592012"/>
    <w:rPr>
      <w:color w:val="0000FF"/>
      <w:u w:val="single"/>
    </w:rPr>
  </w:style>
  <w:style w:type="table" w:styleId="TableGrid">
    <w:name w:val="Table Grid"/>
    <w:basedOn w:val="TableNormal"/>
    <w:uiPriority w:val="59"/>
    <w:rsid w:val="00D03B7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4E9"/>
    <w:pPr>
      <w:tabs>
        <w:tab w:val="center" w:pos="4536"/>
        <w:tab w:val="right" w:pos="9072"/>
      </w:tabs>
    </w:pPr>
  </w:style>
  <w:style w:type="character" w:customStyle="1" w:styleId="HeaderChar">
    <w:name w:val="Header Char"/>
    <w:basedOn w:val="DefaultParagraphFont"/>
    <w:link w:val="Header"/>
    <w:uiPriority w:val="99"/>
    <w:rsid w:val="004254E9"/>
  </w:style>
  <w:style w:type="paragraph" w:styleId="Footer">
    <w:name w:val="footer"/>
    <w:basedOn w:val="Normal"/>
    <w:link w:val="FooterChar"/>
    <w:uiPriority w:val="99"/>
    <w:unhideWhenUsed/>
    <w:rsid w:val="004254E9"/>
    <w:pPr>
      <w:tabs>
        <w:tab w:val="center" w:pos="4536"/>
        <w:tab w:val="right" w:pos="9072"/>
      </w:tabs>
    </w:pPr>
  </w:style>
  <w:style w:type="character" w:customStyle="1" w:styleId="FooterChar">
    <w:name w:val="Footer Char"/>
    <w:basedOn w:val="DefaultParagraphFont"/>
    <w:link w:val="Footer"/>
    <w:uiPriority w:val="99"/>
    <w:rsid w:val="004254E9"/>
  </w:style>
  <w:style w:type="character" w:customStyle="1" w:styleId="Heading2Char">
    <w:name w:val="Heading 2 Char"/>
    <w:basedOn w:val="DefaultParagraphFont"/>
    <w:link w:val="Heading2"/>
    <w:rsid w:val="00515EEF"/>
  </w:style>
  <w:style w:type="character" w:styleId="CommentReference">
    <w:name w:val="annotation reference"/>
    <w:basedOn w:val="DefaultParagraphFont"/>
    <w:uiPriority w:val="99"/>
    <w:semiHidden/>
    <w:unhideWhenUsed/>
    <w:rsid w:val="001C06D1"/>
    <w:rPr>
      <w:sz w:val="16"/>
      <w:szCs w:val="16"/>
    </w:rPr>
  </w:style>
  <w:style w:type="paragraph" w:styleId="CommentText">
    <w:name w:val="annotation text"/>
    <w:basedOn w:val="Normal"/>
    <w:link w:val="CommentTextChar"/>
    <w:uiPriority w:val="99"/>
    <w:unhideWhenUsed/>
    <w:rsid w:val="001C06D1"/>
    <w:rPr>
      <w:sz w:val="20"/>
      <w:szCs w:val="20"/>
    </w:rPr>
  </w:style>
  <w:style w:type="character" w:customStyle="1" w:styleId="CommentTextChar">
    <w:name w:val="Comment Text Char"/>
    <w:basedOn w:val="DefaultParagraphFont"/>
    <w:link w:val="CommentText"/>
    <w:uiPriority w:val="99"/>
    <w:rsid w:val="001C06D1"/>
    <w:rPr>
      <w:sz w:val="20"/>
      <w:szCs w:val="20"/>
    </w:rPr>
  </w:style>
  <w:style w:type="paragraph" w:styleId="CommentSubject">
    <w:name w:val="annotation subject"/>
    <w:basedOn w:val="CommentText"/>
    <w:next w:val="CommentText"/>
    <w:link w:val="CommentSubjectChar"/>
    <w:uiPriority w:val="99"/>
    <w:semiHidden/>
    <w:unhideWhenUsed/>
    <w:rsid w:val="001C06D1"/>
    <w:rPr>
      <w:b/>
      <w:bCs/>
    </w:rPr>
  </w:style>
  <w:style w:type="character" w:customStyle="1" w:styleId="CommentSubjectChar">
    <w:name w:val="Comment Subject Char"/>
    <w:basedOn w:val="CommentTextChar"/>
    <w:link w:val="CommentSubject"/>
    <w:uiPriority w:val="99"/>
    <w:semiHidden/>
    <w:rsid w:val="001C06D1"/>
    <w:rPr>
      <w:b/>
      <w:bCs/>
      <w:sz w:val="20"/>
      <w:szCs w:val="20"/>
    </w:rPr>
  </w:style>
  <w:style w:type="paragraph" w:styleId="BalloonText">
    <w:name w:val="Balloon Text"/>
    <w:basedOn w:val="Normal"/>
    <w:link w:val="BalloonTextChar"/>
    <w:uiPriority w:val="99"/>
    <w:semiHidden/>
    <w:unhideWhenUsed/>
    <w:rsid w:val="001C06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6D1"/>
    <w:rPr>
      <w:rFonts w:ascii="Segoe UI" w:hAnsi="Segoe UI" w:cs="Segoe UI"/>
      <w:sz w:val="18"/>
      <w:szCs w:val="18"/>
    </w:rPr>
  </w:style>
  <w:style w:type="paragraph" w:styleId="NormalWeb">
    <w:name w:val="Normal (Web)"/>
    <w:basedOn w:val="Normal"/>
    <w:uiPriority w:val="99"/>
    <w:semiHidden/>
    <w:unhideWhenUsed/>
    <w:rsid w:val="00080429"/>
    <w:pPr>
      <w:spacing w:before="100" w:beforeAutospacing="1" w:after="100" w:afterAutospacing="1"/>
    </w:pPr>
  </w:style>
  <w:style w:type="paragraph" w:styleId="ListParagraph">
    <w:name w:val="List Paragraph"/>
    <w:basedOn w:val="Normal"/>
    <w:uiPriority w:val="34"/>
    <w:qFormat/>
    <w:rsid w:val="003055C4"/>
    <w:pPr>
      <w:ind w:left="720"/>
      <w:contextualSpacing/>
    </w:pPr>
  </w:style>
  <w:style w:type="character" w:styleId="Strong">
    <w:name w:val="Strong"/>
    <w:basedOn w:val="DefaultParagraphFont"/>
    <w:uiPriority w:val="22"/>
    <w:qFormat/>
    <w:rsid w:val="00AA22D9"/>
    <w:rPr>
      <w:b/>
      <w:bCs/>
    </w:rPr>
  </w:style>
  <w:style w:type="paragraph" w:styleId="Revision">
    <w:name w:val="Revision"/>
    <w:hidden/>
    <w:uiPriority w:val="99"/>
    <w:semiHidden/>
    <w:rsid w:val="0056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224621">
      <w:bodyDiv w:val="1"/>
      <w:marLeft w:val="0"/>
      <w:marRight w:val="0"/>
      <w:marTop w:val="0"/>
      <w:marBottom w:val="0"/>
      <w:divBdr>
        <w:top w:val="none" w:sz="0" w:space="0" w:color="auto"/>
        <w:left w:val="none" w:sz="0" w:space="0" w:color="auto"/>
        <w:bottom w:val="none" w:sz="0" w:space="0" w:color="auto"/>
        <w:right w:val="none" w:sz="0" w:space="0" w:color="auto"/>
      </w:divBdr>
    </w:div>
    <w:div w:id="1054961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code=42837&amp;base=NARH&amp;topar=art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apis.bg/p.php?code=42837&amp;base=NARH&amp;topar=art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web.apis.bg/p.php?code=42837&amp;base=NARH&amp;topar=art59" TargetMode="External"/><Relationship Id="rId4" Type="http://schemas.openxmlformats.org/officeDocument/2006/relationships/webSettings" Target="webSettings.xml"/><Relationship Id="rId9" Type="http://schemas.openxmlformats.org/officeDocument/2006/relationships/hyperlink" Target="https://web.apis.bg/p.php?code=42837&amp;base=NARH&amp;topar=art59"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 Popov</dc:creator>
  <cp:lastModifiedBy>Polina Gocheva</cp:lastModifiedBy>
  <cp:revision>2</cp:revision>
  <cp:lastPrinted>2025-08-20T14:28:00Z</cp:lastPrinted>
  <dcterms:created xsi:type="dcterms:W3CDTF">2025-08-22T11:36:00Z</dcterms:created>
  <dcterms:modified xsi:type="dcterms:W3CDTF">2025-08-22T11:36:00Z</dcterms:modified>
  <cp:contentStatus>Created by the \'abHTML to RTF .Net\'bb 7.4.4.30</cp:contentStatus>
</cp:coreProperties>
</file>