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EABC71" w14:textId="6EC932B9" w:rsidR="00C1144B" w:rsidRPr="00CF60CE" w:rsidRDefault="00350080" w:rsidP="007F4E6D">
      <w:pPr>
        <w:tabs>
          <w:tab w:val="center" w:pos="4536"/>
          <w:tab w:val="right" w:pos="9072"/>
        </w:tabs>
        <w:spacing w:after="0" w:line="240" w:lineRule="auto"/>
        <w:jc w:val="right"/>
        <w:rPr>
          <w:rFonts w:ascii="Times New Roman" w:eastAsia="Calibri" w:hAnsi="Times New Roman" w:cs="Times New Roman"/>
          <w:b/>
          <w:i/>
          <w:lang w:val="en-US"/>
        </w:rPr>
      </w:pPr>
      <w:r w:rsidRPr="00CF60CE">
        <w:rPr>
          <w:rFonts w:ascii="Times New Roman" w:eastAsia="Calibri" w:hAnsi="Times New Roman" w:cs="Times New Roman"/>
          <w:b/>
          <w:i/>
        </w:rPr>
        <w:t xml:space="preserve">Приложение </w:t>
      </w:r>
      <w:r w:rsidR="00D86DC2" w:rsidRPr="00CF60CE">
        <w:rPr>
          <w:rFonts w:ascii="Times New Roman" w:eastAsia="Calibri" w:hAnsi="Times New Roman" w:cs="Times New Roman"/>
          <w:b/>
          <w:i/>
          <w:lang w:val="en-US"/>
        </w:rPr>
        <w:t>8</w:t>
      </w:r>
    </w:p>
    <w:p w14:paraId="2D4C0EBF" w14:textId="77777777" w:rsidR="00045584" w:rsidRPr="00CF60CE" w:rsidRDefault="00045584" w:rsidP="00C1144B">
      <w:pPr>
        <w:spacing w:after="0" w:line="240" w:lineRule="auto"/>
        <w:rPr>
          <w:rFonts w:ascii="Times New Roman" w:eastAsia="Times New Roman" w:hAnsi="Times New Roman" w:cs="Times New Roman"/>
          <w:b/>
          <w:snapToGrid w:val="0"/>
          <w:kern w:val="28"/>
          <w:sz w:val="24"/>
          <w:szCs w:val="24"/>
        </w:rPr>
      </w:pPr>
    </w:p>
    <w:p w14:paraId="59DE8B1A" w14:textId="0A8489EF" w:rsidR="00C1144B" w:rsidRPr="00CF60CE" w:rsidRDefault="007F4E6D" w:rsidP="00C1144B">
      <w:pPr>
        <w:spacing w:after="0" w:line="240" w:lineRule="auto"/>
        <w:rPr>
          <w:rFonts w:ascii="Times New Roman" w:eastAsia="Times New Roman" w:hAnsi="Times New Roman" w:cs="Times New Roman"/>
          <w:b/>
          <w:snapToGrid w:val="0"/>
          <w:kern w:val="28"/>
          <w:sz w:val="24"/>
          <w:szCs w:val="24"/>
        </w:rPr>
      </w:pPr>
      <w:r w:rsidRPr="00CF60CE">
        <w:rPr>
          <w:rFonts w:ascii="Times New Roman" w:eastAsia="Times New Roman" w:hAnsi="Times New Roman" w:cs="Times New Roman"/>
          <w:b/>
          <w:snapToGrid w:val="0"/>
          <w:kern w:val="28"/>
          <w:sz w:val="24"/>
          <w:szCs w:val="24"/>
          <w:lang w:val="en-US"/>
        </w:rPr>
        <w:t xml:space="preserve">I. </w:t>
      </w:r>
      <w:r w:rsidR="00C1144B" w:rsidRPr="00CF60CE">
        <w:rPr>
          <w:rFonts w:ascii="Times New Roman" w:eastAsia="Times New Roman" w:hAnsi="Times New Roman" w:cs="Times New Roman"/>
          <w:b/>
          <w:snapToGrid w:val="0"/>
          <w:kern w:val="28"/>
          <w:sz w:val="24"/>
          <w:szCs w:val="24"/>
        </w:rPr>
        <w:t>ИЗПОЛЗВАНИ СЪКРАЩЕНИЯ</w:t>
      </w:r>
      <w:r w:rsidR="001B13CE" w:rsidRPr="00CF60CE">
        <w:rPr>
          <w:rFonts w:ascii="Times New Roman" w:eastAsia="Times New Roman" w:hAnsi="Times New Roman" w:cs="Times New Roman"/>
          <w:b/>
          <w:snapToGrid w:val="0"/>
          <w:kern w:val="28"/>
          <w:sz w:val="24"/>
          <w:szCs w:val="24"/>
        </w:rPr>
        <w:t>:</w:t>
      </w:r>
    </w:p>
    <w:p w14:paraId="498B5CDB" w14:textId="77777777" w:rsidR="00C1144B" w:rsidRPr="00CF60CE" w:rsidRDefault="00C1144B" w:rsidP="00C1144B">
      <w:pPr>
        <w:spacing w:after="0" w:line="240" w:lineRule="auto"/>
        <w:rPr>
          <w:rFonts w:ascii="Times New Roman" w:eastAsia="Times New Roman" w:hAnsi="Times New Roman" w:cs="Times New Roman"/>
          <w:b/>
          <w:snapToGrid w:val="0"/>
          <w:sz w:val="24"/>
          <w:szCs w:val="24"/>
        </w:rPr>
      </w:pPr>
    </w:p>
    <w:tbl>
      <w:tblPr>
        <w:tblW w:w="53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0"/>
        <w:gridCol w:w="7695"/>
      </w:tblGrid>
      <w:tr w:rsidR="00CF60CE" w:rsidRPr="00CF60CE" w14:paraId="55F4A9C7" w14:textId="77777777" w:rsidTr="00CF60CE">
        <w:tc>
          <w:tcPr>
            <w:tcW w:w="1007" w:type="pct"/>
            <w:shd w:val="clear" w:color="auto" w:fill="D9D9D9"/>
          </w:tcPr>
          <w:p w14:paraId="6C82087D" w14:textId="77777777" w:rsidR="00CF60CE" w:rsidRPr="00CF60CE" w:rsidRDefault="00CF60CE" w:rsidP="00CF60CE">
            <w:pPr>
              <w:spacing w:after="0"/>
              <w:ind w:left="33" w:right="288"/>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БНБ</w:t>
            </w:r>
          </w:p>
        </w:tc>
        <w:tc>
          <w:tcPr>
            <w:tcW w:w="3993" w:type="pct"/>
            <w:shd w:val="clear" w:color="auto" w:fill="F3F3F3"/>
          </w:tcPr>
          <w:p w14:paraId="538CA722" w14:textId="77777777" w:rsidR="00CF60CE" w:rsidRPr="00CF60CE" w:rsidRDefault="00CF60CE" w:rsidP="00CF60CE">
            <w:pPr>
              <w:spacing w:after="0" w:line="240" w:lineRule="auto"/>
              <w:ind w:left="288" w:right="288"/>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Българска народна банка</w:t>
            </w:r>
          </w:p>
        </w:tc>
      </w:tr>
      <w:tr w:rsidR="00CF60CE" w:rsidRPr="00CF60CE" w14:paraId="2AC96103" w14:textId="77777777" w:rsidTr="00CF60CE">
        <w:tc>
          <w:tcPr>
            <w:tcW w:w="1007" w:type="pct"/>
            <w:shd w:val="clear" w:color="auto" w:fill="D9D9D9"/>
          </w:tcPr>
          <w:p w14:paraId="573AAC8E" w14:textId="5BB3DA48" w:rsidR="00CF60CE" w:rsidRPr="00CF60CE" w:rsidRDefault="00CF60CE" w:rsidP="00CF60CE">
            <w:pPr>
              <w:spacing w:after="0"/>
              <w:ind w:left="33" w:right="288"/>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БФП</w:t>
            </w:r>
          </w:p>
        </w:tc>
        <w:tc>
          <w:tcPr>
            <w:tcW w:w="3993" w:type="pct"/>
            <w:shd w:val="clear" w:color="auto" w:fill="F3F3F3"/>
          </w:tcPr>
          <w:p w14:paraId="00FAA645" w14:textId="0AD48D1C" w:rsidR="00CF60CE" w:rsidRPr="00CF60CE" w:rsidRDefault="00CF60CE" w:rsidP="00CF60CE">
            <w:pPr>
              <w:spacing w:after="0" w:line="240" w:lineRule="auto"/>
              <w:ind w:left="288" w:right="288"/>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Безвъзмездна финансова помощ</w:t>
            </w:r>
          </w:p>
        </w:tc>
      </w:tr>
      <w:tr w:rsidR="00CF60CE" w:rsidRPr="00CF60CE" w14:paraId="243A37A0" w14:textId="77777777" w:rsidTr="00CF60CE">
        <w:tc>
          <w:tcPr>
            <w:tcW w:w="1007" w:type="pct"/>
            <w:shd w:val="clear" w:color="auto" w:fill="D9D9D9"/>
          </w:tcPr>
          <w:p w14:paraId="26221CBF" w14:textId="77777777" w:rsidR="00CF60CE" w:rsidRPr="00CF60CE" w:rsidRDefault="00CF60CE" w:rsidP="00CF60CE">
            <w:pPr>
              <w:spacing w:after="0"/>
              <w:ind w:left="33" w:right="288"/>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ГД</w:t>
            </w:r>
          </w:p>
        </w:tc>
        <w:tc>
          <w:tcPr>
            <w:tcW w:w="3993" w:type="pct"/>
            <w:shd w:val="clear" w:color="auto" w:fill="F3F3F3"/>
          </w:tcPr>
          <w:p w14:paraId="05B5A2FB" w14:textId="77777777" w:rsidR="00CF60CE" w:rsidRPr="00CF60CE" w:rsidRDefault="00CF60CE" w:rsidP="00CF60CE">
            <w:pPr>
              <w:spacing w:after="0" w:line="240" w:lineRule="auto"/>
              <w:ind w:left="288" w:right="288"/>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Главна дирекция</w:t>
            </w:r>
          </w:p>
        </w:tc>
      </w:tr>
      <w:tr w:rsidR="00CF60CE" w:rsidRPr="00CF60CE" w14:paraId="4C814BFB" w14:textId="77777777" w:rsidTr="00CF60CE">
        <w:tc>
          <w:tcPr>
            <w:tcW w:w="1007" w:type="pct"/>
            <w:shd w:val="clear" w:color="auto" w:fill="D9D9D9"/>
          </w:tcPr>
          <w:p w14:paraId="6874B0B1" w14:textId="77777777" w:rsidR="00CF60CE" w:rsidRPr="00CF60CE" w:rsidRDefault="00CF60CE" w:rsidP="00CF60CE">
            <w:pPr>
              <w:spacing w:after="0"/>
              <w:ind w:left="33" w:right="288"/>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ДДС</w:t>
            </w:r>
          </w:p>
        </w:tc>
        <w:tc>
          <w:tcPr>
            <w:tcW w:w="3993" w:type="pct"/>
            <w:shd w:val="clear" w:color="auto" w:fill="F3F3F3"/>
          </w:tcPr>
          <w:p w14:paraId="5FAB5FA6" w14:textId="77777777" w:rsidR="00CF60CE" w:rsidRPr="00CF60CE" w:rsidRDefault="00CF60CE" w:rsidP="00CF60CE">
            <w:pPr>
              <w:spacing w:after="0" w:line="240" w:lineRule="auto"/>
              <w:ind w:left="288" w:right="288"/>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Данък добавена стойност</w:t>
            </w:r>
          </w:p>
        </w:tc>
      </w:tr>
      <w:tr w:rsidR="00CF60CE" w:rsidRPr="00CF60CE" w14:paraId="7AFD5D78" w14:textId="77777777" w:rsidTr="00CF60CE">
        <w:tc>
          <w:tcPr>
            <w:tcW w:w="1007" w:type="pct"/>
            <w:shd w:val="clear" w:color="auto" w:fill="D9D9D9"/>
          </w:tcPr>
          <w:p w14:paraId="174CAC82" w14:textId="77777777" w:rsidR="00CF60CE" w:rsidRPr="00CF60CE" w:rsidRDefault="00CF60CE" w:rsidP="00CF60CE">
            <w:pPr>
              <w:spacing w:after="0"/>
              <w:ind w:left="33" w:right="288"/>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ДМА</w:t>
            </w:r>
          </w:p>
        </w:tc>
        <w:tc>
          <w:tcPr>
            <w:tcW w:w="3993" w:type="pct"/>
            <w:shd w:val="clear" w:color="auto" w:fill="F3F3F3"/>
          </w:tcPr>
          <w:p w14:paraId="7382C646" w14:textId="77777777" w:rsidR="00CF60CE" w:rsidRPr="00CF60CE" w:rsidRDefault="00CF60CE" w:rsidP="00CF60CE">
            <w:pPr>
              <w:spacing w:after="0" w:line="240" w:lineRule="auto"/>
              <w:ind w:left="288" w:right="288"/>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Дълготрайни материални активи</w:t>
            </w:r>
          </w:p>
        </w:tc>
      </w:tr>
      <w:tr w:rsidR="00CF60CE" w:rsidRPr="00CF60CE" w14:paraId="74F56317" w14:textId="77777777" w:rsidTr="00CF60CE">
        <w:tc>
          <w:tcPr>
            <w:tcW w:w="1007" w:type="pct"/>
            <w:shd w:val="clear" w:color="auto" w:fill="D9D9D9"/>
          </w:tcPr>
          <w:p w14:paraId="64F7B01D" w14:textId="77777777" w:rsidR="00CF60CE" w:rsidRPr="00CF60CE" w:rsidRDefault="00CF60CE" w:rsidP="00CF60CE">
            <w:pPr>
              <w:spacing w:after="0"/>
              <w:ind w:left="33" w:right="288"/>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ДНА</w:t>
            </w:r>
          </w:p>
        </w:tc>
        <w:tc>
          <w:tcPr>
            <w:tcW w:w="3993" w:type="pct"/>
            <w:shd w:val="clear" w:color="auto" w:fill="F3F3F3"/>
          </w:tcPr>
          <w:p w14:paraId="0D2C3B8E" w14:textId="77777777" w:rsidR="00CF60CE" w:rsidRPr="00CF60CE" w:rsidRDefault="00CF60CE" w:rsidP="00CF60CE">
            <w:pPr>
              <w:spacing w:after="0" w:line="240" w:lineRule="auto"/>
              <w:ind w:left="288" w:right="288"/>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Дълготрайни нематериални активи</w:t>
            </w:r>
          </w:p>
        </w:tc>
      </w:tr>
      <w:tr w:rsidR="00CF60CE" w:rsidRPr="00CF60CE" w14:paraId="2A348256" w14:textId="77777777" w:rsidTr="00CF60CE">
        <w:tc>
          <w:tcPr>
            <w:tcW w:w="1007" w:type="pct"/>
            <w:shd w:val="clear" w:color="auto" w:fill="D9D9D9"/>
          </w:tcPr>
          <w:p w14:paraId="04E76584" w14:textId="77777777" w:rsidR="00CF60CE" w:rsidRPr="00CF60CE" w:rsidRDefault="00CF60CE" w:rsidP="00CF60CE">
            <w:pPr>
              <w:spacing w:after="0"/>
              <w:ind w:left="33" w:right="288"/>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ДНФ</w:t>
            </w:r>
          </w:p>
        </w:tc>
        <w:tc>
          <w:tcPr>
            <w:tcW w:w="3993" w:type="pct"/>
            <w:shd w:val="clear" w:color="auto" w:fill="F3F3F3"/>
          </w:tcPr>
          <w:p w14:paraId="3C2E2BAE" w14:textId="77777777" w:rsidR="00CF60CE" w:rsidRPr="00CF60CE" w:rsidRDefault="00CF60CE" w:rsidP="00CF60CE">
            <w:pPr>
              <w:spacing w:after="0" w:line="240" w:lineRule="auto"/>
              <w:ind w:left="289" w:right="289"/>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 xml:space="preserve">Дирекция „Национален фонд”, Министерство на </w:t>
            </w:r>
          </w:p>
          <w:p w14:paraId="524E8AED" w14:textId="77777777" w:rsidR="00CF60CE" w:rsidRPr="00CF60CE" w:rsidRDefault="00CF60CE" w:rsidP="00CF60CE">
            <w:pPr>
              <w:spacing w:after="0" w:line="240" w:lineRule="auto"/>
              <w:ind w:left="289" w:right="289"/>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 xml:space="preserve">финансите </w:t>
            </w:r>
          </w:p>
        </w:tc>
      </w:tr>
      <w:tr w:rsidR="00CF60CE" w:rsidRPr="00CF60CE" w14:paraId="498141C7" w14:textId="77777777" w:rsidTr="00CF60CE">
        <w:tc>
          <w:tcPr>
            <w:tcW w:w="1007" w:type="pct"/>
            <w:shd w:val="clear" w:color="auto" w:fill="D9D9D9"/>
          </w:tcPr>
          <w:p w14:paraId="3B78E7B9" w14:textId="77777777" w:rsidR="00CF60CE" w:rsidRPr="00CF60CE" w:rsidRDefault="00CF60CE" w:rsidP="00CF60CE">
            <w:pPr>
              <w:spacing w:after="0"/>
              <w:ind w:left="33" w:right="288"/>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ДОПК</w:t>
            </w:r>
          </w:p>
        </w:tc>
        <w:tc>
          <w:tcPr>
            <w:tcW w:w="3993" w:type="pct"/>
            <w:shd w:val="clear" w:color="auto" w:fill="F3F3F3"/>
          </w:tcPr>
          <w:p w14:paraId="285E6CD0" w14:textId="77777777" w:rsidR="00CF60CE" w:rsidRPr="00CF60CE" w:rsidRDefault="00CF60CE" w:rsidP="00CF60CE">
            <w:pPr>
              <w:spacing w:after="0" w:line="240" w:lineRule="auto"/>
              <w:ind w:left="289" w:right="289"/>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Данъчно-осигурител</w:t>
            </w:r>
            <w:r w:rsidRPr="00CF60CE">
              <w:rPr>
                <w:rFonts w:ascii="Times New Roman" w:eastAsia="Times New Roman" w:hAnsi="Times New Roman" w:cs="Times New Roman"/>
                <w:b/>
                <w:snapToGrid w:val="0"/>
                <w:sz w:val="24"/>
                <w:szCs w:val="24"/>
                <w:lang w:val="en-US"/>
              </w:rPr>
              <w:t>e</w:t>
            </w:r>
            <w:r w:rsidRPr="00CF60CE">
              <w:rPr>
                <w:rFonts w:ascii="Times New Roman" w:eastAsia="Times New Roman" w:hAnsi="Times New Roman" w:cs="Times New Roman"/>
                <w:b/>
                <w:snapToGrid w:val="0"/>
                <w:sz w:val="24"/>
                <w:szCs w:val="24"/>
              </w:rPr>
              <w:t>н процесуален кодекс</w:t>
            </w:r>
          </w:p>
        </w:tc>
      </w:tr>
      <w:tr w:rsidR="00CF60CE" w:rsidRPr="00CF60CE" w14:paraId="0D2E8BC7" w14:textId="77777777" w:rsidTr="00CF60CE">
        <w:tc>
          <w:tcPr>
            <w:tcW w:w="1007" w:type="pct"/>
            <w:shd w:val="clear" w:color="auto" w:fill="D9D9D9"/>
          </w:tcPr>
          <w:p w14:paraId="7EC53D71" w14:textId="77777777" w:rsidR="00CF60CE" w:rsidRPr="00CF60CE" w:rsidRDefault="00CF60CE" w:rsidP="00CF60CE">
            <w:pPr>
              <w:spacing w:after="0"/>
              <w:ind w:left="33" w:right="288"/>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ЕК</w:t>
            </w:r>
          </w:p>
        </w:tc>
        <w:tc>
          <w:tcPr>
            <w:tcW w:w="3993" w:type="pct"/>
            <w:shd w:val="clear" w:color="auto" w:fill="F3F3F3"/>
          </w:tcPr>
          <w:p w14:paraId="6FD30332" w14:textId="77777777" w:rsidR="00CF60CE" w:rsidRPr="00CF60CE" w:rsidRDefault="00CF60CE" w:rsidP="00CF60CE">
            <w:pPr>
              <w:spacing w:after="0" w:line="240" w:lineRule="auto"/>
              <w:ind w:left="288" w:right="288"/>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Европейска комисия</w:t>
            </w:r>
          </w:p>
        </w:tc>
      </w:tr>
      <w:tr w:rsidR="00CF60CE" w:rsidRPr="00CF60CE" w14:paraId="495FE65F" w14:textId="77777777" w:rsidTr="00CF60CE">
        <w:tc>
          <w:tcPr>
            <w:tcW w:w="1007" w:type="pct"/>
            <w:shd w:val="clear" w:color="auto" w:fill="D9D9D9"/>
          </w:tcPr>
          <w:p w14:paraId="4DB51973" w14:textId="77777777" w:rsidR="00CF60CE" w:rsidRPr="00CF60CE" w:rsidRDefault="00CF60CE" w:rsidP="00CF60CE">
            <w:pPr>
              <w:spacing w:after="0"/>
              <w:ind w:left="33" w:right="288"/>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ЕО</w:t>
            </w:r>
          </w:p>
        </w:tc>
        <w:tc>
          <w:tcPr>
            <w:tcW w:w="3993" w:type="pct"/>
            <w:shd w:val="clear" w:color="auto" w:fill="F3F3F3"/>
          </w:tcPr>
          <w:p w14:paraId="379E278C" w14:textId="77777777" w:rsidR="00CF60CE" w:rsidRPr="00CF60CE" w:rsidRDefault="00CF60CE" w:rsidP="00CF60CE">
            <w:pPr>
              <w:spacing w:after="0" w:line="240" w:lineRule="auto"/>
              <w:ind w:left="288" w:right="288"/>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Европейска общност</w:t>
            </w:r>
          </w:p>
        </w:tc>
      </w:tr>
      <w:tr w:rsidR="00CF60CE" w:rsidRPr="00CF60CE" w14:paraId="0E982DA4" w14:textId="77777777" w:rsidTr="00CF60CE">
        <w:tc>
          <w:tcPr>
            <w:tcW w:w="1007" w:type="pct"/>
            <w:shd w:val="clear" w:color="auto" w:fill="D9D9D9"/>
          </w:tcPr>
          <w:p w14:paraId="7F15B368" w14:textId="77777777" w:rsidR="00CF60CE" w:rsidRPr="00CF60CE" w:rsidRDefault="00CF60CE" w:rsidP="00CF60CE">
            <w:pPr>
              <w:spacing w:after="0"/>
              <w:ind w:left="33" w:right="288"/>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ЕС</w:t>
            </w:r>
          </w:p>
        </w:tc>
        <w:tc>
          <w:tcPr>
            <w:tcW w:w="3993" w:type="pct"/>
            <w:shd w:val="clear" w:color="auto" w:fill="F3F3F3"/>
          </w:tcPr>
          <w:p w14:paraId="7E90A85F" w14:textId="77777777" w:rsidR="00CF60CE" w:rsidRPr="00CF60CE" w:rsidRDefault="00CF60CE" w:rsidP="00CF60CE">
            <w:pPr>
              <w:spacing w:after="0" w:line="240" w:lineRule="auto"/>
              <w:ind w:left="288" w:right="288"/>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Европейски съюз</w:t>
            </w:r>
          </w:p>
        </w:tc>
      </w:tr>
      <w:tr w:rsidR="00CF60CE" w:rsidRPr="00CF60CE" w14:paraId="422076C3" w14:textId="77777777" w:rsidTr="00CF60CE">
        <w:tc>
          <w:tcPr>
            <w:tcW w:w="1007" w:type="pct"/>
            <w:shd w:val="clear" w:color="auto" w:fill="D9D9D9"/>
          </w:tcPr>
          <w:p w14:paraId="7F1B9A0E" w14:textId="77777777" w:rsidR="00CF60CE" w:rsidRPr="00CF60CE" w:rsidRDefault="00CF60CE" w:rsidP="00CF60CE">
            <w:pPr>
              <w:spacing w:after="0"/>
              <w:ind w:left="33" w:right="288"/>
              <w:rPr>
                <w:rFonts w:ascii="Times New Roman" w:eastAsia="Times New Roman" w:hAnsi="Times New Roman" w:cs="Times New Roman"/>
                <w:b/>
                <w:snapToGrid w:val="0"/>
                <w:sz w:val="24"/>
                <w:szCs w:val="24"/>
              </w:rPr>
            </w:pPr>
            <w:r w:rsidRPr="00CF60CE">
              <w:rPr>
                <w:rFonts w:ascii="Times New Roman" w:hAnsi="Times New Roman" w:cs="Times New Roman"/>
                <w:b/>
                <w:sz w:val="24"/>
                <w:szCs w:val="24"/>
              </w:rPr>
              <w:t>ЕФСУ</w:t>
            </w:r>
          </w:p>
        </w:tc>
        <w:tc>
          <w:tcPr>
            <w:tcW w:w="3993" w:type="pct"/>
            <w:shd w:val="clear" w:color="auto" w:fill="F3F3F3"/>
          </w:tcPr>
          <w:p w14:paraId="60F2151A" w14:textId="77777777" w:rsidR="00CF60CE" w:rsidRPr="00CF60CE" w:rsidRDefault="00CF60CE" w:rsidP="00CF60CE">
            <w:pPr>
              <w:spacing w:after="0" w:line="240" w:lineRule="auto"/>
              <w:ind w:left="288" w:right="288"/>
              <w:rPr>
                <w:rFonts w:ascii="Times New Roman" w:eastAsia="Times New Roman" w:hAnsi="Times New Roman" w:cs="Times New Roman"/>
                <w:b/>
                <w:snapToGrid w:val="0"/>
                <w:sz w:val="24"/>
                <w:szCs w:val="24"/>
              </w:rPr>
            </w:pPr>
            <w:r w:rsidRPr="00CF60CE">
              <w:rPr>
                <w:rFonts w:ascii="Times New Roman" w:hAnsi="Times New Roman" w:cs="Times New Roman"/>
                <w:b/>
                <w:sz w:val="24"/>
                <w:szCs w:val="24"/>
              </w:rPr>
              <w:t>Европейски фондове  при споделено управление</w:t>
            </w:r>
          </w:p>
        </w:tc>
      </w:tr>
      <w:tr w:rsidR="00CF60CE" w:rsidRPr="00CF60CE" w14:paraId="11A121EF" w14:textId="77777777" w:rsidTr="00CF60CE">
        <w:tc>
          <w:tcPr>
            <w:tcW w:w="1007" w:type="pct"/>
            <w:shd w:val="clear" w:color="auto" w:fill="D9D9D9"/>
          </w:tcPr>
          <w:p w14:paraId="7278FB64" w14:textId="77777777" w:rsidR="00CF60CE" w:rsidRPr="00CF60CE" w:rsidRDefault="00CF60CE" w:rsidP="00CF60CE">
            <w:pPr>
              <w:spacing w:after="0"/>
              <w:ind w:left="33" w:right="288"/>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ЕСФ</w:t>
            </w:r>
          </w:p>
        </w:tc>
        <w:tc>
          <w:tcPr>
            <w:tcW w:w="3993" w:type="pct"/>
            <w:shd w:val="clear" w:color="auto" w:fill="F3F3F3"/>
          </w:tcPr>
          <w:p w14:paraId="26512264" w14:textId="77777777" w:rsidR="00CF60CE" w:rsidRPr="00CF60CE" w:rsidRDefault="00CF60CE" w:rsidP="00CF60CE">
            <w:pPr>
              <w:spacing w:after="0" w:line="240" w:lineRule="auto"/>
              <w:ind w:left="288" w:right="288"/>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Европейски социален фонд</w:t>
            </w:r>
          </w:p>
        </w:tc>
      </w:tr>
      <w:tr w:rsidR="00CF60CE" w:rsidRPr="00CF60CE" w14:paraId="60C23DFD" w14:textId="77777777" w:rsidTr="00CF60CE">
        <w:tc>
          <w:tcPr>
            <w:tcW w:w="1007" w:type="pct"/>
            <w:shd w:val="clear" w:color="auto" w:fill="D9D9D9"/>
          </w:tcPr>
          <w:p w14:paraId="6D9F8BDD" w14:textId="77777777" w:rsidR="00CF60CE" w:rsidRPr="00CF60CE" w:rsidRDefault="00CF60CE" w:rsidP="00CF60CE">
            <w:pPr>
              <w:spacing w:after="0"/>
              <w:ind w:left="33" w:right="288"/>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ЕФРР</w:t>
            </w:r>
          </w:p>
        </w:tc>
        <w:tc>
          <w:tcPr>
            <w:tcW w:w="3993" w:type="pct"/>
            <w:shd w:val="clear" w:color="auto" w:fill="F3F3F3"/>
          </w:tcPr>
          <w:p w14:paraId="1CC58669" w14:textId="77777777" w:rsidR="00CF60CE" w:rsidRPr="00CF60CE" w:rsidRDefault="00CF60CE" w:rsidP="00CF60CE">
            <w:pPr>
              <w:spacing w:after="0" w:line="240" w:lineRule="auto"/>
              <w:ind w:left="288" w:right="288"/>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Европейски фонд за регионално развитие</w:t>
            </w:r>
          </w:p>
        </w:tc>
      </w:tr>
      <w:tr w:rsidR="00CF60CE" w:rsidRPr="00CF60CE" w14:paraId="4FF05F4D" w14:textId="77777777" w:rsidTr="00CF60CE">
        <w:tc>
          <w:tcPr>
            <w:tcW w:w="1007" w:type="pct"/>
            <w:shd w:val="clear" w:color="auto" w:fill="D9D9D9"/>
          </w:tcPr>
          <w:p w14:paraId="16D0F691" w14:textId="77777777" w:rsidR="00CF60CE" w:rsidRPr="00CF60CE" w:rsidRDefault="00CF60CE" w:rsidP="00CF60CE">
            <w:pPr>
              <w:spacing w:after="0"/>
              <w:ind w:left="33" w:right="288"/>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ЗКПО</w:t>
            </w:r>
          </w:p>
        </w:tc>
        <w:tc>
          <w:tcPr>
            <w:tcW w:w="3993" w:type="pct"/>
            <w:shd w:val="clear" w:color="auto" w:fill="F3F3F3"/>
          </w:tcPr>
          <w:p w14:paraId="698FE27A" w14:textId="77777777" w:rsidR="00CF60CE" w:rsidRPr="00CF60CE" w:rsidRDefault="00CF60CE" w:rsidP="00CF60CE">
            <w:pPr>
              <w:spacing w:after="0" w:line="240" w:lineRule="auto"/>
              <w:ind w:left="288" w:right="288"/>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Закон за корпоративното подоходно облагане</w:t>
            </w:r>
          </w:p>
        </w:tc>
      </w:tr>
      <w:tr w:rsidR="00CF60CE" w:rsidRPr="00CF60CE" w14:paraId="21785F80" w14:textId="77777777" w:rsidTr="00CF60CE">
        <w:tc>
          <w:tcPr>
            <w:tcW w:w="1007" w:type="pct"/>
            <w:shd w:val="clear" w:color="auto" w:fill="D9D9D9"/>
          </w:tcPr>
          <w:p w14:paraId="5384E5E9" w14:textId="77777777" w:rsidR="00CF60CE" w:rsidRPr="00CF60CE" w:rsidRDefault="00CF60CE" w:rsidP="00CF60CE">
            <w:pPr>
              <w:spacing w:after="0"/>
              <w:ind w:left="33" w:right="288"/>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ЗМСП</w:t>
            </w:r>
          </w:p>
        </w:tc>
        <w:tc>
          <w:tcPr>
            <w:tcW w:w="3993" w:type="pct"/>
            <w:shd w:val="clear" w:color="auto" w:fill="F3F3F3"/>
          </w:tcPr>
          <w:p w14:paraId="2C750CCA" w14:textId="77777777" w:rsidR="00CF60CE" w:rsidRPr="00CF60CE" w:rsidRDefault="00CF60CE" w:rsidP="00CF60CE">
            <w:pPr>
              <w:spacing w:after="0" w:line="240" w:lineRule="auto"/>
              <w:ind w:left="288" w:right="288"/>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Закон за малките и средните предприятия</w:t>
            </w:r>
          </w:p>
        </w:tc>
      </w:tr>
      <w:tr w:rsidR="00CF60CE" w:rsidRPr="00CF60CE" w14:paraId="157B40B1" w14:textId="77777777" w:rsidTr="00CF60CE">
        <w:tc>
          <w:tcPr>
            <w:tcW w:w="1007" w:type="pct"/>
            <w:shd w:val="clear" w:color="auto" w:fill="D9D9D9"/>
          </w:tcPr>
          <w:p w14:paraId="21F47B3B" w14:textId="77777777" w:rsidR="00CF60CE" w:rsidRPr="00CF60CE" w:rsidRDefault="00CF60CE" w:rsidP="00CF60CE">
            <w:pPr>
              <w:spacing w:after="0"/>
              <w:ind w:left="33" w:right="288"/>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ЗОП</w:t>
            </w:r>
          </w:p>
        </w:tc>
        <w:tc>
          <w:tcPr>
            <w:tcW w:w="3993" w:type="pct"/>
            <w:shd w:val="clear" w:color="auto" w:fill="F3F3F3"/>
          </w:tcPr>
          <w:p w14:paraId="3B285615" w14:textId="77777777" w:rsidR="00CF60CE" w:rsidRPr="00CF60CE" w:rsidRDefault="00CF60CE" w:rsidP="00CF60CE">
            <w:pPr>
              <w:spacing w:after="0" w:line="240" w:lineRule="auto"/>
              <w:ind w:left="288" w:right="288"/>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Закон за обществените поръчки</w:t>
            </w:r>
          </w:p>
        </w:tc>
      </w:tr>
      <w:tr w:rsidR="00CF60CE" w:rsidRPr="00CF60CE" w14:paraId="6154A7A9" w14:textId="77777777" w:rsidTr="00CF60CE">
        <w:tc>
          <w:tcPr>
            <w:tcW w:w="1007" w:type="pct"/>
            <w:shd w:val="clear" w:color="auto" w:fill="D9D9D9"/>
          </w:tcPr>
          <w:p w14:paraId="346D90B5" w14:textId="77777777" w:rsidR="00CF60CE" w:rsidRPr="00CF60CE" w:rsidRDefault="00CF60CE" w:rsidP="00CF60CE">
            <w:pPr>
              <w:spacing w:after="0"/>
              <w:ind w:left="33" w:right="288"/>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ЗТРРЮЛНЦ</w:t>
            </w:r>
          </w:p>
        </w:tc>
        <w:tc>
          <w:tcPr>
            <w:tcW w:w="3993" w:type="pct"/>
            <w:shd w:val="clear" w:color="auto" w:fill="F3F3F3"/>
          </w:tcPr>
          <w:p w14:paraId="6A553164" w14:textId="77777777" w:rsidR="00CF60CE" w:rsidRPr="00CF60CE" w:rsidRDefault="00CF60CE" w:rsidP="00CF60CE">
            <w:pPr>
              <w:spacing w:after="0" w:line="240" w:lineRule="auto"/>
              <w:ind w:left="288" w:right="288"/>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Закон за търговския регистър и регистъра на юридическите лица с нестопанска цел</w:t>
            </w:r>
          </w:p>
        </w:tc>
      </w:tr>
      <w:tr w:rsidR="00CF60CE" w:rsidRPr="00CF60CE" w14:paraId="22A1CF9C" w14:textId="77777777" w:rsidTr="00CF60CE">
        <w:tc>
          <w:tcPr>
            <w:tcW w:w="1007" w:type="pct"/>
            <w:shd w:val="clear" w:color="auto" w:fill="D9D9D9"/>
          </w:tcPr>
          <w:p w14:paraId="07B0F28A" w14:textId="77777777" w:rsidR="00CF60CE" w:rsidRPr="00CF60CE" w:rsidRDefault="00CF60CE" w:rsidP="00CF60CE">
            <w:pPr>
              <w:spacing w:after="0"/>
              <w:ind w:left="33" w:right="288"/>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ЗУСЕФСУ</w:t>
            </w:r>
          </w:p>
        </w:tc>
        <w:tc>
          <w:tcPr>
            <w:tcW w:w="3993" w:type="pct"/>
            <w:shd w:val="clear" w:color="auto" w:fill="F3F3F3"/>
          </w:tcPr>
          <w:p w14:paraId="2A553A14" w14:textId="77777777" w:rsidR="00CF60CE" w:rsidRPr="00CF60CE" w:rsidRDefault="00CF60CE" w:rsidP="00CF60CE">
            <w:pPr>
              <w:spacing w:after="0" w:line="240" w:lineRule="auto"/>
              <w:ind w:left="288" w:right="-138"/>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Закон за управление на средствата от Европейските фондовете при споделено управление</w:t>
            </w:r>
          </w:p>
        </w:tc>
      </w:tr>
      <w:tr w:rsidR="00CF60CE" w:rsidRPr="00CF60CE" w14:paraId="53DDF0B6" w14:textId="77777777" w:rsidTr="00CF60CE">
        <w:tc>
          <w:tcPr>
            <w:tcW w:w="1007" w:type="pct"/>
            <w:shd w:val="clear" w:color="auto" w:fill="D9D9D9"/>
          </w:tcPr>
          <w:p w14:paraId="34A64BF2" w14:textId="77777777" w:rsidR="00CF60CE" w:rsidRPr="00CF60CE" w:rsidRDefault="00CF60CE" w:rsidP="00CF60CE">
            <w:pPr>
              <w:spacing w:after="0"/>
              <w:ind w:left="33" w:right="288"/>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ИКТ</w:t>
            </w:r>
          </w:p>
        </w:tc>
        <w:tc>
          <w:tcPr>
            <w:tcW w:w="3993" w:type="pct"/>
            <w:shd w:val="clear" w:color="auto" w:fill="F3F3F3"/>
          </w:tcPr>
          <w:p w14:paraId="6ABC4633" w14:textId="77777777" w:rsidR="00CF60CE" w:rsidRPr="00CF60CE" w:rsidRDefault="00CF60CE" w:rsidP="00CF60CE">
            <w:pPr>
              <w:spacing w:after="0" w:line="240" w:lineRule="auto"/>
              <w:ind w:left="288" w:right="-138"/>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Информационни и комуникационни технологии</w:t>
            </w:r>
          </w:p>
        </w:tc>
      </w:tr>
      <w:tr w:rsidR="00CF60CE" w:rsidRPr="00CF60CE" w14:paraId="52F07532" w14:textId="77777777" w:rsidTr="00CF60CE">
        <w:tc>
          <w:tcPr>
            <w:tcW w:w="1007" w:type="pct"/>
            <w:shd w:val="clear" w:color="auto" w:fill="D9D9D9"/>
          </w:tcPr>
          <w:p w14:paraId="04685C53" w14:textId="77777777" w:rsidR="00CF60CE" w:rsidRPr="00CF60CE" w:rsidRDefault="00CF60CE" w:rsidP="00CF60CE">
            <w:pPr>
              <w:spacing w:after="0"/>
              <w:ind w:left="33" w:right="288"/>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ИСУН</w:t>
            </w:r>
          </w:p>
        </w:tc>
        <w:tc>
          <w:tcPr>
            <w:tcW w:w="3993" w:type="pct"/>
            <w:shd w:val="clear" w:color="auto" w:fill="F3F3F3"/>
          </w:tcPr>
          <w:p w14:paraId="32AA8657" w14:textId="77777777" w:rsidR="00CF60CE" w:rsidRPr="00CF60CE" w:rsidRDefault="00CF60CE" w:rsidP="00CF60CE">
            <w:pPr>
              <w:spacing w:after="0" w:line="240" w:lineRule="auto"/>
              <w:ind w:left="288" w:right="288"/>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Информационна система за управление и наблюдение</w:t>
            </w:r>
          </w:p>
        </w:tc>
      </w:tr>
      <w:tr w:rsidR="00CF60CE" w:rsidRPr="00CF60CE" w14:paraId="44150662" w14:textId="77777777" w:rsidTr="00CF60CE">
        <w:tc>
          <w:tcPr>
            <w:tcW w:w="1007" w:type="pct"/>
            <w:shd w:val="clear" w:color="auto" w:fill="D9D9D9"/>
          </w:tcPr>
          <w:p w14:paraId="6DCCE4D7" w14:textId="77777777" w:rsidR="00CF60CE" w:rsidRPr="00CF60CE" w:rsidRDefault="00CF60CE" w:rsidP="00CF60CE">
            <w:pPr>
              <w:spacing w:after="0"/>
              <w:ind w:left="33" w:right="288"/>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КЕП</w:t>
            </w:r>
          </w:p>
        </w:tc>
        <w:tc>
          <w:tcPr>
            <w:tcW w:w="3993" w:type="pct"/>
            <w:shd w:val="clear" w:color="auto" w:fill="F3F3F3"/>
          </w:tcPr>
          <w:p w14:paraId="6873F899" w14:textId="77777777" w:rsidR="00CF60CE" w:rsidRPr="00CF60CE" w:rsidRDefault="00CF60CE" w:rsidP="00CF60CE">
            <w:pPr>
              <w:spacing w:after="0" w:line="240" w:lineRule="auto"/>
              <w:ind w:left="288" w:right="288"/>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Квалифициран електронен подпис</w:t>
            </w:r>
          </w:p>
        </w:tc>
      </w:tr>
      <w:tr w:rsidR="00CF60CE" w:rsidRPr="00CF60CE" w14:paraId="6228E239" w14:textId="77777777" w:rsidTr="00CF60CE">
        <w:tc>
          <w:tcPr>
            <w:tcW w:w="1007" w:type="pct"/>
            <w:shd w:val="clear" w:color="auto" w:fill="D9D9D9"/>
          </w:tcPr>
          <w:p w14:paraId="75A2C0A7" w14:textId="77777777" w:rsidR="00CF60CE" w:rsidRPr="00CF60CE" w:rsidRDefault="00CF60CE" w:rsidP="00CF60CE">
            <w:pPr>
              <w:spacing w:after="0"/>
              <w:ind w:left="33" w:right="288"/>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КН</w:t>
            </w:r>
          </w:p>
        </w:tc>
        <w:tc>
          <w:tcPr>
            <w:tcW w:w="3993" w:type="pct"/>
            <w:shd w:val="clear" w:color="auto" w:fill="F3F3F3"/>
          </w:tcPr>
          <w:p w14:paraId="7FC5CBD0" w14:textId="77777777" w:rsidR="00CF60CE" w:rsidRPr="00CF60CE" w:rsidRDefault="00CF60CE" w:rsidP="00CF60CE">
            <w:pPr>
              <w:spacing w:after="0" w:line="240" w:lineRule="auto"/>
              <w:ind w:left="288" w:right="288"/>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Комитет за наблюдение</w:t>
            </w:r>
          </w:p>
        </w:tc>
      </w:tr>
      <w:tr w:rsidR="00CF60CE" w:rsidRPr="00CF60CE" w14:paraId="5E39A434" w14:textId="77777777" w:rsidTr="00CF60CE">
        <w:tc>
          <w:tcPr>
            <w:tcW w:w="1007" w:type="pct"/>
            <w:shd w:val="clear" w:color="auto" w:fill="D9D9D9"/>
          </w:tcPr>
          <w:p w14:paraId="557B81B1" w14:textId="77777777" w:rsidR="00CF60CE" w:rsidRPr="00CF60CE" w:rsidRDefault="00CF60CE" w:rsidP="00CF60CE">
            <w:pPr>
              <w:spacing w:after="0"/>
              <w:ind w:left="33" w:right="288"/>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КИД-2008</w:t>
            </w:r>
          </w:p>
        </w:tc>
        <w:tc>
          <w:tcPr>
            <w:tcW w:w="3993" w:type="pct"/>
            <w:shd w:val="clear" w:color="auto" w:fill="F3F3F3"/>
          </w:tcPr>
          <w:p w14:paraId="7E2B4D19" w14:textId="77777777" w:rsidR="00CF60CE" w:rsidRPr="00CF60CE" w:rsidRDefault="00CF60CE" w:rsidP="00CF60CE">
            <w:pPr>
              <w:spacing w:after="0" w:line="240" w:lineRule="auto"/>
              <w:ind w:left="288" w:right="288"/>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Класификация на икономическите дейности 2008</w:t>
            </w:r>
          </w:p>
        </w:tc>
      </w:tr>
      <w:tr w:rsidR="00CF60CE" w:rsidRPr="00CF60CE" w14:paraId="0FD45094" w14:textId="77777777" w:rsidTr="00CF60CE">
        <w:tc>
          <w:tcPr>
            <w:tcW w:w="1007" w:type="pct"/>
            <w:shd w:val="clear" w:color="auto" w:fill="D9D9D9"/>
          </w:tcPr>
          <w:p w14:paraId="645D3CEC" w14:textId="77777777" w:rsidR="00CF60CE" w:rsidRPr="00CF60CE" w:rsidRDefault="00CF60CE" w:rsidP="00CF60CE">
            <w:pPr>
              <w:spacing w:after="0"/>
              <w:ind w:left="33" w:right="288"/>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МИР</w:t>
            </w:r>
          </w:p>
        </w:tc>
        <w:tc>
          <w:tcPr>
            <w:tcW w:w="3993" w:type="pct"/>
            <w:shd w:val="clear" w:color="auto" w:fill="F3F3F3"/>
          </w:tcPr>
          <w:p w14:paraId="67F7285C" w14:textId="77777777" w:rsidR="00CF60CE" w:rsidRPr="00CF60CE" w:rsidRDefault="00CF60CE" w:rsidP="00CF60CE">
            <w:pPr>
              <w:spacing w:after="0" w:line="240" w:lineRule="auto"/>
              <w:ind w:left="288" w:right="288"/>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Министерство на иновациите и растежа</w:t>
            </w:r>
          </w:p>
        </w:tc>
      </w:tr>
      <w:tr w:rsidR="00CF60CE" w:rsidRPr="00CF60CE" w14:paraId="1DCB70E4" w14:textId="77777777" w:rsidTr="00CF60CE">
        <w:tc>
          <w:tcPr>
            <w:tcW w:w="1007" w:type="pct"/>
            <w:shd w:val="clear" w:color="auto" w:fill="D9D9D9"/>
          </w:tcPr>
          <w:p w14:paraId="5F23FA9B" w14:textId="77777777" w:rsidR="00CF60CE" w:rsidRPr="00CF60CE" w:rsidRDefault="00CF60CE" w:rsidP="00CF60CE">
            <w:pPr>
              <w:spacing w:after="0"/>
              <w:ind w:left="33" w:right="288"/>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МС</w:t>
            </w:r>
          </w:p>
        </w:tc>
        <w:tc>
          <w:tcPr>
            <w:tcW w:w="3993" w:type="pct"/>
            <w:shd w:val="clear" w:color="auto" w:fill="F3F3F3"/>
          </w:tcPr>
          <w:p w14:paraId="0251F909" w14:textId="77777777" w:rsidR="00CF60CE" w:rsidRPr="00CF60CE" w:rsidRDefault="00CF60CE" w:rsidP="00CF60CE">
            <w:pPr>
              <w:spacing w:after="0" w:line="240" w:lineRule="auto"/>
              <w:ind w:left="288" w:right="288"/>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Министерски съвет</w:t>
            </w:r>
          </w:p>
        </w:tc>
      </w:tr>
      <w:tr w:rsidR="00CF60CE" w:rsidRPr="00CF60CE" w14:paraId="6A50F701" w14:textId="77777777" w:rsidTr="00CF60CE">
        <w:tc>
          <w:tcPr>
            <w:tcW w:w="1007" w:type="pct"/>
            <w:shd w:val="clear" w:color="auto" w:fill="D9D9D9"/>
          </w:tcPr>
          <w:p w14:paraId="20B68B29" w14:textId="77777777" w:rsidR="00CF60CE" w:rsidRPr="00CF60CE" w:rsidRDefault="00CF60CE" w:rsidP="00CF60CE">
            <w:pPr>
              <w:spacing w:after="0"/>
              <w:ind w:left="33" w:right="288"/>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МСП</w:t>
            </w:r>
          </w:p>
        </w:tc>
        <w:tc>
          <w:tcPr>
            <w:tcW w:w="3993" w:type="pct"/>
            <w:shd w:val="clear" w:color="auto" w:fill="F3F3F3"/>
          </w:tcPr>
          <w:p w14:paraId="16057472" w14:textId="77777777" w:rsidR="00CF60CE" w:rsidRPr="00CF60CE" w:rsidRDefault="00CF60CE" w:rsidP="00CF60CE">
            <w:pPr>
              <w:spacing w:after="0" w:line="240" w:lineRule="auto"/>
              <w:ind w:left="288" w:right="288"/>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Малки и средни предприятия</w:t>
            </w:r>
          </w:p>
        </w:tc>
      </w:tr>
      <w:tr w:rsidR="00CF60CE" w:rsidRPr="00CF60CE" w14:paraId="4FFE476D" w14:textId="77777777" w:rsidTr="00CF60CE">
        <w:tc>
          <w:tcPr>
            <w:tcW w:w="1007" w:type="pct"/>
            <w:shd w:val="clear" w:color="auto" w:fill="D9D9D9"/>
          </w:tcPr>
          <w:p w14:paraId="3F20C70B" w14:textId="77777777" w:rsidR="00CF60CE" w:rsidRPr="00CF60CE" w:rsidRDefault="00CF60CE" w:rsidP="00CF60CE">
            <w:pPr>
              <w:spacing w:after="0"/>
              <w:ind w:left="33" w:right="288"/>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НСИ</w:t>
            </w:r>
          </w:p>
        </w:tc>
        <w:tc>
          <w:tcPr>
            <w:tcW w:w="3993" w:type="pct"/>
            <w:shd w:val="clear" w:color="auto" w:fill="F3F3F3"/>
          </w:tcPr>
          <w:p w14:paraId="6780B720" w14:textId="77777777" w:rsidR="00CF60CE" w:rsidRPr="00CF60CE" w:rsidRDefault="00CF60CE" w:rsidP="00CF60CE">
            <w:pPr>
              <w:spacing w:after="0" w:line="240" w:lineRule="auto"/>
              <w:ind w:left="288" w:right="288"/>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Национален статистически институт</w:t>
            </w:r>
          </w:p>
        </w:tc>
      </w:tr>
      <w:tr w:rsidR="00CF60CE" w:rsidRPr="00CF60CE" w14:paraId="7898BF5C" w14:textId="77777777" w:rsidTr="00CF60CE">
        <w:tc>
          <w:tcPr>
            <w:tcW w:w="1007" w:type="pct"/>
            <w:shd w:val="clear" w:color="auto" w:fill="D9D9D9"/>
          </w:tcPr>
          <w:p w14:paraId="690703A7" w14:textId="77777777" w:rsidR="00CF60CE" w:rsidRPr="00CF60CE" w:rsidRDefault="00CF60CE" w:rsidP="00CF60CE">
            <w:pPr>
              <w:spacing w:after="0"/>
              <w:ind w:left="33" w:right="288"/>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ОП</w:t>
            </w:r>
          </w:p>
        </w:tc>
        <w:tc>
          <w:tcPr>
            <w:tcW w:w="3993" w:type="pct"/>
            <w:shd w:val="clear" w:color="auto" w:fill="F3F3F3"/>
          </w:tcPr>
          <w:p w14:paraId="4D23FC74" w14:textId="77777777" w:rsidR="00CF60CE" w:rsidRPr="00CF60CE" w:rsidRDefault="00CF60CE" w:rsidP="00CF60CE">
            <w:pPr>
              <w:spacing w:after="0" w:line="240" w:lineRule="auto"/>
              <w:ind w:left="288" w:right="288"/>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Оперативна програма</w:t>
            </w:r>
          </w:p>
        </w:tc>
      </w:tr>
      <w:tr w:rsidR="00CF60CE" w:rsidRPr="00CF60CE" w14:paraId="2A01140F" w14:textId="77777777" w:rsidTr="00CF60CE">
        <w:tc>
          <w:tcPr>
            <w:tcW w:w="1007" w:type="pct"/>
            <w:shd w:val="clear" w:color="auto" w:fill="D9D9D9"/>
          </w:tcPr>
          <w:p w14:paraId="16F228BB" w14:textId="1A584417" w:rsidR="00CF60CE" w:rsidRPr="00CF60CE" w:rsidRDefault="00CF60CE" w:rsidP="00CF60CE">
            <w:pPr>
              <w:spacing w:after="0"/>
              <w:ind w:left="33" w:right="288"/>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ПНИИДИТ</w:t>
            </w:r>
          </w:p>
        </w:tc>
        <w:tc>
          <w:tcPr>
            <w:tcW w:w="3993" w:type="pct"/>
            <w:shd w:val="clear" w:color="auto" w:fill="F3F3F3"/>
          </w:tcPr>
          <w:p w14:paraId="63114E98" w14:textId="4457BDE7" w:rsidR="00CF60CE" w:rsidRPr="00CF60CE" w:rsidRDefault="00CF60CE" w:rsidP="00CF60CE">
            <w:pPr>
              <w:spacing w:after="0" w:line="240" w:lineRule="auto"/>
              <w:ind w:left="288" w:right="288"/>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Програма „Научни изследвания, иновации и дигитализация за интелигентна трансформация“ 2021-2027</w:t>
            </w:r>
          </w:p>
        </w:tc>
      </w:tr>
      <w:tr w:rsidR="00CF60CE" w:rsidRPr="00CF60CE" w14:paraId="3AF0055D" w14:textId="77777777" w:rsidTr="00CF60CE">
        <w:tc>
          <w:tcPr>
            <w:tcW w:w="1007" w:type="pct"/>
            <w:shd w:val="clear" w:color="auto" w:fill="D9D9D9"/>
          </w:tcPr>
          <w:p w14:paraId="066B3A13" w14:textId="77777777" w:rsidR="00CF60CE" w:rsidRPr="00CF60CE" w:rsidRDefault="00CF60CE" w:rsidP="00CF60CE">
            <w:pPr>
              <w:spacing w:after="0"/>
              <w:ind w:left="33" w:right="288"/>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ПМС</w:t>
            </w:r>
          </w:p>
        </w:tc>
        <w:tc>
          <w:tcPr>
            <w:tcW w:w="3993" w:type="pct"/>
            <w:shd w:val="clear" w:color="auto" w:fill="F3F3F3"/>
          </w:tcPr>
          <w:p w14:paraId="5A9FAE56" w14:textId="77777777" w:rsidR="00CF60CE" w:rsidRPr="00CF60CE" w:rsidRDefault="00CF60CE" w:rsidP="00CF60CE">
            <w:pPr>
              <w:spacing w:after="0" w:line="240" w:lineRule="auto"/>
              <w:ind w:left="288" w:right="288"/>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Постановление на Министерски съвет</w:t>
            </w:r>
          </w:p>
        </w:tc>
      </w:tr>
      <w:tr w:rsidR="00CF60CE" w:rsidRPr="00CF60CE" w14:paraId="6DD0D47C" w14:textId="77777777" w:rsidTr="00CF60CE">
        <w:tc>
          <w:tcPr>
            <w:tcW w:w="1007" w:type="pct"/>
            <w:shd w:val="clear" w:color="auto" w:fill="D9D9D9"/>
          </w:tcPr>
          <w:p w14:paraId="250A9EBF" w14:textId="77777777" w:rsidR="00CF60CE" w:rsidRPr="00CF60CE" w:rsidRDefault="00CF60CE" w:rsidP="00CF60CE">
            <w:pPr>
              <w:spacing w:after="0"/>
              <w:ind w:left="33" w:right="288"/>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УО</w:t>
            </w:r>
          </w:p>
        </w:tc>
        <w:tc>
          <w:tcPr>
            <w:tcW w:w="3993" w:type="pct"/>
            <w:shd w:val="clear" w:color="auto" w:fill="F3F3F3"/>
          </w:tcPr>
          <w:p w14:paraId="2378D6B0" w14:textId="77777777" w:rsidR="00CF60CE" w:rsidRPr="00CF60CE" w:rsidRDefault="00CF60CE" w:rsidP="00CF60CE">
            <w:pPr>
              <w:spacing w:after="0" w:line="240" w:lineRule="auto"/>
              <w:ind w:left="288" w:right="288"/>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Управляващ орган</w:t>
            </w:r>
          </w:p>
        </w:tc>
      </w:tr>
      <w:tr w:rsidR="00CF60CE" w:rsidRPr="00CF60CE" w14:paraId="3875DAEE" w14:textId="77777777" w:rsidTr="00CF60CE">
        <w:tc>
          <w:tcPr>
            <w:tcW w:w="1007" w:type="pct"/>
            <w:shd w:val="clear" w:color="auto" w:fill="D9D9D9"/>
          </w:tcPr>
          <w:p w14:paraId="7F747BE0" w14:textId="77777777" w:rsidR="00CF60CE" w:rsidRPr="00CF60CE" w:rsidRDefault="00CF60CE" w:rsidP="00CF60CE">
            <w:pPr>
              <w:spacing w:after="0"/>
              <w:ind w:left="33" w:right="288"/>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ФК</w:t>
            </w:r>
          </w:p>
        </w:tc>
        <w:tc>
          <w:tcPr>
            <w:tcW w:w="3993" w:type="pct"/>
            <w:shd w:val="clear" w:color="auto" w:fill="F3F3F3"/>
          </w:tcPr>
          <w:p w14:paraId="32C130B2" w14:textId="77777777" w:rsidR="00CF60CE" w:rsidRPr="00CF60CE" w:rsidRDefault="00CF60CE" w:rsidP="00CF60CE">
            <w:pPr>
              <w:spacing w:after="0" w:line="240" w:lineRule="auto"/>
              <w:ind w:left="288" w:right="288"/>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Формуляр за кандидатстване</w:t>
            </w:r>
          </w:p>
        </w:tc>
      </w:tr>
      <w:tr w:rsidR="00CF60CE" w:rsidRPr="00CF60CE" w14:paraId="13AF8981" w14:textId="77777777" w:rsidTr="00CF60CE">
        <w:tc>
          <w:tcPr>
            <w:tcW w:w="1007" w:type="pct"/>
            <w:shd w:val="clear" w:color="auto" w:fill="D9D9D9"/>
          </w:tcPr>
          <w:p w14:paraId="1C5CB421" w14:textId="77777777" w:rsidR="00CF60CE" w:rsidRPr="00CF60CE" w:rsidRDefault="00CF60CE" w:rsidP="00CF60CE">
            <w:pPr>
              <w:spacing w:after="0"/>
              <w:ind w:left="33" w:right="288"/>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ЮЗР</w:t>
            </w:r>
          </w:p>
        </w:tc>
        <w:tc>
          <w:tcPr>
            <w:tcW w:w="3993" w:type="pct"/>
            <w:shd w:val="clear" w:color="auto" w:fill="F3F3F3"/>
          </w:tcPr>
          <w:p w14:paraId="2B771D66" w14:textId="77777777" w:rsidR="00CF60CE" w:rsidRPr="00CF60CE" w:rsidRDefault="00CF60CE" w:rsidP="0084620E">
            <w:pPr>
              <w:spacing w:after="0"/>
              <w:ind w:left="288" w:right="288"/>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 xml:space="preserve">Югозападен район </w:t>
            </w:r>
          </w:p>
        </w:tc>
      </w:tr>
    </w:tbl>
    <w:p w14:paraId="365A6222" w14:textId="77777777" w:rsidR="00DA3619" w:rsidRPr="00CF60CE" w:rsidRDefault="00DA3619">
      <w:pPr>
        <w:rPr>
          <w:rFonts w:ascii="Times New Roman" w:hAnsi="Times New Roman" w:cs="Times New Roman"/>
          <w:sz w:val="24"/>
          <w:szCs w:val="24"/>
        </w:rPr>
      </w:pPr>
    </w:p>
    <w:p w14:paraId="44739495" w14:textId="535CFC72" w:rsidR="00F56BC0" w:rsidRPr="00CF60CE" w:rsidRDefault="007F4E6D" w:rsidP="00F56BC0">
      <w:pPr>
        <w:spacing w:after="0" w:line="240" w:lineRule="auto"/>
        <w:rPr>
          <w:rFonts w:ascii="Times New Roman" w:eastAsia="Times New Roman" w:hAnsi="Times New Roman" w:cs="Times New Roman"/>
          <w:b/>
          <w:snapToGrid w:val="0"/>
          <w:kern w:val="28"/>
          <w:sz w:val="24"/>
          <w:szCs w:val="24"/>
        </w:rPr>
      </w:pPr>
      <w:r w:rsidRPr="00CF60CE">
        <w:rPr>
          <w:rFonts w:ascii="Times New Roman" w:eastAsia="Times New Roman" w:hAnsi="Times New Roman" w:cs="Times New Roman"/>
          <w:b/>
          <w:snapToGrid w:val="0"/>
          <w:kern w:val="28"/>
          <w:sz w:val="24"/>
          <w:szCs w:val="24"/>
          <w:lang w:val="en-US"/>
        </w:rPr>
        <w:t xml:space="preserve">II. </w:t>
      </w:r>
      <w:r w:rsidR="00DF094A" w:rsidRPr="00CF60CE">
        <w:rPr>
          <w:rFonts w:ascii="Times New Roman" w:eastAsia="Times New Roman" w:hAnsi="Times New Roman" w:cs="Times New Roman"/>
          <w:b/>
          <w:snapToGrid w:val="0"/>
          <w:kern w:val="28"/>
          <w:sz w:val="24"/>
          <w:szCs w:val="24"/>
        </w:rPr>
        <w:t>ОСНОВНИ ДЕФИНИЦИИ</w:t>
      </w:r>
      <w:r w:rsidR="009B0FAC" w:rsidRPr="00CF60CE">
        <w:rPr>
          <w:rFonts w:ascii="Times New Roman" w:eastAsia="Times New Roman" w:hAnsi="Times New Roman" w:cs="Times New Roman"/>
          <w:b/>
          <w:snapToGrid w:val="0"/>
          <w:kern w:val="28"/>
          <w:sz w:val="24"/>
          <w:szCs w:val="24"/>
        </w:rPr>
        <w:t>:</w:t>
      </w:r>
    </w:p>
    <w:p w14:paraId="2117F6FE" w14:textId="0403A403" w:rsidR="00E12165" w:rsidRDefault="00E12165" w:rsidP="00F56BC0">
      <w:pPr>
        <w:spacing w:after="0" w:line="240" w:lineRule="auto"/>
        <w:rPr>
          <w:rFonts w:ascii="Times New Roman" w:eastAsia="Times New Roman" w:hAnsi="Times New Roman" w:cs="Times New Roman"/>
          <w:b/>
          <w:snapToGrid w:val="0"/>
          <w:kern w:val="28"/>
          <w:sz w:val="24"/>
          <w:szCs w:val="24"/>
        </w:rPr>
      </w:pPr>
    </w:p>
    <w:p w14:paraId="1AB7BD91" w14:textId="77777777" w:rsidR="00CF60CE" w:rsidRPr="00CF60CE" w:rsidRDefault="00CF60CE" w:rsidP="00F56BC0">
      <w:pPr>
        <w:spacing w:after="0" w:line="240" w:lineRule="auto"/>
        <w:rPr>
          <w:rFonts w:ascii="Times New Roman" w:eastAsia="Times New Roman" w:hAnsi="Times New Roman" w:cs="Times New Roman"/>
          <w:b/>
          <w:snapToGrid w:val="0"/>
          <w:kern w:val="28"/>
          <w:sz w:val="24"/>
          <w:szCs w:val="24"/>
        </w:rPr>
      </w:pPr>
    </w:p>
    <w:tbl>
      <w:tblPr>
        <w:tblpPr w:leftFromText="141" w:rightFromText="141" w:vertAnchor="text" w:tblpXSpec="right"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3"/>
        <w:gridCol w:w="6973"/>
      </w:tblGrid>
      <w:tr w:rsidR="002D0B4D" w:rsidRPr="00CF60CE" w14:paraId="3BBB5745" w14:textId="77777777" w:rsidTr="007A1A81">
        <w:tc>
          <w:tcPr>
            <w:tcW w:w="9606" w:type="dxa"/>
            <w:gridSpan w:val="2"/>
            <w:shd w:val="clear" w:color="auto" w:fill="E6E6E6"/>
          </w:tcPr>
          <w:p w14:paraId="2F6B201A" w14:textId="77777777" w:rsidR="002D0B4D" w:rsidRPr="00CF60CE" w:rsidRDefault="002D0B4D" w:rsidP="007A1A81">
            <w:pPr>
              <w:spacing w:before="100" w:beforeAutospacing="1" w:after="100" w:afterAutospacing="1" w:line="240" w:lineRule="auto"/>
              <w:jc w:val="both"/>
              <w:rPr>
                <w:rFonts w:ascii="Times New Roman" w:eastAsia="Times New Roman" w:hAnsi="Times New Roman" w:cs="Times New Roman"/>
                <w:snapToGrid w:val="0"/>
                <w:sz w:val="24"/>
                <w:szCs w:val="24"/>
              </w:rPr>
            </w:pPr>
            <w:r w:rsidRPr="00CF60CE">
              <w:rPr>
                <w:rFonts w:ascii="Times New Roman" w:eastAsia="Times New Roman" w:hAnsi="Times New Roman" w:cs="Times New Roman"/>
                <w:b/>
                <w:snapToGrid w:val="0"/>
                <w:sz w:val="24"/>
                <w:szCs w:val="24"/>
              </w:rPr>
              <w:t>Общи</w:t>
            </w:r>
          </w:p>
        </w:tc>
      </w:tr>
      <w:tr w:rsidR="00CF60CE" w:rsidRPr="00CF60CE" w14:paraId="3710A7A6" w14:textId="77777777" w:rsidTr="007A1A81">
        <w:tc>
          <w:tcPr>
            <w:tcW w:w="2633" w:type="dxa"/>
            <w:shd w:val="clear" w:color="auto" w:fill="E6E6E6"/>
          </w:tcPr>
          <w:p w14:paraId="7008FA37" w14:textId="07F509D6" w:rsidR="00CF60CE" w:rsidRPr="00CF60CE" w:rsidRDefault="00CF60CE" w:rsidP="00CF60CE">
            <w:pPr>
              <w:spacing w:before="100" w:beforeAutospacing="1" w:after="100" w:afterAutospacing="1" w:line="240" w:lineRule="auto"/>
              <w:rPr>
                <w:rFonts w:ascii="Times New Roman" w:eastAsia="Times New Roman" w:hAnsi="Times New Roman" w:cs="Times New Roman"/>
                <w:b/>
                <w:snapToGrid w:val="0"/>
                <w:sz w:val="24"/>
                <w:szCs w:val="24"/>
              </w:rPr>
            </w:pPr>
            <w:r w:rsidRPr="00F5314F">
              <w:rPr>
                <w:rFonts w:ascii="Times New Roman" w:eastAsia="Times New Roman" w:hAnsi="Times New Roman"/>
                <w:b/>
                <w:snapToGrid w:val="0"/>
                <w:sz w:val="24"/>
                <w:szCs w:val="24"/>
              </w:rPr>
              <w:t>Административен договор за предоставяне на безвъзмездна финансова помощ</w:t>
            </w:r>
          </w:p>
        </w:tc>
        <w:tc>
          <w:tcPr>
            <w:tcW w:w="6973" w:type="dxa"/>
            <w:shd w:val="clear" w:color="auto" w:fill="F3F3F3"/>
          </w:tcPr>
          <w:p w14:paraId="2374132F" w14:textId="71620EDC" w:rsidR="00CF60CE" w:rsidRPr="00CF60CE" w:rsidRDefault="00CF60CE" w:rsidP="00CF60CE">
            <w:pPr>
              <w:spacing w:before="100" w:beforeAutospacing="1" w:after="0" w:line="240" w:lineRule="auto"/>
              <w:jc w:val="both"/>
              <w:rPr>
                <w:rFonts w:ascii="Times New Roman" w:eastAsia="Times New Roman" w:hAnsi="Times New Roman" w:cs="Times New Roman"/>
                <w:snapToGrid w:val="0"/>
                <w:sz w:val="24"/>
                <w:szCs w:val="24"/>
              </w:rPr>
            </w:pPr>
            <w:r w:rsidRPr="00F5314F">
              <w:rPr>
                <w:rFonts w:ascii="Times New Roman" w:eastAsia="Times New Roman" w:hAnsi="Times New Roman"/>
                <w:snapToGrid w:val="0"/>
                <w:sz w:val="24"/>
                <w:szCs w:val="24"/>
              </w:rPr>
              <w:t>Административен договор е изрично волеизявление на ръководителя на Управляващия орган за предоставяне на финансова подкрепа със средства от ЕФСУ,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CF60CE" w:rsidRPr="00CF60CE" w14:paraId="2F5060E8" w14:textId="77777777" w:rsidTr="007A1A81">
        <w:tc>
          <w:tcPr>
            <w:tcW w:w="2633" w:type="dxa"/>
            <w:shd w:val="clear" w:color="auto" w:fill="E6E6E6"/>
          </w:tcPr>
          <w:p w14:paraId="4E06CAEE" w14:textId="0492EC54" w:rsidR="00CF60CE" w:rsidRPr="00CF60CE" w:rsidRDefault="00CF60CE" w:rsidP="00CF60CE">
            <w:pPr>
              <w:spacing w:before="100" w:beforeAutospacing="1" w:after="100" w:afterAutospacing="1" w:line="240" w:lineRule="auto"/>
              <w:rPr>
                <w:rFonts w:ascii="Times New Roman" w:eastAsia="Times New Roman" w:hAnsi="Times New Roman" w:cs="Times New Roman"/>
                <w:b/>
                <w:snapToGrid w:val="0"/>
                <w:sz w:val="24"/>
                <w:szCs w:val="24"/>
              </w:rPr>
            </w:pPr>
            <w:r w:rsidRPr="00F5314F">
              <w:rPr>
                <w:rFonts w:ascii="Times New Roman" w:eastAsia="Times New Roman" w:hAnsi="Times New Roman"/>
                <w:b/>
                <w:snapToGrid w:val="0"/>
                <w:sz w:val="24"/>
                <w:szCs w:val="24"/>
              </w:rPr>
              <w:t>Безвъзмездна финансова помощ</w:t>
            </w:r>
          </w:p>
        </w:tc>
        <w:tc>
          <w:tcPr>
            <w:tcW w:w="6973" w:type="dxa"/>
            <w:shd w:val="clear" w:color="auto" w:fill="F3F3F3"/>
          </w:tcPr>
          <w:p w14:paraId="75A3FDE6" w14:textId="1381082B" w:rsidR="00CF60CE" w:rsidRPr="00CF60CE" w:rsidRDefault="00CF60CE" w:rsidP="00CF60CE">
            <w:pPr>
              <w:spacing w:before="100" w:beforeAutospacing="1" w:after="0" w:line="240" w:lineRule="auto"/>
              <w:jc w:val="both"/>
              <w:rPr>
                <w:rFonts w:ascii="Times New Roman" w:eastAsia="Times New Roman" w:hAnsi="Times New Roman" w:cs="Times New Roman"/>
                <w:snapToGrid w:val="0"/>
                <w:sz w:val="24"/>
                <w:szCs w:val="24"/>
              </w:rPr>
            </w:pPr>
            <w:r w:rsidRPr="00F5314F">
              <w:rPr>
                <w:rFonts w:ascii="Times New Roman" w:eastAsia="Times New Roman" w:hAnsi="Times New Roman"/>
                <w:snapToGrid w:val="0"/>
                <w:sz w:val="24"/>
                <w:szCs w:val="24"/>
              </w:rPr>
              <w:t>Средства, предоставени от ПКИП, включително съответното национално съфинансиране, с цел изпълнението на одобрен проект, насочен към постигане на определени резултати/цели.</w:t>
            </w:r>
          </w:p>
        </w:tc>
      </w:tr>
      <w:tr w:rsidR="00CF60CE" w:rsidRPr="00CF60CE" w14:paraId="132F3E85" w14:textId="77777777" w:rsidTr="007A1A81">
        <w:tc>
          <w:tcPr>
            <w:tcW w:w="2633" w:type="dxa"/>
            <w:shd w:val="clear" w:color="auto" w:fill="E6E6E6"/>
          </w:tcPr>
          <w:p w14:paraId="75AC6762" w14:textId="58230F32" w:rsidR="00CF60CE" w:rsidRPr="00CF60CE" w:rsidRDefault="00CF60CE" w:rsidP="00CF60CE">
            <w:pPr>
              <w:spacing w:before="100" w:beforeAutospacing="1" w:after="100" w:afterAutospacing="1" w:line="240" w:lineRule="auto"/>
              <w:rPr>
                <w:rFonts w:ascii="Times New Roman" w:eastAsia="Times New Roman" w:hAnsi="Times New Roman" w:cs="Times New Roman"/>
                <w:b/>
                <w:snapToGrid w:val="0"/>
                <w:sz w:val="24"/>
                <w:szCs w:val="24"/>
              </w:rPr>
            </w:pPr>
            <w:r w:rsidRPr="00F5314F">
              <w:rPr>
                <w:rFonts w:ascii="Times New Roman" w:eastAsia="Times New Roman" w:hAnsi="Times New Roman"/>
                <w:b/>
                <w:snapToGrid w:val="0"/>
                <w:sz w:val="24"/>
                <w:szCs w:val="24"/>
              </w:rPr>
              <w:t>Бенефициент на безвъзмездна финансова помощ</w:t>
            </w:r>
          </w:p>
        </w:tc>
        <w:tc>
          <w:tcPr>
            <w:tcW w:w="6973" w:type="dxa"/>
            <w:shd w:val="clear" w:color="auto" w:fill="F3F3F3"/>
          </w:tcPr>
          <w:p w14:paraId="540AC622" w14:textId="77777777" w:rsidR="00CF60CE" w:rsidRPr="00F5314F" w:rsidRDefault="00CF60CE" w:rsidP="00CF60C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Лицата, посочени в чл. 2, </w:t>
            </w:r>
            <w:proofErr w:type="spellStart"/>
            <w:r w:rsidRPr="00F5314F">
              <w:rPr>
                <w:rFonts w:ascii="Times New Roman" w:eastAsia="Times New Roman" w:hAnsi="Times New Roman"/>
                <w:snapToGrid w:val="0"/>
                <w:sz w:val="24"/>
                <w:szCs w:val="24"/>
              </w:rPr>
              <w:t>пар</w:t>
            </w:r>
            <w:proofErr w:type="spellEnd"/>
            <w:r w:rsidRPr="00F5314F">
              <w:rPr>
                <w:rFonts w:ascii="Times New Roman" w:eastAsia="Times New Roman" w:hAnsi="Times New Roman"/>
                <w:snapToGrid w:val="0"/>
                <w:sz w:val="24"/>
                <w:szCs w:val="24"/>
              </w:rPr>
              <w:t xml:space="preserve">. 9 от Регламент (ЕС) 2021/1060, съгласно който бенефициентите са публични или частни субекти, образувания със или без правосубектност или физически лица, които отговарят за започването на операциите или за започването и изпълнението им.  </w:t>
            </w:r>
          </w:p>
          <w:p w14:paraId="72070A9E" w14:textId="3C5FDF71" w:rsidR="00CF60CE" w:rsidRPr="00CF60CE" w:rsidRDefault="00CF60CE" w:rsidP="00CF60CE">
            <w:pPr>
              <w:spacing w:before="100" w:beforeAutospacing="1" w:after="0" w:line="240" w:lineRule="auto"/>
              <w:jc w:val="both"/>
              <w:rPr>
                <w:rFonts w:ascii="Times New Roman" w:eastAsia="Times New Roman" w:hAnsi="Times New Roman" w:cs="Times New Roman"/>
                <w:snapToGrid w:val="0"/>
                <w:sz w:val="24"/>
                <w:szCs w:val="24"/>
              </w:rPr>
            </w:pPr>
            <w:r w:rsidRPr="00F5314F">
              <w:rPr>
                <w:rFonts w:ascii="Times New Roman" w:eastAsia="Times New Roman" w:hAnsi="Times New Roman"/>
                <w:snapToGrid w:val="0"/>
                <w:sz w:val="24"/>
                <w:szCs w:val="24"/>
              </w:rPr>
              <w:t>За целите на процедурата под бенефициент се разбира предприятието, което получава/разходва помощта (бенефициента-кандидат и когато е приложимо бенефициента- партньор)</w:t>
            </w:r>
          </w:p>
        </w:tc>
      </w:tr>
      <w:tr w:rsidR="00CF60CE" w:rsidRPr="00CF60CE" w14:paraId="3B158AD3" w14:textId="77777777" w:rsidTr="007A1A81">
        <w:tc>
          <w:tcPr>
            <w:tcW w:w="2633" w:type="dxa"/>
            <w:shd w:val="clear" w:color="auto" w:fill="E6E6E6"/>
          </w:tcPr>
          <w:p w14:paraId="7F9009A3" w14:textId="77777777" w:rsidR="00CF60CE" w:rsidRPr="00CF60CE" w:rsidRDefault="00CF60CE" w:rsidP="00CF60CE">
            <w:pPr>
              <w:spacing w:before="100" w:beforeAutospacing="1" w:after="100" w:afterAutospacing="1" w:line="240" w:lineRule="auto"/>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Група предприятия</w:t>
            </w:r>
          </w:p>
        </w:tc>
        <w:tc>
          <w:tcPr>
            <w:tcW w:w="6973" w:type="dxa"/>
            <w:shd w:val="clear" w:color="auto" w:fill="F3F3F3"/>
          </w:tcPr>
          <w:p w14:paraId="235E8686" w14:textId="77777777" w:rsidR="00CF60CE" w:rsidRPr="00CF60CE" w:rsidRDefault="00CF60CE" w:rsidP="00CF60CE">
            <w:pPr>
              <w:spacing w:before="100" w:beforeAutospacing="1" w:after="0" w:line="240" w:lineRule="auto"/>
              <w:jc w:val="both"/>
              <w:rPr>
                <w:rFonts w:ascii="Times New Roman" w:hAnsi="Times New Roman" w:cs="Times New Roman"/>
              </w:rPr>
            </w:pPr>
            <w:r w:rsidRPr="00CF60CE">
              <w:rPr>
                <w:rFonts w:ascii="Times New Roman" w:eastAsia="Times New Roman" w:hAnsi="Times New Roman" w:cs="Times New Roman"/>
                <w:snapToGrid w:val="0"/>
                <w:sz w:val="24"/>
                <w:szCs w:val="24"/>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p w14:paraId="53CEAED2" w14:textId="5AAFBFD0" w:rsidR="00CF60CE" w:rsidRPr="00CF60CE" w:rsidRDefault="00CF60CE" w:rsidP="00CF60CE">
            <w:pPr>
              <w:spacing w:after="100" w:afterAutospacing="1" w:line="240" w:lineRule="auto"/>
              <w:jc w:val="both"/>
              <w:rPr>
                <w:rFonts w:ascii="Times New Roman" w:eastAsia="Times New Roman" w:hAnsi="Times New Roman" w:cs="Times New Roman"/>
                <w:snapToGrid w:val="0"/>
                <w:sz w:val="24"/>
                <w:szCs w:val="24"/>
              </w:rPr>
            </w:pPr>
            <w:r w:rsidRPr="00CF60CE">
              <w:rPr>
                <w:rFonts w:ascii="Times New Roman" w:eastAsia="Times New Roman" w:hAnsi="Times New Roman" w:cs="Times New Roman"/>
                <w:snapToGrid w:val="0"/>
                <w:sz w:val="24"/>
                <w:szCs w:val="24"/>
              </w:rPr>
              <w:t>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tc>
      </w:tr>
      <w:tr w:rsidR="00CF60CE" w:rsidRPr="00CF60CE" w14:paraId="6982AB49" w14:textId="77777777" w:rsidTr="007A1A81">
        <w:tc>
          <w:tcPr>
            <w:tcW w:w="2633" w:type="dxa"/>
            <w:shd w:val="clear" w:color="auto" w:fill="E6E6E6"/>
          </w:tcPr>
          <w:p w14:paraId="1E7D3813" w14:textId="13AB16F3" w:rsidR="00CF60CE" w:rsidRPr="00CF60CE" w:rsidRDefault="00CF60CE" w:rsidP="00CF60CE">
            <w:pPr>
              <w:spacing w:before="100" w:beforeAutospacing="1" w:after="100" w:afterAutospacing="1" w:line="240" w:lineRule="auto"/>
              <w:rPr>
                <w:rFonts w:ascii="Times New Roman" w:eastAsia="Times New Roman" w:hAnsi="Times New Roman" w:cs="Times New Roman"/>
                <w:b/>
                <w:snapToGrid w:val="0"/>
                <w:sz w:val="24"/>
                <w:szCs w:val="24"/>
              </w:rPr>
            </w:pPr>
            <w:r w:rsidRPr="00F5314F">
              <w:rPr>
                <w:rFonts w:ascii="Times New Roman" w:eastAsia="Times New Roman" w:hAnsi="Times New Roman"/>
                <w:b/>
                <w:snapToGrid w:val="0"/>
                <w:sz w:val="24"/>
                <w:szCs w:val="24"/>
              </w:rPr>
              <w:t>Дата на предоставяне на помощта</w:t>
            </w:r>
          </w:p>
        </w:tc>
        <w:tc>
          <w:tcPr>
            <w:tcW w:w="6973" w:type="dxa"/>
            <w:shd w:val="clear" w:color="auto" w:fill="F3F3F3"/>
          </w:tcPr>
          <w:p w14:paraId="44DCE67A" w14:textId="259C33A8" w:rsidR="00CF60CE" w:rsidRPr="00CF60CE" w:rsidRDefault="00CF60CE" w:rsidP="00CF60CE">
            <w:pPr>
              <w:spacing w:before="100" w:beforeAutospacing="1" w:after="100" w:afterAutospacing="1" w:line="240" w:lineRule="auto"/>
              <w:jc w:val="both"/>
              <w:rPr>
                <w:rFonts w:ascii="Times New Roman" w:eastAsia="Times New Roman" w:hAnsi="Times New Roman" w:cs="Times New Roman"/>
                <w:snapToGrid w:val="0"/>
                <w:sz w:val="24"/>
                <w:szCs w:val="24"/>
              </w:rPr>
            </w:pPr>
            <w:r w:rsidRPr="00F5314F">
              <w:rPr>
                <w:rFonts w:ascii="Times New Roman" w:eastAsia="Times New Roman" w:hAnsi="Times New Roman"/>
                <w:snapToGrid w:val="0"/>
                <w:sz w:val="24"/>
                <w:szCs w:val="24"/>
              </w:rPr>
              <w:t xml:space="preserve">Съгласно чл. 2, </w:t>
            </w:r>
            <w:proofErr w:type="spellStart"/>
            <w:r w:rsidRPr="00F5314F">
              <w:rPr>
                <w:rFonts w:ascii="Times New Roman" w:eastAsia="Times New Roman" w:hAnsi="Times New Roman"/>
                <w:snapToGrid w:val="0"/>
                <w:sz w:val="24"/>
                <w:szCs w:val="24"/>
              </w:rPr>
              <w:t>пар</w:t>
            </w:r>
            <w:proofErr w:type="spellEnd"/>
            <w:r w:rsidRPr="00F5314F">
              <w:rPr>
                <w:rFonts w:ascii="Times New Roman" w:eastAsia="Times New Roman" w:hAnsi="Times New Roman"/>
                <w:snapToGrid w:val="0"/>
                <w:sz w:val="24"/>
                <w:szCs w:val="24"/>
              </w:rPr>
              <w:t xml:space="preserve">. 28 от Регламент (ЕС) № 651/2014 и чл. 3, </w:t>
            </w:r>
            <w:proofErr w:type="spellStart"/>
            <w:r w:rsidRPr="00F5314F">
              <w:rPr>
                <w:rFonts w:ascii="Times New Roman" w:eastAsia="Times New Roman" w:hAnsi="Times New Roman"/>
                <w:snapToGrid w:val="0"/>
                <w:sz w:val="24"/>
                <w:szCs w:val="24"/>
              </w:rPr>
              <w:t>пар</w:t>
            </w:r>
            <w:proofErr w:type="spellEnd"/>
            <w:r w:rsidRPr="00F5314F">
              <w:rPr>
                <w:rFonts w:ascii="Times New Roman" w:eastAsia="Times New Roman" w:hAnsi="Times New Roman"/>
                <w:snapToGrid w:val="0"/>
                <w:sz w:val="24"/>
                <w:szCs w:val="24"/>
              </w:rPr>
              <w:t xml:space="preserve">. </w:t>
            </w:r>
            <w:r>
              <w:rPr>
                <w:rFonts w:ascii="Times New Roman" w:eastAsia="Times New Roman" w:hAnsi="Times New Roman"/>
                <w:snapToGrid w:val="0"/>
                <w:sz w:val="24"/>
                <w:szCs w:val="24"/>
              </w:rPr>
              <w:t>3</w:t>
            </w:r>
            <w:r w:rsidRPr="00F5314F">
              <w:rPr>
                <w:rFonts w:ascii="Times New Roman" w:eastAsia="Times New Roman" w:hAnsi="Times New Roman"/>
                <w:snapToGrid w:val="0"/>
                <w:sz w:val="24"/>
                <w:szCs w:val="24"/>
              </w:rPr>
              <w:t xml:space="preserve"> от Регламент (ЕС) № </w:t>
            </w:r>
            <w:r w:rsidRPr="00F80849">
              <w:rPr>
                <w:rFonts w:ascii="Times New Roman" w:eastAsia="Times New Roman" w:hAnsi="Times New Roman"/>
                <w:snapToGrid w:val="0"/>
                <w:sz w:val="24"/>
                <w:szCs w:val="24"/>
              </w:rPr>
              <w:t>2023/2831</w:t>
            </w:r>
            <w:r w:rsidRPr="00F5314F">
              <w:rPr>
                <w:rFonts w:ascii="Times New Roman" w:eastAsia="Times New Roman" w:hAnsi="Times New Roman"/>
                <w:snapToGrid w:val="0"/>
                <w:sz w:val="24"/>
                <w:szCs w:val="24"/>
              </w:rPr>
              <w:t xml:space="preserve">, дата на предоставяне на помощта означава датата, на която законовото право на получаване на помощта се предоставя на </w:t>
            </w:r>
            <w:proofErr w:type="spellStart"/>
            <w:r w:rsidRPr="00F5314F">
              <w:rPr>
                <w:rFonts w:ascii="Times New Roman" w:eastAsia="Times New Roman" w:hAnsi="Times New Roman"/>
                <w:snapToGrid w:val="0"/>
                <w:sz w:val="24"/>
                <w:szCs w:val="24"/>
              </w:rPr>
              <w:t>бенефициера</w:t>
            </w:r>
            <w:proofErr w:type="spellEnd"/>
            <w:r w:rsidRPr="00F5314F">
              <w:rPr>
                <w:rFonts w:ascii="Times New Roman" w:eastAsia="Times New Roman" w:hAnsi="Times New Roman"/>
                <w:snapToGrid w:val="0"/>
                <w:sz w:val="24"/>
                <w:szCs w:val="24"/>
              </w:rPr>
              <w:t xml:space="preserve"> съгласно приложимия национален режим, независимо от датата на плащане на помощта на предприятието. По настоящата процедура, дата на предоставяне на помощта е датата на сключване на </w:t>
            </w:r>
            <w:r w:rsidRPr="00F5314F">
              <w:rPr>
                <w:rFonts w:ascii="Times New Roman" w:eastAsia="Times New Roman" w:hAnsi="Times New Roman"/>
                <w:snapToGrid w:val="0"/>
                <w:sz w:val="24"/>
                <w:szCs w:val="24"/>
              </w:rPr>
              <w:lastRenderedPageBreak/>
              <w:t>административния договор за предоставяне на безвъзмездна финансова помощ.</w:t>
            </w:r>
          </w:p>
        </w:tc>
      </w:tr>
      <w:tr w:rsidR="00CF60CE" w:rsidRPr="00CF60CE" w14:paraId="43982907" w14:textId="77777777" w:rsidTr="007A1A81">
        <w:tc>
          <w:tcPr>
            <w:tcW w:w="2633" w:type="dxa"/>
            <w:shd w:val="clear" w:color="auto" w:fill="E6E6E6"/>
          </w:tcPr>
          <w:p w14:paraId="21EC01ED" w14:textId="77777777" w:rsidR="00CF60CE" w:rsidRPr="00CF60CE" w:rsidRDefault="00CF60CE" w:rsidP="00CF60CE">
            <w:pPr>
              <w:spacing w:before="100" w:beforeAutospacing="1" w:after="100" w:afterAutospacing="1" w:line="240" w:lineRule="auto"/>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lastRenderedPageBreak/>
              <w:t>Дейност</w:t>
            </w:r>
          </w:p>
        </w:tc>
        <w:tc>
          <w:tcPr>
            <w:tcW w:w="6973" w:type="dxa"/>
            <w:shd w:val="clear" w:color="auto" w:fill="F3F3F3"/>
          </w:tcPr>
          <w:p w14:paraId="7612A02F" w14:textId="77777777" w:rsidR="00CF60CE" w:rsidRPr="00CF60CE" w:rsidRDefault="00CF60CE" w:rsidP="00CF60CE">
            <w:pPr>
              <w:spacing w:before="100" w:beforeAutospacing="1" w:after="100" w:afterAutospacing="1" w:line="240" w:lineRule="auto"/>
              <w:jc w:val="both"/>
              <w:rPr>
                <w:rFonts w:ascii="Times New Roman" w:eastAsia="Times New Roman" w:hAnsi="Times New Roman" w:cs="Times New Roman"/>
                <w:snapToGrid w:val="0"/>
                <w:sz w:val="24"/>
                <w:szCs w:val="24"/>
              </w:rPr>
            </w:pPr>
            <w:r w:rsidRPr="00CF60CE">
              <w:rPr>
                <w:rFonts w:ascii="Times New Roman" w:eastAsia="Times New Roman" w:hAnsi="Times New Roman" w:cs="Times New Roman"/>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CF60CE" w:rsidRPr="00CF60CE" w14:paraId="47280C37" w14:textId="77777777" w:rsidTr="007A1A81">
        <w:tc>
          <w:tcPr>
            <w:tcW w:w="2633" w:type="dxa"/>
            <w:shd w:val="clear" w:color="auto" w:fill="E6E6E6"/>
          </w:tcPr>
          <w:p w14:paraId="3195217C" w14:textId="09E0DAEB" w:rsidR="00CF60CE" w:rsidRPr="00CF60CE" w:rsidRDefault="00CF60CE" w:rsidP="00CF60CE">
            <w:pPr>
              <w:spacing w:before="100" w:beforeAutospacing="1" w:after="100" w:afterAutospacing="1" w:line="240" w:lineRule="auto"/>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Експериментално развитие</w:t>
            </w:r>
          </w:p>
        </w:tc>
        <w:tc>
          <w:tcPr>
            <w:tcW w:w="6973" w:type="dxa"/>
            <w:shd w:val="clear" w:color="auto" w:fill="F3F3F3"/>
          </w:tcPr>
          <w:p w14:paraId="5FD0DBCC" w14:textId="3C29C0F5" w:rsidR="00CF60CE" w:rsidRPr="00CF60CE" w:rsidRDefault="00CF60CE" w:rsidP="00CF60CE">
            <w:pPr>
              <w:spacing w:before="100" w:beforeAutospacing="1" w:after="100" w:afterAutospacing="1" w:line="240" w:lineRule="auto"/>
              <w:jc w:val="both"/>
              <w:rPr>
                <w:rFonts w:ascii="Times New Roman" w:eastAsia="Times New Roman" w:hAnsi="Times New Roman" w:cs="Times New Roman"/>
                <w:snapToGrid w:val="0"/>
                <w:sz w:val="24"/>
                <w:szCs w:val="24"/>
              </w:rPr>
            </w:pPr>
            <w:r w:rsidRPr="00CF60CE">
              <w:rPr>
                <w:rFonts w:ascii="Times New Roman" w:hAnsi="Times New Roman" w:cs="Times New Roman"/>
              </w:rPr>
              <w:t xml:space="preserve">Съгласно чл. 2, </w:t>
            </w:r>
            <w:proofErr w:type="spellStart"/>
            <w:r w:rsidRPr="00CF60CE">
              <w:rPr>
                <w:rFonts w:ascii="Times New Roman" w:hAnsi="Times New Roman" w:cs="Times New Roman"/>
              </w:rPr>
              <w:t>пар</w:t>
            </w:r>
            <w:proofErr w:type="spellEnd"/>
            <w:r w:rsidRPr="00CF60CE">
              <w:rPr>
                <w:rFonts w:ascii="Times New Roman" w:hAnsi="Times New Roman" w:cs="Times New Roman"/>
              </w:rPr>
              <w:t>. 86 от Регламент на Комисията (ЕС) № 651/2014</w:t>
            </w:r>
            <w:r w:rsidRPr="00CF60CE">
              <w:rPr>
                <w:rFonts w:ascii="Times New Roman" w:eastAsia="Times New Roman" w:hAnsi="Times New Roman" w:cs="Times New Roman"/>
                <w:snapToGrid w:val="0"/>
                <w:sz w:val="24"/>
                <w:szCs w:val="24"/>
              </w:rPr>
              <w:t xml:space="preserve"> „експериментално развитие“ означава придобиване, съчетаване, оформяне и използване на съществуващи научни, технологични, търговски и други важни знания и умения с цел разработване на нови или усъвършенствани продукти, процеси или услуги, включително цифрови продукти, процеси или услуги във всяка област, технология, промишленост или сектор (включително, но и не само цифрови отрасли и технологии, като например изчисления със суперкомпютър, квантови технологии, </w:t>
            </w:r>
            <w:proofErr w:type="spellStart"/>
            <w:r w:rsidRPr="00CF60CE">
              <w:rPr>
                <w:rFonts w:ascii="Times New Roman" w:eastAsia="Times New Roman" w:hAnsi="Times New Roman" w:cs="Times New Roman"/>
                <w:snapToGrid w:val="0"/>
                <w:sz w:val="24"/>
                <w:szCs w:val="24"/>
              </w:rPr>
              <w:t>блокчейн</w:t>
            </w:r>
            <w:proofErr w:type="spellEnd"/>
            <w:r w:rsidRPr="00CF60CE">
              <w:rPr>
                <w:rFonts w:ascii="Times New Roman" w:eastAsia="Times New Roman" w:hAnsi="Times New Roman" w:cs="Times New Roman"/>
                <w:snapToGrid w:val="0"/>
                <w:sz w:val="24"/>
                <w:szCs w:val="24"/>
              </w:rPr>
              <w:t xml:space="preserve"> технологии, изкуствен интелект, киберсигурност, големи информационни масиви и облачни технологии или технологии за периферни изчисления). Това например може да включва и дейности, имащи за цел задаването на концепция, планирането и документирането на нови продукти, процеси или услуги.</w:t>
            </w:r>
          </w:p>
          <w:p w14:paraId="59E8FA7B" w14:textId="77777777" w:rsidR="00CF60CE" w:rsidRPr="00CF60CE" w:rsidRDefault="00CF60CE" w:rsidP="00CF60CE">
            <w:pPr>
              <w:spacing w:before="100" w:beforeAutospacing="1" w:after="100" w:afterAutospacing="1" w:line="240" w:lineRule="auto"/>
              <w:jc w:val="both"/>
              <w:rPr>
                <w:rFonts w:ascii="Times New Roman" w:eastAsia="Times New Roman" w:hAnsi="Times New Roman" w:cs="Times New Roman"/>
                <w:snapToGrid w:val="0"/>
                <w:sz w:val="24"/>
                <w:szCs w:val="24"/>
              </w:rPr>
            </w:pPr>
            <w:r w:rsidRPr="00CF60CE">
              <w:rPr>
                <w:rFonts w:ascii="Times New Roman" w:eastAsia="Times New Roman" w:hAnsi="Times New Roman" w:cs="Times New Roman"/>
                <w:snapToGrid w:val="0"/>
                <w:sz w:val="24"/>
                <w:szCs w:val="24"/>
              </w:rPr>
              <w:t>Експерименталното развитие може да включва разработване на прототипи, демонстрация, разработване на пилотни проекти, изпитване и валидиране на нови или усъвършенствани продукти, процеси или услуги в среда, която е представителна за оперативните условия в реалния живот, когато главната цел е по-нататъшното техническо подобряване на продукти, процеси или услуги, които не са в окончателния си вид. Това може да включва разработване на търговски използваеми прототипи или пилотни проекти, които са необходими за крайния търговски продукт и чието производство е твърде скъпо, за да бъдат използвани само за демонстрации и валидиране.</w:t>
            </w:r>
          </w:p>
          <w:p w14:paraId="4132710E" w14:textId="66A8198C" w:rsidR="00CF60CE" w:rsidRPr="00CF60CE" w:rsidRDefault="00CF60CE" w:rsidP="00CF60CE">
            <w:pPr>
              <w:spacing w:before="100" w:beforeAutospacing="1" w:after="100" w:afterAutospacing="1" w:line="240" w:lineRule="auto"/>
              <w:jc w:val="both"/>
              <w:rPr>
                <w:rFonts w:ascii="Times New Roman" w:eastAsia="Times New Roman" w:hAnsi="Times New Roman" w:cs="Times New Roman"/>
                <w:snapToGrid w:val="0"/>
                <w:sz w:val="24"/>
                <w:szCs w:val="24"/>
              </w:rPr>
            </w:pPr>
            <w:r w:rsidRPr="00CF60CE">
              <w:rPr>
                <w:rFonts w:ascii="Times New Roman" w:eastAsia="Times New Roman" w:hAnsi="Times New Roman" w:cs="Times New Roman"/>
                <w:snapToGrid w:val="0"/>
                <w:sz w:val="24"/>
                <w:szCs w:val="24"/>
              </w:rPr>
              <w:t>Експерименталното развитие не включва рутинни и периодични изменения, въвеждани в съществуващи продукти, производствени линии, производствени процеси, услуги или други операции в процес на изпълнение, дори ако тези изменения може да представляват подобрения;“;</w:t>
            </w:r>
          </w:p>
        </w:tc>
      </w:tr>
      <w:tr w:rsidR="00CF60CE" w:rsidRPr="00CF60CE" w14:paraId="5C95AEA9" w14:textId="77777777" w:rsidTr="007A1A81">
        <w:tc>
          <w:tcPr>
            <w:tcW w:w="2633" w:type="dxa"/>
            <w:shd w:val="clear" w:color="auto" w:fill="E6E6E6"/>
          </w:tcPr>
          <w:p w14:paraId="3B659EDE" w14:textId="00ACFE4E" w:rsidR="00CF60CE" w:rsidRPr="00CF60CE" w:rsidRDefault="00CF60CE" w:rsidP="00CF60CE">
            <w:pPr>
              <w:spacing w:before="100" w:beforeAutospacing="1" w:after="100" w:afterAutospacing="1" w:line="240" w:lineRule="auto"/>
              <w:rPr>
                <w:rFonts w:ascii="Times New Roman" w:eastAsia="Times New Roman" w:hAnsi="Times New Roman" w:cs="Times New Roman"/>
                <w:b/>
                <w:snapToGrid w:val="0"/>
                <w:sz w:val="24"/>
                <w:szCs w:val="24"/>
              </w:rPr>
            </w:pPr>
            <w:r w:rsidRPr="00F5314F">
              <w:rPr>
                <w:rFonts w:ascii="Times New Roman" w:eastAsia="Times New Roman" w:hAnsi="Times New Roman"/>
                <w:b/>
                <w:snapToGrid w:val="0"/>
                <w:sz w:val="24"/>
                <w:szCs w:val="24"/>
              </w:rPr>
              <w:t>Започване на работите по проекта</w:t>
            </w:r>
          </w:p>
        </w:tc>
        <w:tc>
          <w:tcPr>
            <w:tcW w:w="6973" w:type="dxa"/>
            <w:shd w:val="clear" w:color="auto" w:fill="F3F3F3"/>
          </w:tcPr>
          <w:p w14:paraId="448C7C9F" w14:textId="07A4AD69" w:rsidR="00CF60CE" w:rsidRPr="00CF60CE" w:rsidRDefault="00CF60CE" w:rsidP="00CF60CE">
            <w:pPr>
              <w:spacing w:before="100" w:beforeAutospacing="1" w:after="100" w:afterAutospacing="1" w:line="240" w:lineRule="auto"/>
              <w:jc w:val="both"/>
              <w:rPr>
                <w:rFonts w:ascii="Times New Roman" w:hAnsi="Times New Roman" w:cs="Times New Roman"/>
              </w:rPr>
            </w:pPr>
            <w:r w:rsidRPr="00F5314F">
              <w:rPr>
                <w:rFonts w:ascii="Times New Roman" w:eastAsia="Times New Roman" w:hAnsi="Times New Roman"/>
                <w:snapToGrid w:val="0"/>
                <w:sz w:val="24"/>
                <w:szCs w:val="24"/>
              </w:rPr>
              <w:t xml:space="preserve">Съгласно чл. 2, </w:t>
            </w:r>
            <w:proofErr w:type="spellStart"/>
            <w:r w:rsidRPr="00F5314F">
              <w:rPr>
                <w:rFonts w:ascii="Times New Roman" w:eastAsia="Times New Roman" w:hAnsi="Times New Roman"/>
                <w:snapToGrid w:val="0"/>
                <w:sz w:val="24"/>
                <w:szCs w:val="24"/>
              </w:rPr>
              <w:t>пар</w:t>
            </w:r>
            <w:proofErr w:type="spellEnd"/>
            <w:r w:rsidRPr="00F5314F">
              <w:rPr>
                <w:rFonts w:ascii="Times New Roman" w:eastAsia="Times New Roman" w:hAnsi="Times New Roman"/>
                <w:snapToGrid w:val="0"/>
                <w:sz w:val="24"/>
                <w:szCs w:val="24"/>
              </w:rPr>
              <w:t xml:space="preserve">. 23 от Регламент (ЕС) № 651/2014 на Комисията, „започване на работите по проекта“ означава първото от следните събития: започване на строителните работи, свързани с инвестицията, или поемане на първия </w:t>
            </w:r>
            <w:proofErr w:type="spellStart"/>
            <w:r w:rsidRPr="00F5314F">
              <w:rPr>
                <w:rFonts w:ascii="Times New Roman" w:eastAsia="Times New Roman" w:hAnsi="Times New Roman"/>
                <w:snapToGrid w:val="0"/>
                <w:sz w:val="24"/>
                <w:szCs w:val="24"/>
              </w:rPr>
              <w:t>правнообвързващ</w:t>
            </w:r>
            <w:proofErr w:type="spellEnd"/>
            <w:r w:rsidRPr="00F5314F">
              <w:rPr>
                <w:rFonts w:ascii="Times New Roman" w:eastAsia="Times New Roman" w:hAnsi="Times New Roman"/>
                <w:snapToGrid w:val="0"/>
                <w:sz w:val="24"/>
                <w:szCs w:val="24"/>
              </w:rPr>
              <w:t xml:space="preserve">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w:t>
            </w:r>
            <w:r w:rsidRPr="00F5314F">
              <w:rPr>
                <w:rFonts w:ascii="Times New Roman" w:eastAsia="Times New Roman" w:hAnsi="Times New Roman"/>
                <w:snapToGrid w:val="0"/>
                <w:sz w:val="24"/>
                <w:szCs w:val="24"/>
              </w:rPr>
              <w:lastRenderedPageBreak/>
              <w:t>момента на придобиване на активите, пряко свързани с придобития стопански обект.</w:t>
            </w:r>
          </w:p>
        </w:tc>
      </w:tr>
      <w:tr w:rsidR="00CF60CE" w:rsidRPr="00CF60CE" w14:paraId="08C89A3E" w14:textId="77777777" w:rsidTr="007A1A81">
        <w:tc>
          <w:tcPr>
            <w:tcW w:w="2633" w:type="dxa"/>
            <w:shd w:val="clear" w:color="auto" w:fill="E6E6E6"/>
          </w:tcPr>
          <w:p w14:paraId="0D3A9407" w14:textId="31C7E741" w:rsidR="00CF60CE" w:rsidRPr="00CF60CE" w:rsidRDefault="00CF60CE" w:rsidP="00CF60CE">
            <w:pPr>
              <w:spacing w:before="100" w:beforeAutospacing="1" w:after="100" w:afterAutospacing="1" w:line="240" w:lineRule="auto"/>
              <w:rPr>
                <w:rFonts w:ascii="Times New Roman" w:eastAsia="Times New Roman" w:hAnsi="Times New Roman" w:cs="Times New Roman"/>
                <w:b/>
                <w:snapToGrid w:val="0"/>
                <w:sz w:val="24"/>
                <w:szCs w:val="24"/>
              </w:rPr>
            </w:pPr>
            <w:r w:rsidRPr="00F5314F">
              <w:rPr>
                <w:rFonts w:ascii="Times New Roman" w:eastAsia="Times New Roman" w:hAnsi="Times New Roman"/>
                <w:b/>
                <w:snapToGrid w:val="0"/>
                <w:sz w:val="24"/>
                <w:szCs w:val="24"/>
              </w:rPr>
              <w:lastRenderedPageBreak/>
              <w:t xml:space="preserve">Изпълнител, определен от страна на бенефициента </w:t>
            </w:r>
          </w:p>
        </w:tc>
        <w:tc>
          <w:tcPr>
            <w:tcW w:w="6973" w:type="dxa"/>
            <w:shd w:val="clear" w:color="auto" w:fill="F3F3F3"/>
          </w:tcPr>
          <w:p w14:paraId="1B4D8A8A" w14:textId="7D67689D" w:rsidR="00CF60CE" w:rsidRPr="00CF60CE" w:rsidRDefault="00CF60CE" w:rsidP="00CF60CE">
            <w:pPr>
              <w:spacing w:before="100" w:beforeAutospacing="1" w:after="100" w:afterAutospacing="1" w:line="240" w:lineRule="auto"/>
              <w:jc w:val="both"/>
              <w:rPr>
                <w:rFonts w:ascii="Times New Roman" w:eastAsia="Times New Roman" w:hAnsi="Times New Roman" w:cs="Times New Roman"/>
                <w:snapToGrid w:val="0"/>
                <w:sz w:val="24"/>
                <w:szCs w:val="24"/>
              </w:rPr>
            </w:pPr>
            <w:r w:rsidRPr="00F5314F">
              <w:rPr>
                <w:rFonts w:ascii="Times New Roman" w:eastAsia="Times New Roman" w:hAnsi="Times New Roman"/>
                <w:snapToGrid w:val="0"/>
                <w:sz w:val="24"/>
                <w:szCs w:val="24"/>
              </w:rPr>
              <w:t xml:space="preserve">Изпълнители на дейности по проекта, възложени им от бенефициентите на безвъзмездна финансова помощ. Изпълнителите от страна на бенефициента не са партньори и се определят в съответствие с реда за определяне на изпълнител от страна на бенефициенти на договорена безвъзмездна финансова помощ от ЕФСУ, както и по реда на Закона за обществените поръчки и подзаконовите актове по прилагането му, включително и на указанията на УО, заложени в Ръководството за изпълнение на договори за безвъзмездна финансова помощ по </w:t>
            </w:r>
            <w:r>
              <w:rPr>
                <w:rFonts w:ascii="Times New Roman" w:eastAsia="Times New Roman" w:hAnsi="Times New Roman"/>
                <w:snapToGrid w:val="0"/>
                <w:sz w:val="24"/>
                <w:szCs w:val="24"/>
              </w:rPr>
              <w:t>ПНИИДИТ</w:t>
            </w:r>
            <w:r w:rsidRPr="00F5314F">
              <w:rPr>
                <w:rFonts w:ascii="Times New Roman" w:eastAsia="Times New Roman" w:hAnsi="Times New Roman"/>
                <w:snapToGrid w:val="0"/>
                <w:sz w:val="24"/>
                <w:szCs w:val="24"/>
              </w:rPr>
              <w:t>.</w:t>
            </w:r>
          </w:p>
        </w:tc>
      </w:tr>
      <w:tr w:rsidR="00F25E96" w:rsidRPr="00CF60CE" w14:paraId="4ECF5327" w14:textId="77777777" w:rsidTr="007A1A81">
        <w:tc>
          <w:tcPr>
            <w:tcW w:w="2633" w:type="dxa"/>
            <w:shd w:val="clear" w:color="auto" w:fill="E6E6E6"/>
          </w:tcPr>
          <w:p w14:paraId="0214E63B" w14:textId="072BF9F1" w:rsidR="00F25E96" w:rsidRPr="00CF60CE" w:rsidRDefault="00F25E96" w:rsidP="00CF60CE">
            <w:pPr>
              <w:spacing w:before="100" w:beforeAutospacing="1" w:after="100" w:afterAutospacing="1" w:line="240" w:lineRule="auto"/>
              <w:rPr>
                <w:rFonts w:ascii="Times New Roman" w:eastAsia="Times New Roman" w:hAnsi="Times New Roman" w:cs="Times New Roman"/>
                <w:b/>
                <w:snapToGrid w:val="0"/>
                <w:sz w:val="24"/>
                <w:szCs w:val="24"/>
              </w:rPr>
            </w:pPr>
            <w:r w:rsidRPr="00F25E96">
              <w:rPr>
                <w:rFonts w:ascii="Times New Roman" w:eastAsia="Times New Roman" w:hAnsi="Times New Roman" w:cs="Times New Roman"/>
                <w:b/>
                <w:snapToGrid w:val="0"/>
                <w:sz w:val="24"/>
                <w:szCs w:val="24"/>
              </w:rPr>
              <w:t>Иновационно предприятие</w:t>
            </w:r>
          </w:p>
        </w:tc>
        <w:tc>
          <w:tcPr>
            <w:tcW w:w="6973" w:type="dxa"/>
            <w:shd w:val="clear" w:color="auto" w:fill="F3F3F3"/>
          </w:tcPr>
          <w:p w14:paraId="76D11995" w14:textId="3527F4F5" w:rsidR="00F25E96" w:rsidRPr="00CF60CE" w:rsidRDefault="00F25E96" w:rsidP="00F25E96">
            <w:pPr>
              <w:spacing w:before="100" w:beforeAutospacing="1" w:after="100" w:afterAutospacing="1" w:line="240" w:lineRule="auto"/>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Съгласно</w:t>
            </w:r>
            <w:r w:rsidRPr="00F25E96">
              <w:rPr>
                <w:rFonts w:ascii="Times New Roman" w:eastAsia="Times New Roman" w:hAnsi="Times New Roman" w:cs="Times New Roman"/>
                <w:snapToGrid w:val="0"/>
                <w:sz w:val="24"/>
                <w:szCs w:val="24"/>
              </w:rPr>
              <w:t xml:space="preserve"> чл. 2, </w:t>
            </w:r>
            <w:proofErr w:type="spellStart"/>
            <w:r w:rsidRPr="00F25E96">
              <w:rPr>
                <w:rFonts w:ascii="Times New Roman" w:eastAsia="Times New Roman" w:hAnsi="Times New Roman" w:cs="Times New Roman"/>
                <w:snapToGrid w:val="0"/>
                <w:sz w:val="24"/>
                <w:szCs w:val="24"/>
              </w:rPr>
              <w:t>пар</w:t>
            </w:r>
            <w:proofErr w:type="spellEnd"/>
            <w:r w:rsidRPr="00F25E96">
              <w:rPr>
                <w:rFonts w:ascii="Times New Roman" w:eastAsia="Times New Roman" w:hAnsi="Times New Roman" w:cs="Times New Roman"/>
                <w:snapToGrid w:val="0"/>
                <w:sz w:val="24"/>
                <w:szCs w:val="24"/>
              </w:rPr>
              <w:t xml:space="preserve">. 80, </w:t>
            </w:r>
            <w:proofErr w:type="spellStart"/>
            <w:r w:rsidRPr="00F25E96">
              <w:rPr>
                <w:rFonts w:ascii="Times New Roman" w:eastAsia="Times New Roman" w:hAnsi="Times New Roman" w:cs="Times New Roman"/>
                <w:snapToGrid w:val="0"/>
                <w:sz w:val="24"/>
                <w:szCs w:val="24"/>
              </w:rPr>
              <w:t>букв</w:t>
            </w:r>
            <w:proofErr w:type="spellEnd"/>
            <w:r w:rsidRPr="00F25E96">
              <w:rPr>
                <w:rFonts w:ascii="Times New Roman" w:eastAsia="Times New Roman" w:hAnsi="Times New Roman" w:cs="Times New Roman"/>
                <w:snapToGrid w:val="0"/>
                <w:sz w:val="24"/>
                <w:szCs w:val="24"/>
              </w:rPr>
              <w:t xml:space="preserve">. „в“ от Регламент (ЕС) № 651/2014 </w:t>
            </w:r>
            <w:r>
              <w:rPr>
                <w:rFonts w:ascii="Times New Roman" w:eastAsia="Times New Roman" w:hAnsi="Times New Roman" w:cs="Times New Roman"/>
                <w:snapToGrid w:val="0"/>
                <w:sz w:val="24"/>
                <w:szCs w:val="24"/>
              </w:rPr>
              <w:t>„иновационно предприятие“</w:t>
            </w:r>
            <w:r w:rsidRPr="00F25E96">
              <w:rPr>
                <w:rFonts w:ascii="Times New Roman" w:eastAsia="Times New Roman" w:hAnsi="Times New Roman" w:cs="Times New Roman"/>
                <w:snapToGrid w:val="0"/>
                <w:sz w:val="24"/>
                <w:szCs w:val="24"/>
              </w:rPr>
              <w:t xml:space="preserve"> е  предприятие, което най-малко три години преди предоставянето на помощта по настоящата процедура е получило знак за качество „Печат за високи постижения“ от Европейския съвет по иновациите в съответствие с чл. 2, </w:t>
            </w:r>
            <w:proofErr w:type="spellStart"/>
            <w:r w:rsidRPr="00F25E96">
              <w:rPr>
                <w:rFonts w:ascii="Times New Roman" w:eastAsia="Times New Roman" w:hAnsi="Times New Roman" w:cs="Times New Roman"/>
                <w:snapToGrid w:val="0"/>
                <w:sz w:val="24"/>
                <w:szCs w:val="24"/>
              </w:rPr>
              <w:t>пар</w:t>
            </w:r>
            <w:proofErr w:type="spellEnd"/>
            <w:r w:rsidRPr="00F25E96">
              <w:rPr>
                <w:rFonts w:ascii="Times New Roman" w:eastAsia="Times New Roman" w:hAnsi="Times New Roman" w:cs="Times New Roman"/>
                <w:snapToGrid w:val="0"/>
                <w:sz w:val="24"/>
                <w:szCs w:val="24"/>
              </w:rPr>
              <w:t xml:space="preserve">. 23 и чл. 15, </w:t>
            </w:r>
            <w:proofErr w:type="spellStart"/>
            <w:r w:rsidRPr="00F25E96">
              <w:rPr>
                <w:rFonts w:ascii="Times New Roman" w:eastAsia="Times New Roman" w:hAnsi="Times New Roman" w:cs="Times New Roman"/>
                <w:snapToGrid w:val="0"/>
                <w:sz w:val="24"/>
                <w:szCs w:val="24"/>
              </w:rPr>
              <w:t>пар</w:t>
            </w:r>
            <w:proofErr w:type="spellEnd"/>
            <w:r w:rsidRPr="00F25E96">
              <w:rPr>
                <w:rFonts w:ascii="Times New Roman" w:eastAsia="Times New Roman" w:hAnsi="Times New Roman" w:cs="Times New Roman"/>
                <w:snapToGrid w:val="0"/>
                <w:sz w:val="24"/>
                <w:szCs w:val="24"/>
              </w:rPr>
              <w:t>. 2 от Регламент (ЕС) 2021/695 на Европейския парламент и на Съвета  или е получило инвестиция от фонда на Европейския съвет по иновациите, например инвестиция в контекста на програмата „Ускорител“, посочена в член 48, параграф 7 от Регламент (ЕС) 2021/695.</w:t>
            </w:r>
          </w:p>
        </w:tc>
      </w:tr>
      <w:tr w:rsidR="00CF60CE" w:rsidRPr="00CF60CE" w14:paraId="37D16B93" w14:textId="77777777" w:rsidTr="007A1A81">
        <w:tc>
          <w:tcPr>
            <w:tcW w:w="2633" w:type="dxa"/>
            <w:shd w:val="clear" w:color="auto" w:fill="E6E6E6"/>
          </w:tcPr>
          <w:p w14:paraId="36641880" w14:textId="56B7ED8D" w:rsidR="00CF60CE" w:rsidRPr="00CF60CE" w:rsidRDefault="00CF60CE" w:rsidP="00CF60CE">
            <w:pPr>
              <w:spacing w:before="100" w:beforeAutospacing="1" w:after="100" w:afterAutospacing="1" w:line="240" w:lineRule="auto"/>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Кандидати</w:t>
            </w:r>
            <w:r w:rsidRPr="00CF60CE">
              <w:rPr>
                <w:rFonts w:ascii="Times New Roman" w:eastAsia="Times New Roman" w:hAnsi="Times New Roman" w:cs="Times New Roman"/>
                <w:snapToGrid w:val="0"/>
                <w:sz w:val="24"/>
                <w:szCs w:val="24"/>
              </w:rPr>
              <w:t xml:space="preserve"> за безвъзмездна финансова помощ</w:t>
            </w:r>
          </w:p>
        </w:tc>
        <w:tc>
          <w:tcPr>
            <w:tcW w:w="6973" w:type="dxa"/>
            <w:shd w:val="clear" w:color="auto" w:fill="F3F3F3"/>
          </w:tcPr>
          <w:p w14:paraId="390CB6E6" w14:textId="0F591A2F" w:rsidR="00CF60CE" w:rsidRPr="00CF60CE" w:rsidRDefault="00CF60CE" w:rsidP="00CF60CE">
            <w:pPr>
              <w:spacing w:before="100" w:beforeAutospacing="1" w:after="100" w:afterAutospacing="1" w:line="240" w:lineRule="auto"/>
              <w:jc w:val="both"/>
              <w:rPr>
                <w:rFonts w:ascii="Times New Roman" w:eastAsia="Times New Roman" w:hAnsi="Times New Roman" w:cs="Times New Roman"/>
                <w:snapToGrid w:val="0"/>
                <w:sz w:val="24"/>
                <w:szCs w:val="24"/>
              </w:rPr>
            </w:pPr>
            <w:r w:rsidRPr="00CF60CE">
              <w:rPr>
                <w:rFonts w:ascii="Times New Roman" w:eastAsia="Times New Roman" w:hAnsi="Times New Roman" w:cs="Times New Roman"/>
                <w:snapToGrid w:val="0"/>
                <w:sz w:val="24"/>
                <w:szCs w:val="24"/>
              </w:rPr>
              <w:t>Съгласно § 1, т. 3 от Допълнителната разпоредба на ПМС 23/2023 - всички физически и юридически лица и техни обединения, които кандидатстват за безвъзмездна финансова помощ чрез подаване на проектно предложение или на финансов план за бюджетна линия.</w:t>
            </w:r>
          </w:p>
        </w:tc>
      </w:tr>
      <w:tr w:rsidR="00CF60CE" w:rsidRPr="00CF60CE" w14:paraId="3E7D0C46" w14:textId="77777777" w:rsidTr="007A1A81">
        <w:tc>
          <w:tcPr>
            <w:tcW w:w="2633" w:type="dxa"/>
            <w:shd w:val="clear" w:color="auto" w:fill="E6E6E6"/>
          </w:tcPr>
          <w:p w14:paraId="2B1D408F" w14:textId="3781EEEA" w:rsidR="00CF60CE" w:rsidRPr="00CF60CE" w:rsidRDefault="00CF60CE" w:rsidP="00CF60CE">
            <w:pPr>
              <w:spacing w:before="100" w:beforeAutospacing="1" w:after="100" w:afterAutospacing="1" w:line="240" w:lineRule="auto"/>
              <w:rPr>
                <w:rFonts w:ascii="Times New Roman" w:eastAsia="Times New Roman" w:hAnsi="Times New Roman" w:cs="Times New Roman"/>
                <w:b/>
                <w:snapToGrid w:val="0"/>
                <w:sz w:val="24"/>
                <w:szCs w:val="24"/>
              </w:rPr>
            </w:pPr>
            <w:r w:rsidRPr="00F5314F">
              <w:rPr>
                <w:rFonts w:ascii="Times New Roman" w:eastAsia="Times New Roman" w:hAnsi="Times New Roman"/>
                <w:b/>
                <w:snapToGrid w:val="0"/>
                <w:sz w:val="24"/>
                <w:szCs w:val="24"/>
              </w:rPr>
              <w:t>Конвенция на ООН за правата на хората с увреждания</w:t>
            </w:r>
          </w:p>
        </w:tc>
        <w:tc>
          <w:tcPr>
            <w:tcW w:w="6973" w:type="dxa"/>
            <w:shd w:val="clear" w:color="auto" w:fill="F3F3F3"/>
          </w:tcPr>
          <w:p w14:paraId="790D5C17" w14:textId="77777777" w:rsidR="00CF60CE" w:rsidRPr="00F5314F" w:rsidRDefault="00CF60CE" w:rsidP="00CF60C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Прилагането и изпълнението на Конвенцията на ООН за правата на хората с увреждания</w:t>
            </w:r>
            <w:r w:rsidRPr="00F5314F">
              <w:rPr>
                <w:rStyle w:val="FootnoteReference"/>
                <w:rFonts w:ascii="Times New Roman" w:eastAsia="Times New Roman" w:hAnsi="Times New Roman"/>
                <w:snapToGrid w:val="0"/>
                <w:sz w:val="24"/>
                <w:szCs w:val="24"/>
              </w:rPr>
              <w:footnoteReference w:id="1"/>
            </w:r>
            <w:r w:rsidRPr="00F5314F">
              <w:rPr>
                <w:rFonts w:ascii="Times New Roman" w:eastAsia="Times New Roman" w:hAnsi="Times New Roman"/>
                <w:snapToGrid w:val="0"/>
                <w:sz w:val="24"/>
                <w:szCs w:val="24"/>
              </w:rPr>
              <w:t xml:space="preserve"> цели осигуряване на зачитането и защитата на всички основни права на хората с увреждания, сред които са:</w:t>
            </w:r>
          </w:p>
          <w:p w14:paraId="1092CDB4" w14:textId="77777777" w:rsidR="00CF60CE" w:rsidRPr="00F5314F" w:rsidRDefault="00CF60CE" w:rsidP="00CF60C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право на равенство и забрана на дискриминация;</w:t>
            </w:r>
          </w:p>
          <w:p w14:paraId="6AEA22DE" w14:textId="77777777" w:rsidR="00CF60CE" w:rsidRPr="00F5314F" w:rsidRDefault="00CF60CE" w:rsidP="00CF60C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право на жените с увреждания за подпомагане при пълноценното им упражняване на всички права на човека и основни свободи;</w:t>
            </w:r>
          </w:p>
          <w:p w14:paraId="33488C7F" w14:textId="77777777" w:rsidR="00CF60CE" w:rsidRPr="00F5314F" w:rsidRDefault="00CF60CE" w:rsidP="00CF60C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право на децата с увреждания свободно да изразяват становища по всякакви въпроси, които ги засягат, като на техните становища се придава подобаваща тежест в съответствие с възрастта и степента им на зрялост;</w:t>
            </w:r>
          </w:p>
          <w:p w14:paraId="0142A2B5" w14:textId="77777777" w:rsidR="00CF60CE" w:rsidRPr="00F5314F" w:rsidRDefault="00CF60CE" w:rsidP="00CF60C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повишаване на общественото съзнание, достъпност, право на живот, равнопоставеност пред закона, достъп до правосъдие, защита срещу изтезания или жестоко, нечовешко или унизително отнасяне или наказание, защита срещу експлоатация, насилие и тормоз, защита на целостта и ненакърнимостта на личността;</w:t>
            </w:r>
          </w:p>
          <w:p w14:paraId="7468A090" w14:textId="77777777" w:rsidR="00CF60CE" w:rsidRPr="00F5314F" w:rsidRDefault="00CF60CE" w:rsidP="00CF60C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lastRenderedPageBreak/>
              <w:t xml:space="preserve">- независим живот и включване в общността, лична мобилност, свобода на изразяване и на мнение, свобода на достъпа до информация, зачитане на личната неприкосновеност, уважение към дома и семейството, образование, здравеопазване, </w:t>
            </w:r>
            <w:proofErr w:type="spellStart"/>
            <w:r w:rsidRPr="00F5314F">
              <w:rPr>
                <w:rFonts w:ascii="Times New Roman" w:eastAsia="Times New Roman" w:hAnsi="Times New Roman"/>
                <w:snapToGrid w:val="0"/>
                <w:sz w:val="24"/>
                <w:szCs w:val="24"/>
              </w:rPr>
              <w:t>абилитация</w:t>
            </w:r>
            <w:proofErr w:type="spellEnd"/>
            <w:r w:rsidRPr="00F5314F">
              <w:rPr>
                <w:rFonts w:ascii="Times New Roman" w:eastAsia="Times New Roman" w:hAnsi="Times New Roman"/>
                <w:snapToGrid w:val="0"/>
                <w:sz w:val="24"/>
                <w:szCs w:val="24"/>
              </w:rPr>
              <w:t xml:space="preserve"> и рехабилитация;</w:t>
            </w:r>
          </w:p>
          <w:p w14:paraId="1C4281DF" w14:textId="6CE4B7F6" w:rsidR="00CF60CE" w:rsidRPr="00CF60CE" w:rsidRDefault="00CF60CE" w:rsidP="00CF60CE">
            <w:pPr>
              <w:spacing w:before="100" w:beforeAutospacing="1" w:after="100" w:afterAutospacing="1" w:line="240" w:lineRule="auto"/>
              <w:jc w:val="both"/>
              <w:rPr>
                <w:rFonts w:ascii="Times New Roman" w:eastAsia="Times New Roman" w:hAnsi="Times New Roman" w:cs="Times New Roman"/>
                <w:snapToGrid w:val="0"/>
                <w:sz w:val="24"/>
                <w:szCs w:val="24"/>
              </w:rPr>
            </w:pPr>
            <w:r w:rsidRPr="00F5314F">
              <w:rPr>
                <w:rFonts w:ascii="Times New Roman" w:eastAsia="Times New Roman" w:hAnsi="Times New Roman"/>
                <w:snapToGrid w:val="0"/>
                <w:sz w:val="24"/>
                <w:szCs w:val="24"/>
              </w:rPr>
              <w:t>- работа и заетост, подходящ жизнен стандарт и социална закрила, участие в политическия и обществения живот, участие в културния живот, почивка, свободно време и спорт, статистика и събиране на данни, международно сътрудничество.</w:t>
            </w:r>
          </w:p>
        </w:tc>
      </w:tr>
      <w:tr w:rsidR="00CF60CE" w:rsidRPr="00CF60CE" w14:paraId="45A18D82" w14:textId="77777777" w:rsidTr="007A1A81">
        <w:tc>
          <w:tcPr>
            <w:tcW w:w="2633" w:type="dxa"/>
            <w:shd w:val="clear" w:color="auto" w:fill="E6E6E6"/>
          </w:tcPr>
          <w:p w14:paraId="7D69A7D8" w14:textId="361A8909" w:rsidR="00CF60CE" w:rsidRPr="00CF60CE" w:rsidRDefault="00CF60CE" w:rsidP="00CF60CE">
            <w:pPr>
              <w:spacing w:before="100" w:beforeAutospacing="1" w:after="100" w:afterAutospacing="1" w:line="240" w:lineRule="auto"/>
              <w:rPr>
                <w:rFonts w:ascii="Times New Roman" w:eastAsia="Times New Roman" w:hAnsi="Times New Roman" w:cs="Times New Roman"/>
                <w:b/>
                <w:snapToGrid w:val="0"/>
                <w:sz w:val="24"/>
                <w:szCs w:val="24"/>
              </w:rPr>
            </w:pPr>
            <w:r w:rsidRPr="00F5314F">
              <w:rPr>
                <w:rFonts w:ascii="Times New Roman" w:eastAsia="Times New Roman" w:hAnsi="Times New Roman"/>
                <w:b/>
                <w:snapToGrid w:val="0"/>
                <w:sz w:val="24"/>
                <w:szCs w:val="24"/>
              </w:rPr>
              <w:lastRenderedPageBreak/>
              <w:t>Лигнитни въглища</w:t>
            </w:r>
          </w:p>
        </w:tc>
        <w:tc>
          <w:tcPr>
            <w:tcW w:w="6973" w:type="dxa"/>
            <w:shd w:val="clear" w:color="auto" w:fill="F3F3F3"/>
          </w:tcPr>
          <w:p w14:paraId="5958FAFC" w14:textId="3307E06F" w:rsidR="00CF60CE" w:rsidRPr="00CF60CE" w:rsidRDefault="00CF60CE" w:rsidP="00CF60CE">
            <w:pPr>
              <w:spacing w:line="240" w:lineRule="auto"/>
              <w:jc w:val="both"/>
              <w:rPr>
                <w:rFonts w:ascii="Times New Roman" w:eastAsia="Times New Roman" w:hAnsi="Times New Roman" w:cs="Times New Roman"/>
                <w:snapToGrid w:val="0"/>
                <w:sz w:val="24"/>
                <w:szCs w:val="24"/>
              </w:rPr>
            </w:pPr>
            <w:r w:rsidRPr="00F5314F">
              <w:rPr>
                <w:rFonts w:ascii="Times New Roman" w:eastAsia="Times New Roman" w:hAnsi="Times New Roman"/>
                <w:snapToGrid w:val="0"/>
                <w:sz w:val="24"/>
                <w:szCs w:val="24"/>
              </w:rPr>
              <w:t xml:space="preserve">Съгласно чл. 2, </w:t>
            </w:r>
            <w:proofErr w:type="spellStart"/>
            <w:r w:rsidRPr="00F5314F">
              <w:rPr>
                <w:rFonts w:ascii="Times New Roman" w:eastAsia="Times New Roman" w:hAnsi="Times New Roman"/>
                <w:snapToGrid w:val="0"/>
                <w:sz w:val="24"/>
                <w:szCs w:val="24"/>
              </w:rPr>
              <w:t>пар</w:t>
            </w:r>
            <w:proofErr w:type="spellEnd"/>
            <w:r w:rsidRPr="00F5314F">
              <w:rPr>
                <w:rFonts w:ascii="Times New Roman" w:eastAsia="Times New Roman" w:hAnsi="Times New Roman"/>
                <w:snapToGrid w:val="0"/>
                <w:sz w:val="24"/>
                <w:szCs w:val="24"/>
              </w:rPr>
              <w:t xml:space="preserve">. 43а от Регламент (ЕО) № 651/2014 „лигнитни въглища“ означава нискокалорични от категория В, </w:t>
            </w:r>
            <w:proofErr w:type="spellStart"/>
            <w:r w:rsidRPr="00F5314F">
              <w:rPr>
                <w:rFonts w:ascii="Times New Roman" w:eastAsia="Times New Roman" w:hAnsi="Times New Roman"/>
                <w:snapToGrid w:val="0"/>
                <w:sz w:val="24"/>
                <w:szCs w:val="24"/>
              </w:rPr>
              <w:t>ортолигнитни</w:t>
            </w:r>
            <w:proofErr w:type="spellEnd"/>
            <w:r w:rsidRPr="00F5314F">
              <w:rPr>
                <w:rFonts w:ascii="Times New Roman" w:eastAsia="Times New Roman" w:hAnsi="Times New Roman"/>
                <w:snapToGrid w:val="0"/>
                <w:sz w:val="24"/>
                <w:szCs w:val="24"/>
              </w:rPr>
              <w:t xml:space="preserve"> нискокалорични от категория Б или мета лигнитни въглища, както са определени в Международната система за кодификация на въглищата, съставена от Икономическата комисия за Европа на ООН.</w:t>
            </w:r>
          </w:p>
        </w:tc>
      </w:tr>
      <w:tr w:rsidR="00CF60CE" w:rsidRPr="00CF60CE" w14:paraId="39C49447" w14:textId="77777777" w:rsidTr="007A1A81">
        <w:tc>
          <w:tcPr>
            <w:tcW w:w="2633" w:type="dxa"/>
            <w:shd w:val="clear" w:color="auto" w:fill="E6E6E6"/>
          </w:tcPr>
          <w:p w14:paraId="41E752D1" w14:textId="5039C4B6" w:rsidR="00CF60CE" w:rsidRPr="00CF60CE" w:rsidRDefault="00CF60CE" w:rsidP="00CF60CE">
            <w:pPr>
              <w:spacing w:before="100" w:beforeAutospacing="1" w:after="100" w:afterAutospacing="1" w:line="240" w:lineRule="auto"/>
              <w:rPr>
                <w:rFonts w:ascii="Times New Roman" w:eastAsia="Times New Roman" w:hAnsi="Times New Roman" w:cs="Times New Roman"/>
                <w:b/>
                <w:snapToGrid w:val="0"/>
                <w:sz w:val="24"/>
                <w:szCs w:val="24"/>
              </w:rPr>
            </w:pPr>
            <w:r w:rsidRPr="00F5314F">
              <w:rPr>
                <w:rFonts w:ascii="Times New Roman" w:eastAsia="Times New Roman" w:hAnsi="Times New Roman"/>
                <w:b/>
                <w:snapToGrid w:val="0"/>
                <w:sz w:val="24"/>
                <w:szCs w:val="24"/>
              </w:rPr>
              <w:t>Материални активи</w:t>
            </w:r>
          </w:p>
        </w:tc>
        <w:tc>
          <w:tcPr>
            <w:tcW w:w="6973" w:type="dxa"/>
            <w:shd w:val="clear" w:color="auto" w:fill="F3F3F3"/>
          </w:tcPr>
          <w:p w14:paraId="533C5168" w14:textId="77777777" w:rsidR="00CF60CE" w:rsidRPr="00F5314F" w:rsidRDefault="00CF60CE" w:rsidP="00CF60C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По смисъла на чл. 2, </w:t>
            </w:r>
            <w:proofErr w:type="spellStart"/>
            <w:r w:rsidRPr="00F5314F">
              <w:rPr>
                <w:rFonts w:ascii="Times New Roman" w:eastAsia="Times New Roman" w:hAnsi="Times New Roman"/>
                <w:snapToGrid w:val="0"/>
                <w:sz w:val="24"/>
                <w:szCs w:val="24"/>
              </w:rPr>
              <w:t>пар</w:t>
            </w:r>
            <w:proofErr w:type="spellEnd"/>
            <w:r w:rsidRPr="00F5314F">
              <w:rPr>
                <w:rFonts w:ascii="Times New Roman" w:eastAsia="Times New Roman" w:hAnsi="Times New Roman"/>
                <w:snapToGrid w:val="0"/>
                <w:sz w:val="24"/>
                <w:szCs w:val="24"/>
              </w:rPr>
              <w:t>. 29 от Регламент (ЕО) № 651/2014 „материални активи</w:t>
            </w:r>
            <w:r>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 xml:space="preserve"> означава активи, състоящи се от земя, сгради, съоръжения, машини и оборудване. </w:t>
            </w:r>
          </w:p>
          <w:p w14:paraId="6260E1D5" w14:textId="4C0BF413" w:rsidR="00CF60CE" w:rsidRPr="00CF60CE" w:rsidRDefault="00CF60CE" w:rsidP="00CF60CE">
            <w:pPr>
              <w:spacing w:line="240" w:lineRule="auto"/>
              <w:jc w:val="both"/>
              <w:rPr>
                <w:rFonts w:ascii="Times New Roman" w:eastAsia="Times New Roman" w:hAnsi="Times New Roman" w:cs="Times New Roman"/>
                <w:snapToGrid w:val="0"/>
                <w:sz w:val="24"/>
                <w:szCs w:val="24"/>
              </w:rPr>
            </w:pPr>
            <w:r w:rsidRPr="00F5314F">
              <w:rPr>
                <w:rFonts w:ascii="Times New Roman" w:eastAsia="Times New Roman" w:hAnsi="Times New Roman"/>
                <w:b/>
                <w:snapToGrid w:val="0"/>
                <w:sz w:val="24"/>
                <w:szCs w:val="24"/>
              </w:rPr>
              <w:t>За целите на настоящата процедура допустими са само разходи за съоръжения, машини и оборудване.</w:t>
            </w:r>
          </w:p>
        </w:tc>
      </w:tr>
      <w:tr w:rsidR="00CF60CE" w:rsidRPr="00CF60CE" w14:paraId="7E49F745" w14:textId="77777777" w:rsidTr="007A1A81">
        <w:tc>
          <w:tcPr>
            <w:tcW w:w="2633" w:type="dxa"/>
            <w:shd w:val="clear" w:color="auto" w:fill="E6E6E6"/>
          </w:tcPr>
          <w:p w14:paraId="1CF0698B" w14:textId="019F48F5" w:rsidR="00CF60CE" w:rsidRPr="00CF60CE" w:rsidRDefault="00CF60CE" w:rsidP="00CF60CE">
            <w:pPr>
              <w:spacing w:before="100" w:beforeAutospacing="1" w:after="100" w:afterAutospacing="1" w:line="240" w:lineRule="auto"/>
              <w:rPr>
                <w:rFonts w:ascii="Times New Roman" w:eastAsia="Times New Roman" w:hAnsi="Times New Roman" w:cs="Times New Roman"/>
                <w:b/>
                <w:snapToGrid w:val="0"/>
                <w:sz w:val="24"/>
                <w:szCs w:val="24"/>
              </w:rPr>
            </w:pPr>
            <w:r w:rsidRPr="00F5314F">
              <w:rPr>
                <w:rFonts w:ascii="Times New Roman" w:hAnsi="Times New Roman"/>
                <w:b/>
                <w:sz w:val="24"/>
                <w:szCs w:val="24"/>
              </w:rPr>
              <w:t>Микро-, малки и средни предприятия (МСП)</w:t>
            </w:r>
          </w:p>
        </w:tc>
        <w:tc>
          <w:tcPr>
            <w:tcW w:w="6973" w:type="dxa"/>
            <w:shd w:val="clear" w:color="auto" w:fill="F3F3F3"/>
          </w:tcPr>
          <w:p w14:paraId="56BEA07D" w14:textId="77777777" w:rsidR="00CF60CE" w:rsidRPr="00F5314F" w:rsidRDefault="00CF60CE" w:rsidP="00CF60CE">
            <w:pPr>
              <w:spacing w:after="120" w:line="240" w:lineRule="auto"/>
              <w:jc w:val="both"/>
              <w:rPr>
                <w:rFonts w:ascii="Times New Roman" w:hAnsi="Times New Roman"/>
                <w:sz w:val="24"/>
                <w:szCs w:val="24"/>
              </w:rPr>
            </w:pPr>
            <w:r w:rsidRPr="00F5314F">
              <w:rPr>
                <w:rFonts w:ascii="Times New Roman" w:hAnsi="Times New Roman"/>
                <w:sz w:val="24"/>
                <w:szCs w:val="24"/>
              </w:rPr>
              <w:t>По смисъла на чл. 3 от Закона за малките и средните предприятия (ЗМСП) и Приложение I към Регламент (ЕС) № 651/2014 на Комисията относно определението за микро-, малки и средни предприятия.</w:t>
            </w:r>
          </w:p>
          <w:p w14:paraId="6A1FD22C" w14:textId="77777777" w:rsidR="00CF60CE" w:rsidRPr="00F5314F" w:rsidRDefault="00CF60CE" w:rsidP="00CF60C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3 от ЗМСП, категорията малки и средни предприятия включва предприятията, които имат:</w:t>
            </w:r>
          </w:p>
          <w:p w14:paraId="61CEC377" w14:textId="77777777" w:rsidR="00CF60CE" w:rsidRPr="00F5314F" w:rsidRDefault="00CF60CE" w:rsidP="00CF60C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1. </w:t>
            </w:r>
            <w:proofErr w:type="spellStart"/>
            <w:r w:rsidRPr="00F5314F">
              <w:rPr>
                <w:rFonts w:ascii="Times New Roman" w:eastAsia="Times New Roman" w:hAnsi="Times New Roman"/>
                <w:snapToGrid w:val="0"/>
                <w:sz w:val="24"/>
                <w:szCs w:val="24"/>
              </w:rPr>
              <w:t>средносписъчен</w:t>
            </w:r>
            <w:proofErr w:type="spellEnd"/>
            <w:r w:rsidRPr="00F5314F">
              <w:rPr>
                <w:rFonts w:ascii="Times New Roman" w:eastAsia="Times New Roman" w:hAnsi="Times New Roman"/>
                <w:snapToGrid w:val="0"/>
                <w:sz w:val="24"/>
                <w:szCs w:val="24"/>
              </w:rPr>
              <w:t xml:space="preserve"> брой на персонала, по-малък от 250 души, и</w:t>
            </w:r>
          </w:p>
          <w:p w14:paraId="542D9222" w14:textId="77777777" w:rsidR="00CF60CE" w:rsidRPr="00F5314F" w:rsidRDefault="00CF60CE" w:rsidP="00CF60C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2. годишен оборот, който не превишава 97 500 000 лв., и/или стойност на активите, която не превишава 84 000 000 лв.</w:t>
            </w:r>
          </w:p>
          <w:p w14:paraId="734BFD63" w14:textId="77777777" w:rsidR="00CF60CE" w:rsidRPr="00F5314F" w:rsidRDefault="00CF60CE" w:rsidP="00CF60C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От предприятията по ал. 1 малки предприятия са тези, които имат:</w:t>
            </w:r>
          </w:p>
          <w:p w14:paraId="4544B367" w14:textId="77777777" w:rsidR="00CF60CE" w:rsidRPr="00F5314F" w:rsidRDefault="00CF60CE" w:rsidP="00CF60C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1. </w:t>
            </w:r>
            <w:proofErr w:type="spellStart"/>
            <w:r w:rsidRPr="00F5314F">
              <w:rPr>
                <w:rFonts w:ascii="Times New Roman" w:eastAsia="Times New Roman" w:hAnsi="Times New Roman"/>
                <w:snapToGrid w:val="0"/>
                <w:sz w:val="24"/>
                <w:szCs w:val="24"/>
              </w:rPr>
              <w:t>средносписъчен</w:t>
            </w:r>
            <w:proofErr w:type="spellEnd"/>
            <w:r w:rsidRPr="00F5314F">
              <w:rPr>
                <w:rFonts w:ascii="Times New Roman" w:eastAsia="Times New Roman" w:hAnsi="Times New Roman"/>
                <w:snapToGrid w:val="0"/>
                <w:sz w:val="24"/>
                <w:szCs w:val="24"/>
              </w:rPr>
              <w:t xml:space="preserve"> брой на персонала, по-малък от 50 души, и</w:t>
            </w:r>
          </w:p>
          <w:p w14:paraId="77A35ABE" w14:textId="77777777" w:rsidR="00CF60CE" w:rsidRPr="00F5314F" w:rsidRDefault="00CF60CE" w:rsidP="00CF60C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2. годишен оборот, който не превишава 19 500 000 лв., и/или стойност на активите, която не превишава 19 500 000 лв.</w:t>
            </w:r>
          </w:p>
          <w:p w14:paraId="50DD338B" w14:textId="77777777" w:rsidR="00CF60CE" w:rsidRPr="00F5314F" w:rsidRDefault="00CF60CE" w:rsidP="00CF60C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От предприятията по ал. 1 </w:t>
            </w:r>
            <w:proofErr w:type="spellStart"/>
            <w:r w:rsidRPr="00F5314F">
              <w:rPr>
                <w:rFonts w:ascii="Times New Roman" w:eastAsia="Times New Roman" w:hAnsi="Times New Roman"/>
                <w:snapToGrid w:val="0"/>
                <w:sz w:val="24"/>
                <w:szCs w:val="24"/>
              </w:rPr>
              <w:t>микропредприятия</w:t>
            </w:r>
            <w:proofErr w:type="spellEnd"/>
            <w:r w:rsidRPr="00F5314F">
              <w:rPr>
                <w:rFonts w:ascii="Times New Roman" w:eastAsia="Times New Roman" w:hAnsi="Times New Roman"/>
                <w:snapToGrid w:val="0"/>
                <w:sz w:val="24"/>
                <w:szCs w:val="24"/>
              </w:rPr>
              <w:t xml:space="preserve"> са тези, които имат:</w:t>
            </w:r>
          </w:p>
          <w:p w14:paraId="510F3389" w14:textId="77777777" w:rsidR="00CF60CE" w:rsidRPr="00F5314F" w:rsidRDefault="00CF60CE" w:rsidP="00CF60C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1. </w:t>
            </w:r>
            <w:proofErr w:type="spellStart"/>
            <w:r w:rsidRPr="00F5314F">
              <w:rPr>
                <w:rFonts w:ascii="Times New Roman" w:eastAsia="Times New Roman" w:hAnsi="Times New Roman"/>
                <w:snapToGrid w:val="0"/>
                <w:sz w:val="24"/>
                <w:szCs w:val="24"/>
              </w:rPr>
              <w:t>средносписъчен</w:t>
            </w:r>
            <w:proofErr w:type="spellEnd"/>
            <w:r w:rsidRPr="00F5314F">
              <w:rPr>
                <w:rFonts w:ascii="Times New Roman" w:eastAsia="Times New Roman" w:hAnsi="Times New Roman"/>
                <w:snapToGrid w:val="0"/>
                <w:sz w:val="24"/>
                <w:szCs w:val="24"/>
              </w:rPr>
              <w:t xml:space="preserve"> брой на персонала, по-малък от 10 души, и</w:t>
            </w:r>
          </w:p>
          <w:p w14:paraId="4F38F904" w14:textId="77777777" w:rsidR="00CF60CE" w:rsidRPr="00F5314F" w:rsidRDefault="00CF60CE" w:rsidP="00CF60C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2. годишен оборот, който не превишава 3 900 000 лв., и/или стойност на активите, която не превишава 3 900 000 лв.</w:t>
            </w:r>
          </w:p>
          <w:p w14:paraId="4E0DB0F1" w14:textId="57B5FE05" w:rsidR="00CF60CE" w:rsidRPr="00CF60CE" w:rsidRDefault="00CF60CE" w:rsidP="00CF60CE">
            <w:pPr>
              <w:spacing w:line="240" w:lineRule="auto"/>
              <w:jc w:val="both"/>
              <w:rPr>
                <w:rFonts w:ascii="Times New Roman" w:eastAsia="Times New Roman" w:hAnsi="Times New Roman" w:cs="Times New Roman"/>
                <w:snapToGrid w:val="0"/>
                <w:sz w:val="24"/>
                <w:szCs w:val="24"/>
              </w:rPr>
            </w:pPr>
            <w:r w:rsidRPr="00F5314F">
              <w:rPr>
                <w:rFonts w:ascii="Times New Roman" w:eastAsia="Times New Roman" w:hAnsi="Times New Roman"/>
                <w:snapToGrid w:val="0"/>
                <w:sz w:val="24"/>
                <w:szCs w:val="24"/>
              </w:rPr>
              <w:t>Данните за персонал, оборот и активи на предприятието се определят като се вземат предвид всички отношения на партньорство и свързаност съгласно чл. 4 от ЗМСП.</w:t>
            </w:r>
          </w:p>
        </w:tc>
      </w:tr>
      <w:tr w:rsidR="00CF60CE" w:rsidRPr="00CF60CE" w14:paraId="1985BDB2" w14:textId="77777777" w:rsidTr="007A1A81">
        <w:tc>
          <w:tcPr>
            <w:tcW w:w="2633" w:type="dxa"/>
            <w:shd w:val="clear" w:color="auto" w:fill="E6E6E6"/>
          </w:tcPr>
          <w:p w14:paraId="4D5D1175" w14:textId="77777777" w:rsidR="00CF60CE" w:rsidRPr="00CF60CE" w:rsidRDefault="00CF60CE" w:rsidP="00CF60CE">
            <w:pPr>
              <w:spacing w:before="100" w:beforeAutospacing="1" w:after="100" w:afterAutospacing="1" w:line="240" w:lineRule="auto"/>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lastRenderedPageBreak/>
              <w:t xml:space="preserve">Място на изпълнение на проекта </w:t>
            </w:r>
          </w:p>
        </w:tc>
        <w:tc>
          <w:tcPr>
            <w:tcW w:w="6973" w:type="dxa"/>
            <w:shd w:val="clear" w:color="auto" w:fill="F3F3F3"/>
          </w:tcPr>
          <w:p w14:paraId="06738A1A" w14:textId="583FC1C9" w:rsidR="00CF60CE" w:rsidRPr="00CF60CE" w:rsidRDefault="00CF60CE" w:rsidP="00CF60CE">
            <w:pPr>
              <w:spacing w:line="240" w:lineRule="auto"/>
              <w:jc w:val="both"/>
              <w:rPr>
                <w:rFonts w:ascii="Times New Roman" w:eastAsia="Times New Roman" w:hAnsi="Times New Roman" w:cs="Times New Roman"/>
                <w:snapToGrid w:val="0"/>
                <w:sz w:val="24"/>
                <w:szCs w:val="24"/>
              </w:rPr>
            </w:pPr>
            <w:r w:rsidRPr="00CF60CE">
              <w:rPr>
                <w:rFonts w:ascii="Times New Roman" w:eastAsia="Times New Roman" w:hAnsi="Times New Roman" w:cs="Times New Roman"/>
                <w:snapToGrid w:val="0"/>
                <w:sz w:val="24"/>
                <w:szCs w:val="24"/>
              </w:rPr>
              <w:t>Мястото на физическото осъществяване на проектното предложение.</w:t>
            </w:r>
          </w:p>
        </w:tc>
      </w:tr>
      <w:tr w:rsidR="00CF60CE" w:rsidRPr="00CF60CE" w14:paraId="227A112D" w14:textId="77777777" w:rsidTr="007A1A81">
        <w:tc>
          <w:tcPr>
            <w:tcW w:w="2633" w:type="dxa"/>
            <w:shd w:val="clear" w:color="auto" w:fill="E6E6E6"/>
          </w:tcPr>
          <w:p w14:paraId="4A4C2F07" w14:textId="6AE9625E" w:rsidR="00CF60CE" w:rsidRPr="00CF60CE" w:rsidRDefault="00CF60CE" w:rsidP="00CF60CE">
            <w:pPr>
              <w:spacing w:before="100" w:beforeAutospacing="1" w:after="100" w:afterAutospacing="1" w:line="240" w:lineRule="auto"/>
              <w:rPr>
                <w:rFonts w:ascii="Times New Roman" w:eastAsia="Times New Roman" w:hAnsi="Times New Roman" w:cs="Times New Roman"/>
                <w:b/>
                <w:snapToGrid w:val="0"/>
                <w:sz w:val="24"/>
                <w:szCs w:val="24"/>
              </w:rPr>
            </w:pPr>
            <w:r w:rsidRPr="00F5314F">
              <w:rPr>
                <w:rFonts w:ascii="Times New Roman" w:hAnsi="Times New Roman"/>
                <w:b/>
                <w:sz w:val="24"/>
                <w:szCs w:val="24"/>
              </w:rPr>
              <w:t>Национално съфинансиране</w:t>
            </w:r>
          </w:p>
        </w:tc>
        <w:tc>
          <w:tcPr>
            <w:tcW w:w="6973" w:type="dxa"/>
            <w:shd w:val="clear" w:color="auto" w:fill="F3F3F3"/>
          </w:tcPr>
          <w:p w14:paraId="67B4E9CB" w14:textId="166F9096" w:rsidR="00CF60CE" w:rsidRPr="00CF60CE" w:rsidRDefault="00CF60CE" w:rsidP="00CF60CE">
            <w:pPr>
              <w:spacing w:line="240" w:lineRule="auto"/>
              <w:jc w:val="both"/>
              <w:rPr>
                <w:rFonts w:ascii="Times New Roman" w:eastAsia="Times New Roman" w:hAnsi="Times New Roman" w:cs="Times New Roman"/>
                <w:snapToGrid w:val="0"/>
                <w:sz w:val="24"/>
                <w:szCs w:val="24"/>
              </w:rPr>
            </w:pPr>
            <w:r w:rsidRPr="00F5314F">
              <w:rPr>
                <w:rFonts w:ascii="Times New Roman" w:hAnsi="Times New Roman"/>
                <w:sz w:val="24"/>
                <w:szCs w:val="24"/>
              </w:rPr>
              <w:t>Съфинансиране, осигурено чрез трансфер от централния бюджет съгласно чл. 60, т. 2 от Закона за публичните финанси.</w:t>
            </w:r>
          </w:p>
        </w:tc>
      </w:tr>
      <w:tr w:rsidR="00DB3130" w:rsidRPr="00CF60CE" w14:paraId="31BBECDB" w14:textId="77777777" w:rsidTr="007A1A81">
        <w:tc>
          <w:tcPr>
            <w:tcW w:w="2633" w:type="dxa"/>
            <w:shd w:val="clear" w:color="auto" w:fill="E6E6E6"/>
          </w:tcPr>
          <w:p w14:paraId="568E8B57" w14:textId="43490667" w:rsidR="00DB3130" w:rsidRPr="00F5314F" w:rsidRDefault="00DB3130" w:rsidP="00DB3130">
            <w:pPr>
              <w:spacing w:before="100" w:beforeAutospacing="1" w:after="100" w:afterAutospacing="1" w:line="240" w:lineRule="auto"/>
              <w:rPr>
                <w:rFonts w:ascii="Times New Roman" w:hAnsi="Times New Roman"/>
                <w:b/>
                <w:sz w:val="24"/>
                <w:szCs w:val="24"/>
              </w:rPr>
            </w:pPr>
            <w:r w:rsidRPr="00F5314F">
              <w:rPr>
                <w:rFonts w:ascii="Times New Roman" w:eastAsia="Times New Roman" w:hAnsi="Times New Roman"/>
                <w:b/>
                <w:snapToGrid w:val="0"/>
                <w:sz w:val="24"/>
                <w:szCs w:val="24"/>
              </w:rPr>
              <w:t>Нематериални активи</w:t>
            </w:r>
          </w:p>
        </w:tc>
        <w:tc>
          <w:tcPr>
            <w:tcW w:w="6973" w:type="dxa"/>
            <w:shd w:val="clear" w:color="auto" w:fill="F3F3F3"/>
          </w:tcPr>
          <w:p w14:paraId="35845BA1" w14:textId="0914F343" w:rsidR="00DB3130" w:rsidRPr="00DB3130" w:rsidRDefault="00DB3130" w:rsidP="00DB3130">
            <w:pPr>
              <w:spacing w:after="120" w:line="240" w:lineRule="auto"/>
              <w:jc w:val="both"/>
              <w:rPr>
                <w:rFonts w:ascii="Times New Roman" w:eastAsia="Times New Roman" w:hAnsi="Times New Roman"/>
                <w:snapToGrid w:val="0"/>
                <w:sz w:val="24"/>
                <w:szCs w:val="24"/>
                <w:lang w:val="bg"/>
              </w:rPr>
            </w:pPr>
            <w:r w:rsidRPr="00F5314F">
              <w:rPr>
                <w:rFonts w:ascii="Times New Roman" w:eastAsia="Times New Roman" w:hAnsi="Times New Roman"/>
                <w:snapToGrid w:val="0"/>
                <w:sz w:val="24"/>
                <w:szCs w:val="24"/>
              </w:rPr>
              <w:t xml:space="preserve">По смисъла на чл. 2, </w:t>
            </w:r>
            <w:proofErr w:type="spellStart"/>
            <w:r w:rsidRPr="00F5314F">
              <w:rPr>
                <w:rFonts w:ascii="Times New Roman" w:eastAsia="Times New Roman" w:hAnsi="Times New Roman"/>
                <w:snapToGrid w:val="0"/>
                <w:sz w:val="24"/>
                <w:szCs w:val="24"/>
              </w:rPr>
              <w:t>пар</w:t>
            </w:r>
            <w:proofErr w:type="spellEnd"/>
            <w:r w:rsidRPr="00F5314F">
              <w:rPr>
                <w:rFonts w:ascii="Times New Roman" w:eastAsia="Times New Roman" w:hAnsi="Times New Roman"/>
                <w:snapToGrid w:val="0"/>
                <w:sz w:val="24"/>
                <w:szCs w:val="24"/>
              </w:rPr>
              <w:t xml:space="preserve">. 30 от Регламент (ЕО) № 651/2014 „Нематериални активи“ </w:t>
            </w:r>
            <w:r w:rsidRPr="00F5314F">
              <w:rPr>
                <w:rFonts w:ascii="Times New Roman" w:eastAsia="Times New Roman" w:hAnsi="Times New Roman"/>
                <w:snapToGrid w:val="0"/>
                <w:sz w:val="24"/>
                <w:szCs w:val="24"/>
                <w:lang w:val="bg"/>
              </w:rPr>
              <w:t xml:space="preserve">означава активи, които нямат физически или финансов израз, като патенти, лицензи, </w:t>
            </w:r>
            <w:proofErr w:type="spellStart"/>
            <w:r w:rsidRPr="00F5314F">
              <w:rPr>
                <w:rFonts w:ascii="Times New Roman" w:eastAsia="Times New Roman" w:hAnsi="Times New Roman"/>
                <w:snapToGrid w:val="0"/>
                <w:sz w:val="24"/>
                <w:szCs w:val="24"/>
                <w:lang w:val="bg"/>
              </w:rPr>
              <w:t>ноу</w:t>
            </w:r>
            <w:proofErr w:type="spellEnd"/>
            <w:r w:rsidRPr="00F5314F">
              <w:rPr>
                <w:rFonts w:ascii="Times New Roman" w:eastAsia="Times New Roman" w:hAnsi="Times New Roman"/>
                <w:snapToGrid w:val="0"/>
                <w:sz w:val="24"/>
                <w:szCs w:val="24"/>
                <w:lang w:val="bg"/>
              </w:rPr>
              <w:t xml:space="preserve">- </w:t>
            </w:r>
            <w:proofErr w:type="spellStart"/>
            <w:r w:rsidRPr="00F5314F">
              <w:rPr>
                <w:rFonts w:ascii="Times New Roman" w:eastAsia="Times New Roman" w:hAnsi="Times New Roman"/>
                <w:snapToGrid w:val="0"/>
                <w:sz w:val="24"/>
                <w:szCs w:val="24"/>
                <w:lang w:val="bg"/>
              </w:rPr>
              <w:t>хау</w:t>
            </w:r>
            <w:proofErr w:type="spellEnd"/>
            <w:r w:rsidRPr="00F5314F">
              <w:rPr>
                <w:rFonts w:ascii="Times New Roman" w:eastAsia="Times New Roman" w:hAnsi="Times New Roman"/>
                <w:snapToGrid w:val="0"/>
                <w:sz w:val="24"/>
                <w:szCs w:val="24"/>
                <w:lang w:val="bg"/>
              </w:rPr>
              <w:t xml:space="preserve"> или друга интелектуална собственост.</w:t>
            </w:r>
          </w:p>
        </w:tc>
      </w:tr>
      <w:tr w:rsidR="00CF60CE" w:rsidRPr="00CF60CE" w14:paraId="55A7BAB0" w14:textId="77777777" w:rsidTr="007A1A81">
        <w:tc>
          <w:tcPr>
            <w:tcW w:w="2633" w:type="dxa"/>
            <w:shd w:val="clear" w:color="auto" w:fill="E6E6E6"/>
          </w:tcPr>
          <w:p w14:paraId="7764DEE5" w14:textId="7286A3E2" w:rsidR="00CF60CE" w:rsidRPr="00CF60CE" w:rsidRDefault="00CF60CE" w:rsidP="00CF60CE">
            <w:pPr>
              <w:spacing w:before="100" w:beforeAutospacing="1" w:after="100" w:afterAutospacing="1" w:line="240" w:lineRule="auto"/>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Ненанасяне на значителни вреди</w:t>
            </w:r>
          </w:p>
        </w:tc>
        <w:tc>
          <w:tcPr>
            <w:tcW w:w="6973" w:type="dxa"/>
            <w:shd w:val="clear" w:color="auto" w:fill="F3F3F3"/>
          </w:tcPr>
          <w:p w14:paraId="73C7DE4A" w14:textId="5C6AD851" w:rsidR="00CF60CE" w:rsidRPr="00CF60CE" w:rsidRDefault="00CF60CE" w:rsidP="00CF60CE">
            <w:pPr>
              <w:spacing w:before="100" w:beforeAutospacing="1" w:after="100" w:afterAutospacing="1" w:line="240" w:lineRule="auto"/>
              <w:jc w:val="both"/>
              <w:rPr>
                <w:rFonts w:ascii="Times New Roman" w:eastAsia="Times New Roman" w:hAnsi="Times New Roman" w:cs="Times New Roman"/>
                <w:snapToGrid w:val="0"/>
                <w:sz w:val="24"/>
                <w:szCs w:val="24"/>
              </w:rPr>
            </w:pPr>
            <w:r w:rsidRPr="00CF60CE">
              <w:rPr>
                <w:rFonts w:ascii="Times New Roman" w:eastAsia="Times New Roman" w:hAnsi="Times New Roman" w:cs="Times New Roman"/>
                <w:snapToGrid w:val="0"/>
                <w:sz w:val="24"/>
                <w:szCs w:val="24"/>
              </w:rPr>
              <w:t>„Ненанасяне на значителни вреди“ означава да не се подкрепят или извършват икономически дейности, които нанасят значителни вреди на която и да било екологична цел, когато е приложимо, по смисъла на член 17 от Регламент (ЕС) 2020/852.</w:t>
            </w:r>
          </w:p>
        </w:tc>
      </w:tr>
      <w:tr w:rsidR="00CF60CE" w:rsidRPr="00CF60CE" w14:paraId="7F4F477F" w14:textId="77777777" w:rsidTr="007A1A81">
        <w:tc>
          <w:tcPr>
            <w:tcW w:w="2633" w:type="dxa"/>
            <w:shd w:val="clear" w:color="auto" w:fill="E6E6E6"/>
          </w:tcPr>
          <w:p w14:paraId="51DB54EB" w14:textId="77777777" w:rsidR="00CF60CE" w:rsidRPr="00CF60CE" w:rsidRDefault="00CF60CE" w:rsidP="00CF60CE">
            <w:pPr>
              <w:spacing w:before="100" w:beforeAutospacing="1" w:after="100" w:afterAutospacing="1" w:line="240" w:lineRule="auto"/>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 xml:space="preserve">Нередност </w:t>
            </w:r>
          </w:p>
        </w:tc>
        <w:tc>
          <w:tcPr>
            <w:tcW w:w="6973" w:type="dxa"/>
            <w:shd w:val="clear" w:color="auto" w:fill="F3F3F3"/>
          </w:tcPr>
          <w:p w14:paraId="6655A95D" w14:textId="00DC955B" w:rsidR="00CF60CE" w:rsidRPr="00CF60CE" w:rsidRDefault="00DB3130" w:rsidP="00CF60CE">
            <w:pPr>
              <w:spacing w:before="100" w:beforeAutospacing="1" w:after="100" w:afterAutospacing="1" w:line="240" w:lineRule="auto"/>
              <w:jc w:val="both"/>
              <w:rPr>
                <w:rFonts w:ascii="Times New Roman" w:eastAsia="Times New Roman" w:hAnsi="Times New Roman" w:cs="Times New Roman"/>
                <w:snapToGrid w:val="0"/>
                <w:sz w:val="24"/>
                <w:szCs w:val="24"/>
              </w:rPr>
            </w:pPr>
            <w:r w:rsidRPr="00F5314F">
              <w:rPr>
                <w:rFonts w:ascii="Times New Roman" w:eastAsia="Times New Roman" w:hAnsi="Times New Roman"/>
                <w:snapToGrid w:val="0"/>
                <w:sz w:val="24"/>
                <w:szCs w:val="24"/>
              </w:rPr>
              <w:t>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tc>
      </w:tr>
      <w:tr w:rsidR="00C676C5" w:rsidRPr="00CF60CE" w14:paraId="27611784" w14:textId="77777777" w:rsidTr="007A1A81">
        <w:tc>
          <w:tcPr>
            <w:tcW w:w="2633" w:type="dxa"/>
            <w:shd w:val="clear" w:color="auto" w:fill="E6E6E6"/>
          </w:tcPr>
          <w:p w14:paraId="559DF58D" w14:textId="65FF4E3A" w:rsidR="00C676C5" w:rsidRPr="00CF60CE" w:rsidRDefault="00C676C5" w:rsidP="00CF60CE">
            <w:pPr>
              <w:spacing w:before="100" w:beforeAutospacing="1" w:after="100" w:afterAutospacing="1" w:line="240" w:lineRule="auto"/>
              <w:rPr>
                <w:rFonts w:ascii="Times New Roman" w:eastAsia="Times New Roman" w:hAnsi="Times New Roman" w:cs="Times New Roman"/>
                <w:b/>
                <w:snapToGrid w:val="0"/>
                <w:sz w:val="24"/>
                <w:szCs w:val="24"/>
              </w:rPr>
            </w:pPr>
            <w:r>
              <w:rPr>
                <w:rFonts w:ascii="Times New Roman" w:eastAsia="Times New Roman" w:hAnsi="Times New Roman" w:cs="Times New Roman"/>
                <w:b/>
                <w:snapToGrid w:val="0"/>
                <w:sz w:val="24"/>
                <w:szCs w:val="24"/>
              </w:rPr>
              <w:t>Обхват на ЕФРР</w:t>
            </w:r>
          </w:p>
        </w:tc>
        <w:tc>
          <w:tcPr>
            <w:tcW w:w="6973" w:type="dxa"/>
            <w:shd w:val="clear" w:color="auto" w:fill="F3F3F3"/>
          </w:tcPr>
          <w:p w14:paraId="65B0FD89" w14:textId="77777777" w:rsidR="00C676C5" w:rsidRDefault="00C676C5" w:rsidP="00C676C5">
            <w:pPr>
              <w:spacing w:after="0" w:line="240" w:lineRule="auto"/>
              <w:jc w:val="both"/>
              <w:rPr>
                <w:rFonts w:ascii="Times New Roman" w:eastAsia="Times New Roman" w:hAnsi="Times New Roman"/>
                <w:snapToGrid w:val="0"/>
                <w:sz w:val="24"/>
                <w:szCs w:val="24"/>
              </w:rPr>
            </w:pPr>
            <w:r w:rsidRPr="00C676C5">
              <w:rPr>
                <w:rFonts w:ascii="Times New Roman" w:eastAsia="Times New Roman" w:hAnsi="Times New Roman"/>
                <w:snapToGrid w:val="0"/>
                <w:sz w:val="24"/>
                <w:szCs w:val="24"/>
              </w:rPr>
              <w:t>Съгласно чл. 5 от Регламент (ЕС) 2021/1058</w:t>
            </w:r>
            <w:r>
              <w:rPr>
                <w:rFonts w:ascii="Times New Roman" w:eastAsia="Times New Roman" w:hAnsi="Times New Roman"/>
                <w:snapToGrid w:val="0"/>
                <w:sz w:val="24"/>
                <w:szCs w:val="24"/>
              </w:rPr>
              <w:t>:</w:t>
            </w:r>
          </w:p>
          <w:p w14:paraId="0B3EAACA" w14:textId="77777777" w:rsidR="00C676C5" w:rsidRPr="00C676C5" w:rsidRDefault="00C676C5" w:rsidP="00C676C5">
            <w:pPr>
              <w:spacing w:after="0" w:line="240" w:lineRule="auto"/>
              <w:jc w:val="both"/>
              <w:rPr>
                <w:rFonts w:ascii="Times New Roman" w:eastAsia="Times New Roman" w:hAnsi="Times New Roman"/>
                <w:b/>
                <w:bCs/>
                <w:snapToGrid w:val="0"/>
                <w:sz w:val="24"/>
                <w:szCs w:val="24"/>
                <w:lang w:val="en-US"/>
              </w:rPr>
            </w:pPr>
            <w:proofErr w:type="spellStart"/>
            <w:r w:rsidRPr="00C676C5">
              <w:rPr>
                <w:rFonts w:ascii="Times New Roman" w:eastAsia="Times New Roman" w:hAnsi="Times New Roman"/>
                <w:b/>
                <w:bCs/>
                <w:snapToGrid w:val="0"/>
                <w:sz w:val="24"/>
                <w:szCs w:val="24"/>
                <w:lang w:val="en-US"/>
              </w:rPr>
              <w:t>Обхват</w:t>
            </w:r>
            <w:proofErr w:type="spellEnd"/>
            <w:r w:rsidRPr="00C676C5">
              <w:rPr>
                <w:rFonts w:ascii="Times New Roman" w:eastAsia="Times New Roman" w:hAnsi="Times New Roman"/>
                <w:b/>
                <w:bCs/>
                <w:snapToGrid w:val="0"/>
                <w:sz w:val="24"/>
                <w:szCs w:val="24"/>
                <w:lang w:val="en-US"/>
              </w:rPr>
              <w:t xml:space="preserve"> </w:t>
            </w:r>
            <w:proofErr w:type="spellStart"/>
            <w:r w:rsidRPr="00C676C5">
              <w:rPr>
                <w:rFonts w:ascii="Times New Roman" w:eastAsia="Times New Roman" w:hAnsi="Times New Roman"/>
                <w:b/>
                <w:bCs/>
                <w:snapToGrid w:val="0"/>
                <w:sz w:val="24"/>
                <w:szCs w:val="24"/>
                <w:lang w:val="en-US"/>
              </w:rPr>
              <w:t>на</w:t>
            </w:r>
            <w:proofErr w:type="spellEnd"/>
            <w:r w:rsidRPr="00C676C5">
              <w:rPr>
                <w:rFonts w:ascii="Times New Roman" w:eastAsia="Times New Roman" w:hAnsi="Times New Roman"/>
                <w:b/>
                <w:bCs/>
                <w:snapToGrid w:val="0"/>
                <w:sz w:val="24"/>
                <w:szCs w:val="24"/>
                <w:lang w:val="en-US"/>
              </w:rPr>
              <w:t xml:space="preserve"> </w:t>
            </w:r>
            <w:proofErr w:type="spellStart"/>
            <w:r w:rsidRPr="00C676C5">
              <w:rPr>
                <w:rFonts w:ascii="Times New Roman" w:eastAsia="Times New Roman" w:hAnsi="Times New Roman"/>
                <w:b/>
                <w:bCs/>
                <w:snapToGrid w:val="0"/>
                <w:sz w:val="24"/>
                <w:szCs w:val="24"/>
                <w:lang w:val="en-US"/>
              </w:rPr>
              <w:t>подкрепата</w:t>
            </w:r>
            <w:proofErr w:type="spellEnd"/>
            <w:r w:rsidRPr="00C676C5">
              <w:rPr>
                <w:rFonts w:ascii="Times New Roman" w:eastAsia="Times New Roman" w:hAnsi="Times New Roman"/>
                <w:b/>
                <w:bCs/>
                <w:snapToGrid w:val="0"/>
                <w:sz w:val="24"/>
                <w:szCs w:val="24"/>
                <w:lang w:val="en-US"/>
              </w:rPr>
              <w:t xml:space="preserve"> </w:t>
            </w:r>
            <w:proofErr w:type="spellStart"/>
            <w:r w:rsidRPr="00C676C5">
              <w:rPr>
                <w:rFonts w:ascii="Times New Roman" w:eastAsia="Times New Roman" w:hAnsi="Times New Roman"/>
                <w:b/>
                <w:bCs/>
                <w:snapToGrid w:val="0"/>
                <w:sz w:val="24"/>
                <w:szCs w:val="24"/>
                <w:lang w:val="en-US"/>
              </w:rPr>
              <w:t>от</w:t>
            </w:r>
            <w:proofErr w:type="spellEnd"/>
            <w:r w:rsidRPr="00C676C5">
              <w:rPr>
                <w:rFonts w:ascii="Times New Roman" w:eastAsia="Times New Roman" w:hAnsi="Times New Roman"/>
                <w:b/>
                <w:bCs/>
                <w:snapToGrid w:val="0"/>
                <w:sz w:val="24"/>
                <w:szCs w:val="24"/>
                <w:lang w:val="en-US"/>
              </w:rPr>
              <w:t xml:space="preserve"> ЕФРР</w:t>
            </w:r>
          </w:p>
          <w:p w14:paraId="7E2AC964" w14:textId="77777777" w:rsidR="00C676C5" w:rsidRPr="00C676C5" w:rsidRDefault="00C676C5" w:rsidP="00C676C5">
            <w:pPr>
              <w:spacing w:after="0" w:line="240" w:lineRule="auto"/>
              <w:jc w:val="both"/>
              <w:rPr>
                <w:rFonts w:ascii="Times New Roman" w:eastAsia="Times New Roman" w:hAnsi="Times New Roman"/>
                <w:snapToGrid w:val="0"/>
                <w:sz w:val="24"/>
                <w:szCs w:val="24"/>
                <w:lang w:val="en-US"/>
              </w:rPr>
            </w:pPr>
            <w:r w:rsidRPr="00C676C5">
              <w:rPr>
                <w:rFonts w:ascii="Times New Roman" w:eastAsia="Times New Roman" w:hAnsi="Times New Roman"/>
                <w:snapToGrid w:val="0"/>
                <w:sz w:val="24"/>
                <w:szCs w:val="24"/>
                <w:lang w:val="en-US"/>
              </w:rPr>
              <w:t xml:space="preserve">1.   ЕФРР </w:t>
            </w:r>
            <w:proofErr w:type="spellStart"/>
            <w:r w:rsidRPr="00C676C5">
              <w:rPr>
                <w:rFonts w:ascii="Times New Roman" w:eastAsia="Times New Roman" w:hAnsi="Times New Roman"/>
                <w:snapToGrid w:val="0"/>
                <w:sz w:val="24"/>
                <w:szCs w:val="24"/>
                <w:lang w:val="en-US"/>
              </w:rPr>
              <w:t>подкрепя</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следните</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дейности</w:t>
            </w:r>
            <w:proofErr w:type="spellEnd"/>
            <w:r w:rsidRPr="00C676C5">
              <w:rPr>
                <w:rFonts w:ascii="Times New Roman" w:eastAsia="Times New Roman" w:hAnsi="Times New Roman"/>
                <w:snapToGrid w:val="0"/>
                <w:sz w:val="24"/>
                <w:szCs w:val="24"/>
                <w:lang w:val="en-US"/>
              </w:rPr>
              <w:t>:</w:t>
            </w:r>
          </w:p>
          <w:tbl>
            <w:tblPr>
              <w:tblW w:w="5000" w:type="pct"/>
              <w:tblCellMar>
                <w:left w:w="0" w:type="dxa"/>
                <w:right w:w="0" w:type="dxa"/>
              </w:tblCellMar>
              <w:tblLook w:val="04A0" w:firstRow="1" w:lastRow="0" w:firstColumn="1" w:lastColumn="0" w:noHBand="0" w:noVBand="1"/>
            </w:tblPr>
            <w:tblGrid>
              <w:gridCol w:w="246"/>
              <w:gridCol w:w="6511"/>
            </w:tblGrid>
            <w:tr w:rsidR="00C676C5" w:rsidRPr="00C676C5" w14:paraId="0227893D" w14:textId="77777777" w:rsidTr="00C676C5">
              <w:tc>
                <w:tcPr>
                  <w:tcW w:w="0" w:type="auto"/>
                  <w:shd w:val="clear" w:color="auto" w:fill="auto"/>
                  <w:hideMark/>
                </w:tcPr>
                <w:p w14:paraId="4A7D0281" w14:textId="77777777" w:rsidR="00C676C5" w:rsidRPr="00C676C5" w:rsidRDefault="00C676C5" w:rsidP="00C676C5">
                  <w:pPr>
                    <w:framePr w:hSpace="141" w:wrap="around" w:vAnchor="text" w:hAnchor="text" w:xAlign="right" w:y="1"/>
                    <w:spacing w:after="0" w:line="240" w:lineRule="auto"/>
                    <w:suppressOverlap/>
                    <w:jc w:val="both"/>
                    <w:rPr>
                      <w:rFonts w:ascii="Times New Roman" w:eastAsia="Times New Roman" w:hAnsi="Times New Roman"/>
                      <w:snapToGrid w:val="0"/>
                      <w:sz w:val="24"/>
                      <w:szCs w:val="24"/>
                      <w:lang w:val="en-US"/>
                    </w:rPr>
                  </w:pPr>
                  <w:r w:rsidRPr="00C676C5">
                    <w:rPr>
                      <w:rFonts w:ascii="Times New Roman" w:eastAsia="Times New Roman" w:hAnsi="Times New Roman"/>
                      <w:snapToGrid w:val="0"/>
                      <w:sz w:val="24"/>
                      <w:szCs w:val="24"/>
                      <w:lang w:val="en-US"/>
                    </w:rPr>
                    <w:t>а)</w:t>
                  </w:r>
                </w:p>
              </w:tc>
              <w:tc>
                <w:tcPr>
                  <w:tcW w:w="0" w:type="auto"/>
                  <w:shd w:val="clear" w:color="auto" w:fill="auto"/>
                  <w:hideMark/>
                </w:tcPr>
                <w:p w14:paraId="38D5EE66" w14:textId="77777777" w:rsidR="00C676C5" w:rsidRPr="00C676C5" w:rsidRDefault="00C676C5" w:rsidP="00C676C5">
                  <w:pPr>
                    <w:framePr w:hSpace="141" w:wrap="around" w:vAnchor="text" w:hAnchor="text" w:xAlign="right" w:y="1"/>
                    <w:spacing w:after="0" w:line="240" w:lineRule="auto"/>
                    <w:suppressOverlap/>
                    <w:jc w:val="both"/>
                    <w:rPr>
                      <w:rFonts w:ascii="Times New Roman" w:eastAsia="Times New Roman" w:hAnsi="Times New Roman"/>
                      <w:snapToGrid w:val="0"/>
                      <w:sz w:val="24"/>
                      <w:szCs w:val="24"/>
                      <w:lang w:val="en-US"/>
                    </w:rPr>
                  </w:pPr>
                  <w:proofErr w:type="spellStart"/>
                  <w:r w:rsidRPr="00C676C5">
                    <w:rPr>
                      <w:rFonts w:ascii="Times New Roman" w:eastAsia="Times New Roman" w:hAnsi="Times New Roman"/>
                      <w:snapToGrid w:val="0"/>
                      <w:sz w:val="24"/>
                      <w:szCs w:val="24"/>
                      <w:lang w:val="en-US"/>
                    </w:rPr>
                    <w:t>инвестиции</w:t>
                  </w:r>
                  <w:proofErr w:type="spellEnd"/>
                  <w:r w:rsidRPr="00C676C5">
                    <w:rPr>
                      <w:rFonts w:ascii="Times New Roman" w:eastAsia="Times New Roman" w:hAnsi="Times New Roman"/>
                      <w:snapToGrid w:val="0"/>
                      <w:sz w:val="24"/>
                      <w:szCs w:val="24"/>
                      <w:lang w:val="en-US"/>
                    </w:rPr>
                    <w:t xml:space="preserve"> в </w:t>
                  </w:r>
                  <w:proofErr w:type="spellStart"/>
                  <w:r w:rsidRPr="00C676C5">
                    <w:rPr>
                      <w:rFonts w:ascii="Times New Roman" w:eastAsia="Times New Roman" w:hAnsi="Times New Roman"/>
                      <w:snapToGrid w:val="0"/>
                      <w:sz w:val="24"/>
                      <w:szCs w:val="24"/>
                      <w:lang w:val="en-US"/>
                    </w:rPr>
                    <w:t>инфраструктура</w:t>
                  </w:r>
                  <w:proofErr w:type="spellEnd"/>
                  <w:r w:rsidRPr="00C676C5">
                    <w:rPr>
                      <w:rFonts w:ascii="Times New Roman" w:eastAsia="Times New Roman" w:hAnsi="Times New Roman"/>
                      <w:snapToGrid w:val="0"/>
                      <w:sz w:val="24"/>
                      <w:szCs w:val="24"/>
                      <w:lang w:val="en-US"/>
                    </w:rPr>
                    <w:t>;</w:t>
                  </w:r>
                </w:p>
              </w:tc>
            </w:tr>
            <w:tr w:rsidR="00C676C5" w:rsidRPr="00C676C5" w14:paraId="726EE8D4" w14:textId="77777777" w:rsidTr="00C676C5">
              <w:tc>
                <w:tcPr>
                  <w:tcW w:w="0" w:type="auto"/>
                  <w:shd w:val="clear" w:color="auto" w:fill="auto"/>
                  <w:hideMark/>
                </w:tcPr>
                <w:p w14:paraId="472B3687" w14:textId="77777777" w:rsidR="00C676C5" w:rsidRPr="00C676C5" w:rsidRDefault="00C676C5" w:rsidP="00C676C5">
                  <w:pPr>
                    <w:framePr w:hSpace="141" w:wrap="around" w:vAnchor="text" w:hAnchor="text" w:xAlign="right" w:y="1"/>
                    <w:spacing w:after="0" w:line="240" w:lineRule="auto"/>
                    <w:suppressOverlap/>
                    <w:jc w:val="both"/>
                    <w:rPr>
                      <w:rFonts w:ascii="Times New Roman" w:eastAsia="Times New Roman" w:hAnsi="Times New Roman"/>
                      <w:snapToGrid w:val="0"/>
                      <w:sz w:val="24"/>
                      <w:szCs w:val="24"/>
                      <w:lang w:val="en-US"/>
                    </w:rPr>
                  </w:pPr>
                  <w:r w:rsidRPr="00C676C5">
                    <w:rPr>
                      <w:rFonts w:ascii="Times New Roman" w:eastAsia="Times New Roman" w:hAnsi="Times New Roman"/>
                      <w:snapToGrid w:val="0"/>
                      <w:sz w:val="24"/>
                      <w:szCs w:val="24"/>
                      <w:lang w:val="en-US"/>
                    </w:rPr>
                    <w:t>б)</w:t>
                  </w:r>
                </w:p>
              </w:tc>
              <w:tc>
                <w:tcPr>
                  <w:tcW w:w="0" w:type="auto"/>
                  <w:shd w:val="clear" w:color="auto" w:fill="auto"/>
                  <w:hideMark/>
                </w:tcPr>
                <w:p w14:paraId="5FD7BCB2" w14:textId="77777777" w:rsidR="00C676C5" w:rsidRPr="00C676C5" w:rsidRDefault="00C676C5" w:rsidP="00C676C5">
                  <w:pPr>
                    <w:framePr w:hSpace="141" w:wrap="around" w:vAnchor="text" w:hAnchor="text" w:xAlign="right" w:y="1"/>
                    <w:spacing w:after="0" w:line="240" w:lineRule="auto"/>
                    <w:suppressOverlap/>
                    <w:jc w:val="both"/>
                    <w:rPr>
                      <w:rFonts w:ascii="Times New Roman" w:eastAsia="Times New Roman" w:hAnsi="Times New Roman"/>
                      <w:snapToGrid w:val="0"/>
                      <w:sz w:val="24"/>
                      <w:szCs w:val="24"/>
                      <w:lang w:val="en-US"/>
                    </w:rPr>
                  </w:pPr>
                  <w:proofErr w:type="spellStart"/>
                  <w:r w:rsidRPr="00C676C5">
                    <w:rPr>
                      <w:rFonts w:ascii="Times New Roman" w:eastAsia="Times New Roman" w:hAnsi="Times New Roman"/>
                      <w:snapToGrid w:val="0"/>
                      <w:sz w:val="24"/>
                      <w:szCs w:val="24"/>
                      <w:lang w:val="en-US"/>
                    </w:rPr>
                    <w:t>дейности</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за</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приложни</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научни</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изследвания</w:t>
                  </w:r>
                  <w:proofErr w:type="spellEnd"/>
                  <w:r w:rsidRPr="00C676C5">
                    <w:rPr>
                      <w:rFonts w:ascii="Times New Roman" w:eastAsia="Times New Roman" w:hAnsi="Times New Roman"/>
                      <w:snapToGrid w:val="0"/>
                      <w:sz w:val="24"/>
                      <w:szCs w:val="24"/>
                      <w:lang w:val="en-US"/>
                    </w:rPr>
                    <w:t xml:space="preserve"> и </w:t>
                  </w:r>
                  <w:proofErr w:type="spellStart"/>
                  <w:r w:rsidRPr="00C676C5">
                    <w:rPr>
                      <w:rFonts w:ascii="Times New Roman" w:eastAsia="Times New Roman" w:hAnsi="Times New Roman"/>
                      <w:snapToGrid w:val="0"/>
                      <w:sz w:val="24"/>
                      <w:szCs w:val="24"/>
                      <w:lang w:val="en-US"/>
                    </w:rPr>
                    <w:t>иновации</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включително</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индустриални</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научни</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изследвания</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експериментална</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развойна</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дейност</w:t>
                  </w:r>
                  <w:proofErr w:type="spellEnd"/>
                  <w:r w:rsidRPr="00C676C5">
                    <w:rPr>
                      <w:rFonts w:ascii="Times New Roman" w:eastAsia="Times New Roman" w:hAnsi="Times New Roman"/>
                      <w:snapToGrid w:val="0"/>
                      <w:sz w:val="24"/>
                      <w:szCs w:val="24"/>
                      <w:lang w:val="en-US"/>
                    </w:rPr>
                    <w:t xml:space="preserve"> и </w:t>
                  </w:r>
                  <w:proofErr w:type="spellStart"/>
                  <w:r w:rsidRPr="00C676C5">
                    <w:rPr>
                      <w:rFonts w:ascii="Times New Roman" w:eastAsia="Times New Roman" w:hAnsi="Times New Roman"/>
                      <w:snapToGrid w:val="0"/>
                      <w:sz w:val="24"/>
                      <w:szCs w:val="24"/>
                      <w:lang w:val="en-US"/>
                    </w:rPr>
                    <w:t>проучвания</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за</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осъществимост</w:t>
                  </w:r>
                  <w:proofErr w:type="spellEnd"/>
                  <w:r w:rsidRPr="00C676C5">
                    <w:rPr>
                      <w:rFonts w:ascii="Times New Roman" w:eastAsia="Times New Roman" w:hAnsi="Times New Roman"/>
                      <w:snapToGrid w:val="0"/>
                      <w:sz w:val="24"/>
                      <w:szCs w:val="24"/>
                      <w:lang w:val="en-US"/>
                    </w:rPr>
                    <w:t>;</w:t>
                  </w:r>
                </w:p>
              </w:tc>
            </w:tr>
            <w:tr w:rsidR="00C676C5" w:rsidRPr="00C676C5" w14:paraId="035AC521" w14:textId="77777777" w:rsidTr="00C676C5">
              <w:tc>
                <w:tcPr>
                  <w:tcW w:w="0" w:type="auto"/>
                  <w:shd w:val="clear" w:color="auto" w:fill="auto"/>
                  <w:hideMark/>
                </w:tcPr>
                <w:p w14:paraId="71775493" w14:textId="77777777" w:rsidR="00C676C5" w:rsidRPr="00C676C5" w:rsidRDefault="00C676C5" w:rsidP="00C676C5">
                  <w:pPr>
                    <w:framePr w:hSpace="141" w:wrap="around" w:vAnchor="text" w:hAnchor="text" w:xAlign="right" w:y="1"/>
                    <w:spacing w:after="0" w:line="240" w:lineRule="auto"/>
                    <w:suppressOverlap/>
                    <w:jc w:val="both"/>
                    <w:rPr>
                      <w:rFonts w:ascii="Times New Roman" w:eastAsia="Times New Roman" w:hAnsi="Times New Roman"/>
                      <w:snapToGrid w:val="0"/>
                      <w:sz w:val="24"/>
                      <w:szCs w:val="24"/>
                      <w:lang w:val="en-US"/>
                    </w:rPr>
                  </w:pPr>
                  <w:r w:rsidRPr="00C676C5">
                    <w:rPr>
                      <w:rFonts w:ascii="Times New Roman" w:eastAsia="Times New Roman" w:hAnsi="Times New Roman"/>
                      <w:snapToGrid w:val="0"/>
                      <w:sz w:val="24"/>
                      <w:szCs w:val="24"/>
                      <w:lang w:val="en-US"/>
                    </w:rPr>
                    <w:t>в)</w:t>
                  </w:r>
                </w:p>
              </w:tc>
              <w:tc>
                <w:tcPr>
                  <w:tcW w:w="0" w:type="auto"/>
                  <w:shd w:val="clear" w:color="auto" w:fill="auto"/>
                  <w:hideMark/>
                </w:tcPr>
                <w:p w14:paraId="09F47C8C" w14:textId="77777777" w:rsidR="00C676C5" w:rsidRPr="00C676C5" w:rsidRDefault="00C676C5" w:rsidP="00C676C5">
                  <w:pPr>
                    <w:framePr w:hSpace="141" w:wrap="around" w:vAnchor="text" w:hAnchor="text" w:xAlign="right" w:y="1"/>
                    <w:spacing w:after="0" w:line="240" w:lineRule="auto"/>
                    <w:suppressOverlap/>
                    <w:jc w:val="both"/>
                    <w:rPr>
                      <w:rFonts w:ascii="Times New Roman" w:eastAsia="Times New Roman" w:hAnsi="Times New Roman"/>
                      <w:snapToGrid w:val="0"/>
                      <w:sz w:val="24"/>
                      <w:szCs w:val="24"/>
                      <w:lang w:val="en-US"/>
                    </w:rPr>
                  </w:pPr>
                  <w:proofErr w:type="spellStart"/>
                  <w:r w:rsidRPr="00C676C5">
                    <w:rPr>
                      <w:rFonts w:ascii="Times New Roman" w:eastAsia="Times New Roman" w:hAnsi="Times New Roman"/>
                      <w:snapToGrid w:val="0"/>
                      <w:sz w:val="24"/>
                      <w:szCs w:val="24"/>
                      <w:lang w:val="en-US"/>
                    </w:rPr>
                    <w:t>инвестиции</w:t>
                  </w:r>
                  <w:proofErr w:type="spellEnd"/>
                  <w:r w:rsidRPr="00C676C5">
                    <w:rPr>
                      <w:rFonts w:ascii="Times New Roman" w:eastAsia="Times New Roman" w:hAnsi="Times New Roman"/>
                      <w:snapToGrid w:val="0"/>
                      <w:sz w:val="24"/>
                      <w:szCs w:val="24"/>
                      <w:lang w:val="en-US"/>
                    </w:rPr>
                    <w:t xml:space="preserve"> в </w:t>
                  </w:r>
                  <w:proofErr w:type="spellStart"/>
                  <w:r w:rsidRPr="00C676C5">
                    <w:rPr>
                      <w:rFonts w:ascii="Times New Roman" w:eastAsia="Times New Roman" w:hAnsi="Times New Roman"/>
                      <w:snapToGrid w:val="0"/>
                      <w:sz w:val="24"/>
                      <w:szCs w:val="24"/>
                      <w:lang w:val="en-US"/>
                    </w:rPr>
                    <w:t>достъпа</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до</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услуги</w:t>
                  </w:r>
                  <w:proofErr w:type="spellEnd"/>
                  <w:r w:rsidRPr="00C676C5">
                    <w:rPr>
                      <w:rFonts w:ascii="Times New Roman" w:eastAsia="Times New Roman" w:hAnsi="Times New Roman"/>
                      <w:snapToGrid w:val="0"/>
                      <w:sz w:val="24"/>
                      <w:szCs w:val="24"/>
                      <w:lang w:val="en-US"/>
                    </w:rPr>
                    <w:t>;</w:t>
                  </w:r>
                </w:p>
              </w:tc>
            </w:tr>
            <w:tr w:rsidR="00C676C5" w:rsidRPr="00C676C5" w14:paraId="1E982E0C" w14:textId="77777777" w:rsidTr="00C676C5">
              <w:tc>
                <w:tcPr>
                  <w:tcW w:w="0" w:type="auto"/>
                  <w:shd w:val="clear" w:color="auto" w:fill="auto"/>
                  <w:hideMark/>
                </w:tcPr>
                <w:p w14:paraId="2F67E8A7" w14:textId="77777777" w:rsidR="00C676C5" w:rsidRPr="00C676C5" w:rsidRDefault="00C676C5" w:rsidP="00C676C5">
                  <w:pPr>
                    <w:framePr w:hSpace="141" w:wrap="around" w:vAnchor="text" w:hAnchor="text" w:xAlign="right" w:y="1"/>
                    <w:spacing w:after="0" w:line="240" w:lineRule="auto"/>
                    <w:suppressOverlap/>
                    <w:jc w:val="both"/>
                    <w:rPr>
                      <w:rFonts w:ascii="Times New Roman" w:eastAsia="Times New Roman" w:hAnsi="Times New Roman"/>
                      <w:snapToGrid w:val="0"/>
                      <w:sz w:val="24"/>
                      <w:szCs w:val="24"/>
                      <w:lang w:val="en-US"/>
                    </w:rPr>
                  </w:pPr>
                  <w:r w:rsidRPr="00C676C5">
                    <w:rPr>
                      <w:rFonts w:ascii="Times New Roman" w:eastAsia="Times New Roman" w:hAnsi="Times New Roman"/>
                      <w:snapToGrid w:val="0"/>
                      <w:sz w:val="24"/>
                      <w:szCs w:val="24"/>
                      <w:lang w:val="en-US"/>
                    </w:rPr>
                    <w:t>г)</w:t>
                  </w:r>
                </w:p>
              </w:tc>
              <w:tc>
                <w:tcPr>
                  <w:tcW w:w="0" w:type="auto"/>
                  <w:shd w:val="clear" w:color="auto" w:fill="auto"/>
                  <w:hideMark/>
                </w:tcPr>
                <w:p w14:paraId="40552C7A" w14:textId="77777777" w:rsidR="00C676C5" w:rsidRPr="00C676C5" w:rsidRDefault="00C676C5" w:rsidP="00C676C5">
                  <w:pPr>
                    <w:framePr w:hSpace="141" w:wrap="around" w:vAnchor="text" w:hAnchor="text" w:xAlign="right" w:y="1"/>
                    <w:spacing w:after="0" w:line="240" w:lineRule="auto"/>
                    <w:suppressOverlap/>
                    <w:jc w:val="both"/>
                    <w:rPr>
                      <w:rFonts w:ascii="Times New Roman" w:eastAsia="Times New Roman" w:hAnsi="Times New Roman"/>
                      <w:snapToGrid w:val="0"/>
                      <w:sz w:val="24"/>
                      <w:szCs w:val="24"/>
                      <w:lang w:val="en-US"/>
                    </w:rPr>
                  </w:pPr>
                  <w:proofErr w:type="spellStart"/>
                  <w:r w:rsidRPr="00C676C5">
                    <w:rPr>
                      <w:rFonts w:ascii="Times New Roman" w:eastAsia="Times New Roman" w:hAnsi="Times New Roman"/>
                      <w:snapToGrid w:val="0"/>
                      <w:sz w:val="24"/>
                      <w:szCs w:val="24"/>
                      <w:lang w:val="en-US"/>
                    </w:rPr>
                    <w:t>производствени</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инвестиции</w:t>
                  </w:r>
                  <w:proofErr w:type="spellEnd"/>
                  <w:r w:rsidRPr="00C676C5">
                    <w:rPr>
                      <w:rFonts w:ascii="Times New Roman" w:eastAsia="Times New Roman" w:hAnsi="Times New Roman"/>
                      <w:snapToGrid w:val="0"/>
                      <w:sz w:val="24"/>
                      <w:szCs w:val="24"/>
                      <w:lang w:val="en-US"/>
                    </w:rPr>
                    <w:t xml:space="preserve"> в МСП и </w:t>
                  </w:r>
                  <w:proofErr w:type="spellStart"/>
                  <w:r w:rsidRPr="00C676C5">
                    <w:rPr>
                      <w:rFonts w:ascii="Times New Roman" w:eastAsia="Times New Roman" w:hAnsi="Times New Roman"/>
                      <w:snapToGrid w:val="0"/>
                      <w:sz w:val="24"/>
                      <w:szCs w:val="24"/>
                      <w:lang w:val="en-US"/>
                    </w:rPr>
                    <w:t>инвестиции</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насочени</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към</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запазване</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на</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съществуващите</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работни</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места</w:t>
                  </w:r>
                  <w:proofErr w:type="spellEnd"/>
                  <w:r w:rsidRPr="00C676C5">
                    <w:rPr>
                      <w:rFonts w:ascii="Times New Roman" w:eastAsia="Times New Roman" w:hAnsi="Times New Roman"/>
                      <w:snapToGrid w:val="0"/>
                      <w:sz w:val="24"/>
                      <w:szCs w:val="24"/>
                      <w:lang w:val="en-US"/>
                    </w:rPr>
                    <w:t xml:space="preserve"> и </w:t>
                  </w:r>
                  <w:proofErr w:type="spellStart"/>
                  <w:r w:rsidRPr="00C676C5">
                    <w:rPr>
                      <w:rFonts w:ascii="Times New Roman" w:eastAsia="Times New Roman" w:hAnsi="Times New Roman"/>
                      <w:snapToGrid w:val="0"/>
                      <w:sz w:val="24"/>
                      <w:szCs w:val="24"/>
                      <w:lang w:val="en-US"/>
                    </w:rPr>
                    <w:t>създаване</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на</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нови</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работни</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места</w:t>
                  </w:r>
                  <w:proofErr w:type="spellEnd"/>
                  <w:r w:rsidRPr="00C676C5">
                    <w:rPr>
                      <w:rFonts w:ascii="Times New Roman" w:eastAsia="Times New Roman" w:hAnsi="Times New Roman"/>
                      <w:snapToGrid w:val="0"/>
                      <w:sz w:val="24"/>
                      <w:szCs w:val="24"/>
                      <w:lang w:val="en-US"/>
                    </w:rPr>
                    <w:t>;</w:t>
                  </w:r>
                </w:p>
              </w:tc>
            </w:tr>
            <w:tr w:rsidR="00C676C5" w:rsidRPr="00C676C5" w14:paraId="7D79C765" w14:textId="77777777" w:rsidTr="00C676C5">
              <w:tc>
                <w:tcPr>
                  <w:tcW w:w="0" w:type="auto"/>
                  <w:shd w:val="clear" w:color="auto" w:fill="auto"/>
                  <w:hideMark/>
                </w:tcPr>
                <w:p w14:paraId="496F30E3" w14:textId="77777777" w:rsidR="00C676C5" w:rsidRPr="00C676C5" w:rsidRDefault="00C676C5" w:rsidP="00C676C5">
                  <w:pPr>
                    <w:framePr w:hSpace="141" w:wrap="around" w:vAnchor="text" w:hAnchor="text" w:xAlign="right" w:y="1"/>
                    <w:spacing w:after="0" w:line="240" w:lineRule="auto"/>
                    <w:suppressOverlap/>
                    <w:jc w:val="both"/>
                    <w:rPr>
                      <w:rFonts w:ascii="Times New Roman" w:eastAsia="Times New Roman" w:hAnsi="Times New Roman"/>
                      <w:snapToGrid w:val="0"/>
                      <w:sz w:val="24"/>
                      <w:szCs w:val="24"/>
                      <w:lang w:val="en-US"/>
                    </w:rPr>
                  </w:pPr>
                  <w:r w:rsidRPr="00C676C5">
                    <w:rPr>
                      <w:rFonts w:ascii="Times New Roman" w:eastAsia="Times New Roman" w:hAnsi="Times New Roman"/>
                      <w:snapToGrid w:val="0"/>
                      <w:sz w:val="24"/>
                      <w:szCs w:val="24"/>
                      <w:lang w:val="en-US"/>
                    </w:rPr>
                    <w:t>д)</w:t>
                  </w:r>
                </w:p>
              </w:tc>
              <w:tc>
                <w:tcPr>
                  <w:tcW w:w="0" w:type="auto"/>
                  <w:shd w:val="clear" w:color="auto" w:fill="auto"/>
                  <w:hideMark/>
                </w:tcPr>
                <w:p w14:paraId="49B34563" w14:textId="77777777" w:rsidR="00C676C5" w:rsidRPr="00C676C5" w:rsidRDefault="00C676C5" w:rsidP="00C676C5">
                  <w:pPr>
                    <w:framePr w:hSpace="141" w:wrap="around" w:vAnchor="text" w:hAnchor="text" w:xAlign="right" w:y="1"/>
                    <w:spacing w:after="0" w:line="240" w:lineRule="auto"/>
                    <w:suppressOverlap/>
                    <w:jc w:val="both"/>
                    <w:rPr>
                      <w:rFonts w:ascii="Times New Roman" w:eastAsia="Times New Roman" w:hAnsi="Times New Roman"/>
                      <w:snapToGrid w:val="0"/>
                      <w:sz w:val="24"/>
                      <w:szCs w:val="24"/>
                      <w:lang w:val="en-US"/>
                    </w:rPr>
                  </w:pPr>
                  <w:proofErr w:type="spellStart"/>
                  <w:r w:rsidRPr="00C676C5">
                    <w:rPr>
                      <w:rFonts w:ascii="Times New Roman" w:eastAsia="Times New Roman" w:hAnsi="Times New Roman"/>
                      <w:snapToGrid w:val="0"/>
                      <w:sz w:val="24"/>
                      <w:szCs w:val="24"/>
                      <w:lang w:val="en-US"/>
                    </w:rPr>
                    <w:t>оборудване</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софтуер</w:t>
                  </w:r>
                  <w:proofErr w:type="spellEnd"/>
                  <w:r w:rsidRPr="00C676C5">
                    <w:rPr>
                      <w:rFonts w:ascii="Times New Roman" w:eastAsia="Times New Roman" w:hAnsi="Times New Roman"/>
                      <w:snapToGrid w:val="0"/>
                      <w:sz w:val="24"/>
                      <w:szCs w:val="24"/>
                      <w:lang w:val="en-US"/>
                    </w:rPr>
                    <w:t xml:space="preserve"> и </w:t>
                  </w:r>
                  <w:proofErr w:type="spellStart"/>
                  <w:r w:rsidRPr="00C676C5">
                    <w:rPr>
                      <w:rFonts w:ascii="Times New Roman" w:eastAsia="Times New Roman" w:hAnsi="Times New Roman"/>
                      <w:snapToGrid w:val="0"/>
                      <w:sz w:val="24"/>
                      <w:szCs w:val="24"/>
                      <w:lang w:val="en-US"/>
                    </w:rPr>
                    <w:t>нематериални</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активи</w:t>
                  </w:r>
                  <w:proofErr w:type="spellEnd"/>
                  <w:r w:rsidRPr="00C676C5">
                    <w:rPr>
                      <w:rFonts w:ascii="Times New Roman" w:eastAsia="Times New Roman" w:hAnsi="Times New Roman"/>
                      <w:snapToGrid w:val="0"/>
                      <w:sz w:val="24"/>
                      <w:szCs w:val="24"/>
                      <w:lang w:val="en-US"/>
                    </w:rPr>
                    <w:t>;</w:t>
                  </w:r>
                </w:p>
              </w:tc>
            </w:tr>
            <w:tr w:rsidR="00C676C5" w:rsidRPr="00C676C5" w14:paraId="01E47522" w14:textId="77777777" w:rsidTr="00C676C5">
              <w:tc>
                <w:tcPr>
                  <w:tcW w:w="0" w:type="auto"/>
                  <w:shd w:val="clear" w:color="auto" w:fill="auto"/>
                  <w:hideMark/>
                </w:tcPr>
                <w:p w14:paraId="05AB6B26" w14:textId="77777777" w:rsidR="00C676C5" w:rsidRPr="00C676C5" w:rsidRDefault="00C676C5" w:rsidP="00C676C5">
                  <w:pPr>
                    <w:framePr w:hSpace="141" w:wrap="around" w:vAnchor="text" w:hAnchor="text" w:xAlign="right" w:y="1"/>
                    <w:spacing w:after="0" w:line="240" w:lineRule="auto"/>
                    <w:suppressOverlap/>
                    <w:jc w:val="both"/>
                    <w:rPr>
                      <w:rFonts w:ascii="Times New Roman" w:eastAsia="Times New Roman" w:hAnsi="Times New Roman"/>
                      <w:snapToGrid w:val="0"/>
                      <w:sz w:val="24"/>
                      <w:szCs w:val="24"/>
                      <w:lang w:val="en-US"/>
                    </w:rPr>
                  </w:pPr>
                  <w:r w:rsidRPr="00C676C5">
                    <w:rPr>
                      <w:rFonts w:ascii="Times New Roman" w:eastAsia="Times New Roman" w:hAnsi="Times New Roman"/>
                      <w:snapToGrid w:val="0"/>
                      <w:sz w:val="24"/>
                      <w:szCs w:val="24"/>
                      <w:lang w:val="en-US"/>
                    </w:rPr>
                    <w:t>е)</w:t>
                  </w:r>
                </w:p>
              </w:tc>
              <w:tc>
                <w:tcPr>
                  <w:tcW w:w="0" w:type="auto"/>
                  <w:shd w:val="clear" w:color="auto" w:fill="auto"/>
                  <w:hideMark/>
                </w:tcPr>
                <w:p w14:paraId="1C3A4136" w14:textId="77777777" w:rsidR="00C676C5" w:rsidRPr="00C676C5" w:rsidRDefault="00C676C5" w:rsidP="00C676C5">
                  <w:pPr>
                    <w:framePr w:hSpace="141" w:wrap="around" w:vAnchor="text" w:hAnchor="text" w:xAlign="right" w:y="1"/>
                    <w:spacing w:after="0" w:line="240" w:lineRule="auto"/>
                    <w:suppressOverlap/>
                    <w:jc w:val="both"/>
                    <w:rPr>
                      <w:rFonts w:ascii="Times New Roman" w:eastAsia="Times New Roman" w:hAnsi="Times New Roman"/>
                      <w:snapToGrid w:val="0"/>
                      <w:sz w:val="24"/>
                      <w:szCs w:val="24"/>
                      <w:lang w:val="en-US"/>
                    </w:rPr>
                  </w:pPr>
                  <w:proofErr w:type="spellStart"/>
                  <w:r w:rsidRPr="00C676C5">
                    <w:rPr>
                      <w:rFonts w:ascii="Times New Roman" w:eastAsia="Times New Roman" w:hAnsi="Times New Roman"/>
                      <w:snapToGrid w:val="0"/>
                      <w:sz w:val="24"/>
                      <w:szCs w:val="24"/>
                      <w:lang w:val="en-US"/>
                    </w:rPr>
                    <w:t>изграждане</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на</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мрежи</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сътрудничество</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обмен</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на</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опит</w:t>
                  </w:r>
                  <w:proofErr w:type="spellEnd"/>
                  <w:r w:rsidRPr="00C676C5">
                    <w:rPr>
                      <w:rFonts w:ascii="Times New Roman" w:eastAsia="Times New Roman" w:hAnsi="Times New Roman"/>
                      <w:snapToGrid w:val="0"/>
                      <w:sz w:val="24"/>
                      <w:szCs w:val="24"/>
                      <w:lang w:val="en-US"/>
                    </w:rPr>
                    <w:t xml:space="preserve"> и </w:t>
                  </w:r>
                  <w:proofErr w:type="spellStart"/>
                  <w:r w:rsidRPr="00C676C5">
                    <w:rPr>
                      <w:rFonts w:ascii="Times New Roman" w:eastAsia="Times New Roman" w:hAnsi="Times New Roman"/>
                      <w:snapToGrid w:val="0"/>
                      <w:sz w:val="24"/>
                      <w:szCs w:val="24"/>
                      <w:lang w:val="en-US"/>
                    </w:rPr>
                    <w:t>дейности</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включващи</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иновационни</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клъстери</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включително</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между</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предприятия</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научноизследователски</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организации</w:t>
                  </w:r>
                  <w:proofErr w:type="spellEnd"/>
                  <w:r w:rsidRPr="00C676C5">
                    <w:rPr>
                      <w:rFonts w:ascii="Times New Roman" w:eastAsia="Times New Roman" w:hAnsi="Times New Roman"/>
                      <w:snapToGrid w:val="0"/>
                      <w:sz w:val="24"/>
                      <w:szCs w:val="24"/>
                      <w:lang w:val="en-US"/>
                    </w:rPr>
                    <w:t xml:space="preserve"> и </w:t>
                  </w:r>
                  <w:proofErr w:type="spellStart"/>
                  <w:r w:rsidRPr="00C676C5">
                    <w:rPr>
                      <w:rFonts w:ascii="Times New Roman" w:eastAsia="Times New Roman" w:hAnsi="Times New Roman"/>
                      <w:snapToGrid w:val="0"/>
                      <w:sz w:val="24"/>
                      <w:szCs w:val="24"/>
                      <w:lang w:val="en-US"/>
                    </w:rPr>
                    <w:t>публични</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органи</w:t>
                  </w:r>
                  <w:proofErr w:type="spellEnd"/>
                  <w:r w:rsidRPr="00C676C5">
                    <w:rPr>
                      <w:rFonts w:ascii="Times New Roman" w:eastAsia="Times New Roman" w:hAnsi="Times New Roman"/>
                      <w:snapToGrid w:val="0"/>
                      <w:sz w:val="24"/>
                      <w:szCs w:val="24"/>
                      <w:lang w:val="en-US"/>
                    </w:rPr>
                    <w:t>;</w:t>
                  </w:r>
                </w:p>
              </w:tc>
            </w:tr>
            <w:tr w:rsidR="00C676C5" w:rsidRPr="00C676C5" w14:paraId="6573CCCB" w14:textId="77777777" w:rsidTr="00C676C5">
              <w:tc>
                <w:tcPr>
                  <w:tcW w:w="0" w:type="auto"/>
                  <w:shd w:val="clear" w:color="auto" w:fill="auto"/>
                  <w:hideMark/>
                </w:tcPr>
                <w:p w14:paraId="08C7F8B3" w14:textId="77777777" w:rsidR="00C676C5" w:rsidRPr="00C676C5" w:rsidRDefault="00C676C5" w:rsidP="00C676C5">
                  <w:pPr>
                    <w:framePr w:hSpace="141" w:wrap="around" w:vAnchor="text" w:hAnchor="text" w:xAlign="right" w:y="1"/>
                    <w:spacing w:after="0" w:line="240" w:lineRule="auto"/>
                    <w:suppressOverlap/>
                    <w:jc w:val="both"/>
                    <w:rPr>
                      <w:rFonts w:ascii="Times New Roman" w:eastAsia="Times New Roman" w:hAnsi="Times New Roman"/>
                      <w:snapToGrid w:val="0"/>
                      <w:sz w:val="24"/>
                      <w:szCs w:val="24"/>
                      <w:lang w:val="en-US"/>
                    </w:rPr>
                  </w:pPr>
                  <w:r w:rsidRPr="00C676C5">
                    <w:rPr>
                      <w:rFonts w:ascii="Times New Roman" w:eastAsia="Times New Roman" w:hAnsi="Times New Roman"/>
                      <w:snapToGrid w:val="0"/>
                      <w:sz w:val="24"/>
                      <w:szCs w:val="24"/>
                      <w:lang w:val="en-US"/>
                    </w:rPr>
                    <w:t>ж)</w:t>
                  </w:r>
                </w:p>
              </w:tc>
              <w:tc>
                <w:tcPr>
                  <w:tcW w:w="0" w:type="auto"/>
                  <w:shd w:val="clear" w:color="auto" w:fill="auto"/>
                  <w:hideMark/>
                </w:tcPr>
                <w:p w14:paraId="7A9C9E5A" w14:textId="77777777" w:rsidR="00C676C5" w:rsidRPr="00C676C5" w:rsidRDefault="00C676C5" w:rsidP="00C676C5">
                  <w:pPr>
                    <w:framePr w:hSpace="141" w:wrap="around" w:vAnchor="text" w:hAnchor="text" w:xAlign="right" w:y="1"/>
                    <w:spacing w:after="0" w:line="240" w:lineRule="auto"/>
                    <w:suppressOverlap/>
                    <w:jc w:val="both"/>
                    <w:rPr>
                      <w:rFonts w:ascii="Times New Roman" w:eastAsia="Times New Roman" w:hAnsi="Times New Roman"/>
                      <w:snapToGrid w:val="0"/>
                      <w:sz w:val="24"/>
                      <w:szCs w:val="24"/>
                      <w:lang w:val="en-US"/>
                    </w:rPr>
                  </w:pPr>
                  <w:proofErr w:type="spellStart"/>
                  <w:r w:rsidRPr="00C676C5">
                    <w:rPr>
                      <w:rFonts w:ascii="Times New Roman" w:eastAsia="Times New Roman" w:hAnsi="Times New Roman"/>
                      <w:snapToGrid w:val="0"/>
                      <w:sz w:val="24"/>
                      <w:szCs w:val="24"/>
                      <w:lang w:val="en-US"/>
                    </w:rPr>
                    <w:t>информация</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комуникация</w:t>
                  </w:r>
                  <w:proofErr w:type="spellEnd"/>
                  <w:r w:rsidRPr="00C676C5">
                    <w:rPr>
                      <w:rFonts w:ascii="Times New Roman" w:eastAsia="Times New Roman" w:hAnsi="Times New Roman"/>
                      <w:snapToGrid w:val="0"/>
                      <w:sz w:val="24"/>
                      <w:szCs w:val="24"/>
                      <w:lang w:val="en-US"/>
                    </w:rPr>
                    <w:t xml:space="preserve"> и </w:t>
                  </w:r>
                  <w:proofErr w:type="spellStart"/>
                  <w:r w:rsidRPr="00C676C5">
                    <w:rPr>
                      <w:rFonts w:ascii="Times New Roman" w:eastAsia="Times New Roman" w:hAnsi="Times New Roman"/>
                      <w:snapToGrid w:val="0"/>
                      <w:sz w:val="24"/>
                      <w:szCs w:val="24"/>
                      <w:lang w:val="en-US"/>
                    </w:rPr>
                    <w:t>проучвания</w:t>
                  </w:r>
                  <w:proofErr w:type="spellEnd"/>
                  <w:r w:rsidRPr="00C676C5">
                    <w:rPr>
                      <w:rFonts w:ascii="Times New Roman" w:eastAsia="Times New Roman" w:hAnsi="Times New Roman"/>
                      <w:snapToGrid w:val="0"/>
                      <w:sz w:val="24"/>
                      <w:szCs w:val="24"/>
                      <w:lang w:val="en-US"/>
                    </w:rPr>
                    <w:t>; и</w:t>
                  </w:r>
                </w:p>
              </w:tc>
            </w:tr>
            <w:tr w:rsidR="00C676C5" w:rsidRPr="00C676C5" w14:paraId="50A2E89E" w14:textId="77777777" w:rsidTr="00C676C5">
              <w:tc>
                <w:tcPr>
                  <w:tcW w:w="0" w:type="auto"/>
                  <w:shd w:val="clear" w:color="auto" w:fill="auto"/>
                  <w:hideMark/>
                </w:tcPr>
                <w:p w14:paraId="40CB7BB7" w14:textId="77777777" w:rsidR="00C676C5" w:rsidRPr="00C676C5" w:rsidRDefault="00C676C5" w:rsidP="00C676C5">
                  <w:pPr>
                    <w:framePr w:hSpace="141" w:wrap="around" w:vAnchor="text" w:hAnchor="text" w:xAlign="right" w:y="1"/>
                    <w:spacing w:after="0" w:line="240" w:lineRule="auto"/>
                    <w:suppressOverlap/>
                    <w:jc w:val="both"/>
                    <w:rPr>
                      <w:rFonts w:ascii="Times New Roman" w:eastAsia="Times New Roman" w:hAnsi="Times New Roman"/>
                      <w:snapToGrid w:val="0"/>
                      <w:sz w:val="24"/>
                      <w:szCs w:val="24"/>
                      <w:lang w:val="en-US"/>
                    </w:rPr>
                  </w:pPr>
                  <w:r w:rsidRPr="00C676C5">
                    <w:rPr>
                      <w:rFonts w:ascii="Times New Roman" w:eastAsia="Times New Roman" w:hAnsi="Times New Roman"/>
                      <w:snapToGrid w:val="0"/>
                      <w:sz w:val="24"/>
                      <w:szCs w:val="24"/>
                      <w:lang w:val="en-US"/>
                    </w:rPr>
                    <w:t>з)</w:t>
                  </w:r>
                </w:p>
              </w:tc>
              <w:tc>
                <w:tcPr>
                  <w:tcW w:w="0" w:type="auto"/>
                  <w:shd w:val="clear" w:color="auto" w:fill="auto"/>
                  <w:hideMark/>
                </w:tcPr>
                <w:p w14:paraId="5955EE46" w14:textId="77777777" w:rsidR="00C676C5" w:rsidRPr="00C676C5" w:rsidRDefault="00C676C5" w:rsidP="00C676C5">
                  <w:pPr>
                    <w:framePr w:hSpace="141" w:wrap="around" w:vAnchor="text" w:hAnchor="text" w:xAlign="right" w:y="1"/>
                    <w:spacing w:after="0" w:line="240" w:lineRule="auto"/>
                    <w:suppressOverlap/>
                    <w:jc w:val="both"/>
                    <w:rPr>
                      <w:rFonts w:ascii="Times New Roman" w:eastAsia="Times New Roman" w:hAnsi="Times New Roman"/>
                      <w:snapToGrid w:val="0"/>
                      <w:sz w:val="24"/>
                      <w:szCs w:val="24"/>
                      <w:lang w:val="en-US"/>
                    </w:rPr>
                  </w:pPr>
                  <w:proofErr w:type="spellStart"/>
                  <w:r w:rsidRPr="00C676C5">
                    <w:rPr>
                      <w:rFonts w:ascii="Times New Roman" w:eastAsia="Times New Roman" w:hAnsi="Times New Roman"/>
                      <w:snapToGrid w:val="0"/>
                      <w:sz w:val="24"/>
                      <w:szCs w:val="24"/>
                      <w:lang w:val="en-US"/>
                    </w:rPr>
                    <w:t>техническа</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помощ</w:t>
                  </w:r>
                  <w:proofErr w:type="spellEnd"/>
                  <w:r w:rsidRPr="00C676C5">
                    <w:rPr>
                      <w:rFonts w:ascii="Times New Roman" w:eastAsia="Times New Roman" w:hAnsi="Times New Roman"/>
                      <w:snapToGrid w:val="0"/>
                      <w:sz w:val="24"/>
                      <w:szCs w:val="24"/>
                      <w:lang w:val="en-US"/>
                    </w:rPr>
                    <w:t>.</w:t>
                  </w:r>
                </w:p>
              </w:tc>
            </w:tr>
          </w:tbl>
          <w:p w14:paraId="14C2D28A" w14:textId="77777777" w:rsidR="00C676C5" w:rsidRPr="00C676C5" w:rsidRDefault="00C676C5" w:rsidP="00C676C5">
            <w:pPr>
              <w:spacing w:after="0" w:line="240" w:lineRule="auto"/>
              <w:jc w:val="both"/>
              <w:rPr>
                <w:rFonts w:ascii="Times New Roman" w:eastAsia="Times New Roman" w:hAnsi="Times New Roman"/>
                <w:snapToGrid w:val="0"/>
                <w:sz w:val="24"/>
                <w:szCs w:val="24"/>
                <w:lang w:val="en-US"/>
              </w:rPr>
            </w:pPr>
            <w:r w:rsidRPr="00C676C5">
              <w:rPr>
                <w:rFonts w:ascii="Times New Roman" w:eastAsia="Times New Roman" w:hAnsi="Times New Roman"/>
                <w:snapToGrid w:val="0"/>
                <w:sz w:val="24"/>
                <w:szCs w:val="24"/>
                <w:lang w:val="en-US"/>
              </w:rPr>
              <w:t>2.   </w:t>
            </w:r>
            <w:proofErr w:type="spellStart"/>
            <w:r w:rsidRPr="00C676C5">
              <w:rPr>
                <w:rFonts w:ascii="Times New Roman" w:eastAsia="Times New Roman" w:hAnsi="Times New Roman"/>
                <w:snapToGrid w:val="0"/>
                <w:sz w:val="24"/>
                <w:szCs w:val="24"/>
                <w:lang w:val="en-US"/>
              </w:rPr>
              <w:t>Производствени</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инвестиции</w:t>
            </w:r>
            <w:proofErr w:type="spellEnd"/>
            <w:r w:rsidRPr="00C676C5">
              <w:rPr>
                <w:rFonts w:ascii="Times New Roman" w:eastAsia="Times New Roman" w:hAnsi="Times New Roman"/>
                <w:snapToGrid w:val="0"/>
                <w:sz w:val="24"/>
                <w:szCs w:val="24"/>
                <w:lang w:val="en-US"/>
              </w:rPr>
              <w:t xml:space="preserve"> в </w:t>
            </w:r>
            <w:proofErr w:type="spellStart"/>
            <w:r w:rsidRPr="00C676C5">
              <w:rPr>
                <w:rFonts w:ascii="Times New Roman" w:eastAsia="Times New Roman" w:hAnsi="Times New Roman"/>
                <w:snapToGrid w:val="0"/>
                <w:sz w:val="24"/>
                <w:szCs w:val="24"/>
                <w:lang w:val="en-US"/>
              </w:rPr>
              <w:t>предприятия</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различни</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от</w:t>
            </w:r>
            <w:proofErr w:type="spellEnd"/>
            <w:r w:rsidRPr="00C676C5">
              <w:rPr>
                <w:rFonts w:ascii="Times New Roman" w:eastAsia="Times New Roman" w:hAnsi="Times New Roman"/>
                <w:snapToGrid w:val="0"/>
                <w:sz w:val="24"/>
                <w:szCs w:val="24"/>
                <w:lang w:val="en-US"/>
              </w:rPr>
              <w:t xml:space="preserve"> МСП, </w:t>
            </w:r>
            <w:proofErr w:type="spellStart"/>
            <w:r w:rsidRPr="00C676C5">
              <w:rPr>
                <w:rFonts w:ascii="Times New Roman" w:eastAsia="Times New Roman" w:hAnsi="Times New Roman"/>
                <w:snapToGrid w:val="0"/>
                <w:sz w:val="24"/>
                <w:szCs w:val="24"/>
                <w:lang w:val="en-US"/>
              </w:rPr>
              <w:t>могат</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да</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бъдат</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подкрепяни</w:t>
            </w:r>
            <w:proofErr w:type="spellEnd"/>
            <w:r w:rsidRPr="00C676C5">
              <w:rPr>
                <w:rFonts w:ascii="Times New Roman" w:eastAsia="Times New Roman" w:hAnsi="Times New Roman"/>
                <w:snapToGrid w:val="0"/>
                <w:sz w:val="24"/>
                <w:szCs w:val="24"/>
                <w:lang w:val="en-US"/>
              </w:rPr>
              <w:t>:</w:t>
            </w:r>
          </w:p>
          <w:tbl>
            <w:tblPr>
              <w:tblW w:w="5000" w:type="pct"/>
              <w:tblCellMar>
                <w:left w:w="0" w:type="dxa"/>
                <w:right w:w="0" w:type="dxa"/>
              </w:tblCellMar>
              <w:tblLook w:val="04A0" w:firstRow="1" w:lastRow="0" w:firstColumn="1" w:lastColumn="0" w:noHBand="0" w:noVBand="1"/>
            </w:tblPr>
            <w:tblGrid>
              <w:gridCol w:w="203"/>
              <w:gridCol w:w="6554"/>
            </w:tblGrid>
            <w:tr w:rsidR="00C676C5" w:rsidRPr="00C676C5" w14:paraId="2C47B8B7" w14:textId="77777777" w:rsidTr="00C676C5">
              <w:tc>
                <w:tcPr>
                  <w:tcW w:w="0" w:type="auto"/>
                  <w:shd w:val="clear" w:color="auto" w:fill="auto"/>
                  <w:hideMark/>
                </w:tcPr>
                <w:p w14:paraId="1113A325" w14:textId="77777777" w:rsidR="00C676C5" w:rsidRPr="00C676C5" w:rsidRDefault="00C676C5" w:rsidP="00C676C5">
                  <w:pPr>
                    <w:framePr w:hSpace="141" w:wrap="around" w:vAnchor="text" w:hAnchor="text" w:xAlign="right" w:y="1"/>
                    <w:spacing w:after="0" w:line="240" w:lineRule="auto"/>
                    <w:suppressOverlap/>
                    <w:jc w:val="both"/>
                    <w:rPr>
                      <w:rFonts w:ascii="Times New Roman" w:eastAsia="Times New Roman" w:hAnsi="Times New Roman"/>
                      <w:snapToGrid w:val="0"/>
                      <w:sz w:val="24"/>
                      <w:szCs w:val="24"/>
                      <w:lang w:val="en-US"/>
                    </w:rPr>
                  </w:pPr>
                  <w:r w:rsidRPr="00C676C5">
                    <w:rPr>
                      <w:rFonts w:ascii="Times New Roman" w:eastAsia="Times New Roman" w:hAnsi="Times New Roman"/>
                      <w:snapToGrid w:val="0"/>
                      <w:sz w:val="24"/>
                      <w:szCs w:val="24"/>
                      <w:lang w:val="en-US"/>
                    </w:rPr>
                    <w:t>а)</w:t>
                  </w:r>
                </w:p>
              </w:tc>
              <w:tc>
                <w:tcPr>
                  <w:tcW w:w="0" w:type="auto"/>
                  <w:shd w:val="clear" w:color="auto" w:fill="auto"/>
                  <w:hideMark/>
                </w:tcPr>
                <w:p w14:paraId="39667FF5" w14:textId="77777777" w:rsidR="00C676C5" w:rsidRPr="00C676C5" w:rsidRDefault="00C676C5" w:rsidP="00C676C5">
                  <w:pPr>
                    <w:framePr w:hSpace="141" w:wrap="around" w:vAnchor="text" w:hAnchor="text" w:xAlign="right" w:y="1"/>
                    <w:spacing w:after="0" w:line="240" w:lineRule="auto"/>
                    <w:suppressOverlap/>
                    <w:jc w:val="both"/>
                    <w:rPr>
                      <w:rFonts w:ascii="Times New Roman" w:eastAsia="Times New Roman" w:hAnsi="Times New Roman"/>
                      <w:snapToGrid w:val="0"/>
                      <w:sz w:val="24"/>
                      <w:szCs w:val="24"/>
                      <w:lang w:val="en-US"/>
                    </w:rPr>
                  </w:pPr>
                  <w:proofErr w:type="spellStart"/>
                  <w:r w:rsidRPr="00C676C5">
                    <w:rPr>
                      <w:rFonts w:ascii="Times New Roman" w:eastAsia="Times New Roman" w:hAnsi="Times New Roman"/>
                      <w:snapToGrid w:val="0"/>
                      <w:sz w:val="24"/>
                      <w:szCs w:val="24"/>
                      <w:lang w:val="en-US"/>
                    </w:rPr>
                    <w:t>когато</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включват</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сътрудничество</w:t>
                  </w:r>
                  <w:proofErr w:type="spellEnd"/>
                  <w:r w:rsidRPr="00C676C5">
                    <w:rPr>
                      <w:rFonts w:ascii="Times New Roman" w:eastAsia="Times New Roman" w:hAnsi="Times New Roman"/>
                      <w:snapToGrid w:val="0"/>
                      <w:sz w:val="24"/>
                      <w:szCs w:val="24"/>
                      <w:lang w:val="en-US"/>
                    </w:rPr>
                    <w:t xml:space="preserve"> с МСП </w:t>
                  </w:r>
                  <w:proofErr w:type="spellStart"/>
                  <w:r w:rsidRPr="00C676C5">
                    <w:rPr>
                      <w:rFonts w:ascii="Times New Roman" w:eastAsia="Times New Roman" w:hAnsi="Times New Roman"/>
                      <w:snapToGrid w:val="0"/>
                      <w:sz w:val="24"/>
                      <w:szCs w:val="24"/>
                      <w:lang w:val="en-US"/>
                    </w:rPr>
                    <w:t>във</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връзка</w:t>
                  </w:r>
                  <w:proofErr w:type="spellEnd"/>
                  <w:r w:rsidRPr="00C676C5">
                    <w:rPr>
                      <w:rFonts w:ascii="Times New Roman" w:eastAsia="Times New Roman" w:hAnsi="Times New Roman"/>
                      <w:snapToGrid w:val="0"/>
                      <w:sz w:val="24"/>
                      <w:szCs w:val="24"/>
                      <w:lang w:val="en-US"/>
                    </w:rPr>
                    <w:t xml:space="preserve"> с </w:t>
                  </w:r>
                  <w:proofErr w:type="spellStart"/>
                  <w:r w:rsidRPr="00C676C5">
                    <w:rPr>
                      <w:rFonts w:ascii="Times New Roman" w:eastAsia="Times New Roman" w:hAnsi="Times New Roman"/>
                      <w:snapToGrid w:val="0"/>
                      <w:sz w:val="24"/>
                      <w:szCs w:val="24"/>
                      <w:lang w:val="en-US"/>
                    </w:rPr>
                    <w:t>научноизследователски</w:t>
                  </w:r>
                  <w:proofErr w:type="spellEnd"/>
                  <w:r w:rsidRPr="00C676C5">
                    <w:rPr>
                      <w:rFonts w:ascii="Times New Roman" w:eastAsia="Times New Roman" w:hAnsi="Times New Roman"/>
                      <w:snapToGrid w:val="0"/>
                      <w:sz w:val="24"/>
                      <w:szCs w:val="24"/>
                      <w:lang w:val="en-US"/>
                    </w:rPr>
                    <w:t xml:space="preserve"> и </w:t>
                  </w:r>
                  <w:proofErr w:type="spellStart"/>
                  <w:r w:rsidRPr="00C676C5">
                    <w:rPr>
                      <w:rFonts w:ascii="Times New Roman" w:eastAsia="Times New Roman" w:hAnsi="Times New Roman"/>
                      <w:snapToGrid w:val="0"/>
                      <w:sz w:val="24"/>
                      <w:szCs w:val="24"/>
                      <w:lang w:val="en-US"/>
                    </w:rPr>
                    <w:t>иновационни</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дейности</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подкрепяни</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по</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член</w:t>
                  </w:r>
                  <w:proofErr w:type="spellEnd"/>
                  <w:r w:rsidRPr="00C676C5">
                    <w:rPr>
                      <w:rFonts w:ascii="Times New Roman" w:eastAsia="Times New Roman" w:hAnsi="Times New Roman"/>
                      <w:snapToGrid w:val="0"/>
                      <w:sz w:val="24"/>
                      <w:szCs w:val="24"/>
                      <w:lang w:val="en-US"/>
                    </w:rPr>
                    <w:t xml:space="preserve"> 3, </w:t>
                  </w:r>
                  <w:proofErr w:type="spellStart"/>
                  <w:r w:rsidRPr="00C676C5">
                    <w:rPr>
                      <w:rFonts w:ascii="Times New Roman" w:eastAsia="Times New Roman" w:hAnsi="Times New Roman"/>
                      <w:snapToGrid w:val="0"/>
                      <w:sz w:val="24"/>
                      <w:szCs w:val="24"/>
                      <w:lang w:val="en-US"/>
                    </w:rPr>
                    <w:t>параграф</w:t>
                  </w:r>
                  <w:proofErr w:type="spellEnd"/>
                  <w:r w:rsidRPr="00C676C5">
                    <w:rPr>
                      <w:rFonts w:ascii="Times New Roman" w:eastAsia="Times New Roman" w:hAnsi="Times New Roman"/>
                      <w:snapToGrid w:val="0"/>
                      <w:sz w:val="24"/>
                      <w:szCs w:val="24"/>
                      <w:lang w:val="en-US"/>
                    </w:rPr>
                    <w:t xml:space="preserve"> 1, </w:t>
                  </w:r>
                  <w:proofErr w:type="spellStart"/>
                  <w:r w:rsidRPr="00C676C5">
                    <w:rPr>
                      <w:rFonts w:ascii="Times New Roman" w:eastAsia="Times New Roman" w:hAnsi="Times New Roman"/>
                      <w:snapToGrid w:val="0"/>
                      <w:sz w:val="24"/>
                      <w:szCs w:val="24"/>
                      <w:lang w:val="en-US"/>
                    </w:rPr>
                    <w:t>първа</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алинея</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буква</w:t>
                  </w:r>
                  <w:proofErr w:type="spellEnd"/>
                  <w:r w:rsidRPr="00C676C5">
                    <w:rPr>
                      <w:rFonts w:ascii="Times New Roman" w:eastAsia="Times New Roman" w:hAnsi="Times New Roman"/>
                      <w:snapToGrid w:val="0"/>
                      <w:sz w:val="24"/>
                      <w:szCs w:val="24"/>
                      <w:lang w:val="en-US"/>
                    </w:rPr>
                    <w:t xml:space="preserve"> а), </w:t>
                  </w:r>
                  <w:proofErr w:type="spellStart"/>
                  <w:r w:rsidRPr="00C676C5">
                    <w:rPr>
                      <w:rFonts w:ascii="Times New Roman" w:eastAsia="Times New Roman" w:hAnsi="Times New Roman"/>
                      <w:snapToGrid w:val="0"/>
                      <w:sz w:val="24"/>
                      <w:szCs w:val="24"/>
                      <w:lang w:val="en-US"/>
                    </w:rPr>
                    <w:t>точка</w:t>
                  </w:r>
                  <w:proofErr w:type="spellEnd"/>
                  <w:r w:rsidRPr="00C676C5">
                    <w:rPr>
                      <w:rFonts w:ascii="Times New Roman" w:eastAsia="Times New Roman" w:hAnsi="Times New Roman"/>
                      <w:snapToGrid w:val="0"/>
                      <w:sz w:val="24"/>
                      <w:szCs w:val="24"/>
                      <w:lang w:val="en-US"/>
                    </w:rPr>
                    <w:t> </w:t>
                  </w:r>
                  <w:proofErr w:type="spellStart"/>
                  <w:r w:rsidRPr="00C676C5">
                    <w:rPr>
                      <w:rFonts w:ascii="Times New Roman" w:eastAsia="Times New Roman" w:hAnsi="Times New Roman"/>
                      <w:snapToGrid w:val="0"/>
                      <w:sz w:val="24"/>
                      <w:szCs w:val="24"/>
                      <w:lang w:val="en-US"/>
                    </w:rPr>
                    <w:t>i</w:t>
                  </w:r>
                  <w:proofErr w:type="spellEnd"/>
                  <w:r w:rsidRPr="00C676C5">
                    <w:rPr>
                      <w:rFonts w:ascii="Times New Roman" w:eastAsia="Times New Roman" w:hAnsi="Times New Roman"/>
                      <w:snapToGrid w:val="0"/>
                      <w:sz w:val="24"/>
                      <w:szCs w:val="24"/>
                      <w:lang w:val="en-US"/>
                    </w:rPr>
                    <w:t>);</w:t>
                  </w:r>
                </w:p>
              </w:tc>
            </w:tr>
            <w:tr w:rsidR="00C676C5" w:rsidRPr="00C676C5" w14:paraId="7610B919" w14:textId="77777777" w:rsidTr="00C676C5">
              <w:tc>
                <w:tcPr>
                  <w:tcW w:w="0" w:type="auto"/>
                  <w:shd w:val="clear" w:color="auto" w:fill="auto"/>
                  <w:hideMark/>
                </w:tcPr>
                <w:p w14:paraId="6FF01C5C" w14:textId="77777777" w:rsidR="00C676C5" w:rsidRPr="00C676C5" w:rsidRDefault="00C676C5" w:rsidP="00C676C5">
                  <w:pPr>
                    <w:framePr w:hSpace="141" w:wrap="around" w:vAnchor="text" w:hAnchor="text" w:xAlign="right" w:y="1"/>
                    <w:spacing w:after="0" w:line="240" w:lineRule="auto"/>
                    <w:suppressOverlap/>
                    <w:jc w:val="both"/>
                    <w:rPr>
                      <w:rFonts w:ascii="Times New Roman" w:eastAsia="Times New Roman" w:hAnsi="Times New Roman"/>
                      <w:snapToGrid w:val="0"/>
                      <w:sz w:val="24"/>
                      <w:szCs w:val="24"/>
                      <w:lang w:val="en-US"/>
                    </w:rPr>
                  </w:pPr>
                  <w:r w:rsidRPr="00C676C5">
                    <w:rPr>
                      <w:rFonts w:ascii="Times New Roman" w:eastAsia="Times New Roman" w:hAnsi="Times New Roman"/>
                      <w:snapToGrid w:val="0"/>
                      <w:sz w:val="24"/>
                      <w:szCs w:val="24"/>
                      <w:lang w:val="en-US"/>
                    </w:rPr>
                    <w:t>б)</w:t>
                  </w:r>
                </w:p>
              </w:tc>
              <w:tc>
                <w:tcPr>
                  <w:tcW w:w="0" w:type="auto"/>
                  <w:shd w:val="clear" w:color="auto" w:fill="auto"/>
                  <w:hideMark/>
                </w:tcPr>
                <w:p w14:paraId="697CDBFF" w14:textId="77777777" w:rsidR="00C676C5" w:rsidRPr="00C676C5" w:rsidRDefault="00C676C5" w:rsidP="00C676C5">
                  <w:pPr>
                    <w:framePr w:hSpace="141" w:wrap="around" w:vAnchor="text" w:hAnchor="text" w:xAlign="right" w:y="1"/>
                    <w:spacing w:after="0" w:line="240" w:lineRule="auto"/>
                    <w:suppressOverlap/>
                    <w:jc w:val="both"/>
                    <w:rPr>
                      <w:rFonts w:ascii="Times New Roman" w:eastAsia="Times New Roman" w:hAnsi="Times New Roman"/>
                      <w:snapToGrid w:val="0"/>
                      <w:sz w:val="24"/>
                      <w:szCs w:val="24"/>
                      <w:lang w:val="en-US"/>
                    </w:rPr>
                  </w:pPr>
                  <w:proofErr w:type="spellStart"/>
                  <w:r w:rsidRPr="00C676C5">
                    <w:rPr>
                      <w:rFonts w:ascii="Times New Roman" w:eastAsia="Times New Roman" w:hAnsi="Times New Roman"/>
                      <w:snapToGrid w:val="0"/>
                      <w:sz w:val="24"/>
                      <w:szCs w:val="24"/>
                      <w:lang w:val="en-US"/>
                    </w:rPr>
                    <w:t>когато</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се</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подкрепят</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предимно</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мерки</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за</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енергийна</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ефективност</w:t>
                  </w:r>
                  <w:proofErr w:type="spellEnd"/>
                  <w:r w:rsidRPr="00C676C5">
                    <w:rPr>
                      <w:rFonts w:ascii="Times New Roman" w:eastAsia="Times New Roman" w:hAnsi="Times New Roman"/>
                      <w:snapToGrid w:val="0"/>
                      <w:sz w:val="24"/>
                      <w:szCs w:val="24"/>
                      <w:lang w:val="en-US"/>
                    </w:rPr>
                    <w:t xml:space="preserve"> и </w:t>
                  </w:r>
                  <w:proofErr w:type="spellStart"/>
                  <w:r w:rsidRPr="00C676C5">
                    <w:rPr>
                      <w:rFonts w:ascii="Times New Roman" w:eastAsia="Times New Roman" w:hAnsi="Times New Roman"/>
                      <w:snapToGrid w:val="0"/>
                      <w:sz w:val="24"/>
                      <w:szCs w:val="24"/>
                      <w:lang w:val="en-US"/>
                    </w:rPr>
                    <w:t>енергия</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от</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възобновяеми</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източници</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съгласно</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член</w:t>
                  </w:r>
                  <w:proofErr w:type="spellEnd"/>
                  <w:r w:rsidRPr="00C676C5">
                    <w:rPr>
                      <w:rFonts w:ascii="Times New Roman" w:eastAsia="Times New Roman" w:hAnsi="Times New Roman"/>
                      <w:snapToGrid w:val="0"/>
                      <w:sz w:val="24"/>
                      <w:szCs w:val="24"/>
                      <w:lang w:val="en-US"/>
                    </w:rPr>
                    <w:t xml:space="preserve"> 3, </w:t>
                  </w:r>
                  <w:proofErr w:type="spellStart"/>
                  <w:r w:rsidRPr="00C676C5">
                    <w:rPr>
                      <w:rFonts w:ascii="Times New Roman" w:eastAsia="Times New Roman" w:hAnsi="Times New Roman"/>
                      <w:snapToGrid w:val="0"/>
                      <w:sz w:val="24"/>
                      <w:szCs w:val="24"/>
                      <w:lang w:val="en-US"/>
                    </w:rPr>
                    <w:t>параграф</w:t>
                  </w:r>
                  <w:proofErr w:type="spellEnd"/>
                  <w:r w:rsidRPr="00C676C5">
                    <w:rPr>
                      <w:rFonts w:ascii="Times New Roman" w:eastAsia="Times New Roman" w:hAnsi="Times New Roman"/>
                      <w:snapToGrid w:val="0"/>
                      <w:sz w:val="24"/>
                      <w:szCs w:val="24"/>
                      <w:lang w:val="en-US"/>
                    </w:rPr>
                    <w:t xml:space="preserve"> 1, </w:t>
                  </w:r>
                  <w:proofErr w:type="spellStart"/>
                  <w:r w:rsidRPr="00C676C5">
                    <w:rPr>
                      <w:rFonts w:ascii="Times New Roman" w:eastAsia="Times New Roman" w:hAnsi="Times New Roman"/>
                      <w:snapToGrid w:val="0"/>
                      <w:sz w:val="24"/>
                      <w:szCs w:val="24"/>
                      <w:lang w:val="en-US"/>
                    </w:rPr>
                    <w:t>първа</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алинея</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буква</w:t>
                  </w:r>
                  <w:proofErr w:type="spellEnd"/>
                  <w:r w:rsidRPr="00C676C5">
                    <w:rPr>
                      <w:rFonts w:ascii="Times New Roman" w:eastAsia="Times New Roman" w:hAnsi="Times New Roman"/>
                      <w:snapToGrid w:val="0"/>
                      <w:sz w:val="24"/>
                      <w:szCs w:val="24"/>
                      <w:lang w:val="en-US"/>
                    </w:rPr>
                    <w:t xml:space="preserve"> б), </w:t>
                  </w:r>
                  <w:proofErr w:type="spellStart"/>
                  <w:r w:rsidRPr="00C676C5">
                    <w:rPr>
                      <w:rFonts w:ascii="Times New Roman" w:eastAsia="Times New Roman" w:hAnsi="Times New Roman"/>
                      <w:snapToGrid w:val="0"/>
                      <w:sz w:val="24"/>
                      <w:szCs w:val="24"/>
                      <w:lang w:val="en-US"/>
                    </w:rPr>
                    <w:t>точка</w:t>
                  </w:r>
                  <w:proofErr w:type="spellEnd"/>
                  <w:r w:rsidRPr="00C676C5">
                    <w:rPr>
                      <w:rFonts w:ascii="Times New Roman" w:eastAsia="Times New Roman" w:hAnsi="Times New Roman"/>
                      <w:snapToGrid w:val="0"/>
                      <w:sz w:val="24"/>
                      <w:szCs w:val="24"/>
                      <w:lang w:val="en-US"/>
                    </w:rPr>
                    <w:t> </w:t>
                  </w:r>
                  <w:proofErr w:type="spellStart"/>
                  <w:r w:rsidRPr="00C676C5">
                    <w:rPr>
                      <w:rFonts w:ascii="Times New Roman" w:eastAsia="Times New Roman" w:hAnsi="Times New Roman"/>
                      <w:snapToGrid w:val="0"/>
                      <w:sz w:val="24"/>
                      <w:szCs w:val="24"/>
                      <w:lang w:val="en-US"/>
                    </w:rPr>
                    <w:t>i</w:t>
                  </w:r>
                  <w:proofErr w:type="spellEnd"/>
                  <w:r w:rsidRPr="00C676C5">
                    <w:rPr>
                      <w:rFonts w:ascii="Times New Roman" w:eastAsia="Times New Roman" w:hAnsi="Times New Roman"/>
                      <w:snapToGrid w:val="0"/>
                      <w:sz w:val="24"/>
                      <w:szCs w:val="24"/>
                      <w:lang w:val="en-US"/>
                    </w:rPr>
                    <w:t xml:space="preserve">) и </w:t>
                  </w:r>
                  <w:proofErr w:type="spellStart"/>
                  <w:r w:rsidRPr="00C676C5">
                    <w:rPr>
                      <w:rFonts w:ascii="Times New Roman" w:eastAsia="Times New Roman" w:hAnsi="Times New Roman"/>
                      <w:snapToGrid w:val="0"/>
                      <w:sz w:val="24"/>
                      <w:szCs w:val="24"/>
                      <w:lang w:val="en-US"/>
                    </w:rPr>
                    <w:t>буква</w:t>
                  </w:r>
                  <w:proofErr w:type="spellEnd"/>
                  <w:r w:rsidRPr="00C676C5">
                    <w:rPr>
                      <w:rFonts w:ascii="Times New Roman" w:eastAsia="Times New Roman" w:hAnsi="Times New Roman"/>
                      <w:snapToGrid w:val="0"/>
                      <w:sz w:val="24"/>
                      <w:szCs w:val="24"/>
                      <w:lang w:val="en-US"/>
                    </w:rPr>
                    <w:t xml:space="preserve"> б), </w:t>
                  </w:r>
                  <w:proofErr w:type="spellStart"/>
                  <w:r w:rsidRPr="00C676C5">
                    <w:rPr>
                      <w:rFonts w:ascii="Times New Roman" w:eastAsia="Times New Roman" w:hAnsi="Times New Roman"/>
                      <w:snapToGrid w:val="0"/>
                      <w:sz w:val="24"/>
                      <w:szCs w:val="24"/>
                      <w:lang w:val="en-US"/>
                    </w:rPr>
                    <w:t>точка</w:t>
                  </w:r>
                  <w:proofErr w:type="spellEnd"/>
                  <w:r w:rsidRPr="00C676C5">
                    <w:rPr>
                      <w:rFonts w:ascii="Times New Roman" w:eastAsia="Times New Roman" w:hAnsi="Times New Roman"/>
                      <w:snapToGrid w:val="0"/>
                      <w:sz w:val="24"/>
                      <w:szCs w:val="24"/>
                      <w:lang w:val="en-US"/>
                    </w:rPr>
                    <w:t> ii);</w:t>
                  </w:r>
                </w:p>
              </w:tc>
            </w:tr>
            <w:tr w:rsidR="00C676C5" w:rsidRPr="00C676C5" w14:paraId="2B332F71" w14:textId="77777777" w:rsidTr="00C676C5">
              <w:tc>
                <w:tcPr>
                  <w:tcW w:w="0" w:type="auto"/>
                  <w:shd w:val="clear" w:color="auto" w:fill="auto"/>
                  <w:hideMark/>
                </w:tcPr>
                <w:p w14:paraId="7EB64C44" w14:textId="77777777" w:rsidR="00C676C5" w:rsidRPr="00C676C5" w:rsidRDefault="00C676C5" w:rsidP="00C676C5">
                  <w:pPr>
                    <w:framePr w:hSpace="141" w:wrap="around" w:vAnchor="text" w:hAnchor="text" w:xAlign="right" w:y="1"/>
                    <w:spacing w:after="0" w:line="240" w:lineRule="auto"/>
                    <w:suppressOverlap/>
                    <w:jc w:val="both"/>
                    <w:rPr>
                      <w:rFonts w:ascii="Times New Roman" w:eastAsia="Times New Roman" w:hAnsi="Times New Roman"/>
                      <w:snapToGrid w:val="0"/>
                      <w:sz w:val="24"/>
                      <w:szCs w:val="24"/>
                      <w:lang w:val="en-US"/>
                    </w:rPr>
                  </w:pPr>
                  <w:r w:rsidRPr="00C676C5">
                    <w:rPr>
                      <w:rFonts w:ascii="Times New Roman" w:eastAsia="Times New Roman" w:hAnsi="Times New Roman"/>
                      <w:snapToGrid w:val="0"/>
                      <w:sz w:val="24"/>
                      <w:szCs w:val="24"/>
                      <w:lang w:val="en-US"/>
                    </w:rPr>
                    <w:t>в)</w:t>
                  </w:r>
                </w:p>
              </w:tc>
              <w:tc>
                <w:tcPr>
                  <w:tcW w:w="0" w:type="auto"/>
                  <w:shd w:val="clear" w:color="auto" w:fill="auto"/>
                  <w:hideMark/>
                </w:tcPr>
                <w:p w14:paraId="3298CE68" w14:textId="77777777" w:rsidR="00C676C5" w:rsidRPr="00C676C5" w:rsidRDefault="00C676C5" w:rsidP="00C676C5">
                  <w:pPr>
                    <w:framePr w:hSpace="141" w:wrap="around" w:vAnchor="text" w:hAnchor="text" w:xAlign="right" w:y="1"/>
                    <w:spacing w:after="0" w:line="240" w:lineRule="auto"/>
                    <w:suppressOverlap/>
                    <w:jc w:val="both"/>
                    <w:rPr>
                      <w:rFonts w:ascii="Times New Roman" w:eastAsia="Times New Roman" w:hAnsi="Times New Roman"/>
                      <w:snapToGrid w:val="0"/>
                      <w:sz w:val="24"/>
                      <w:szCs w:val="24"/>
                      <w:lang w:val="en-US"/>
                    </w:rPr>
                  </w:pPr>
                  <w:proofErr w:type="spellStart"/>
                  <w:r w:rsidRPr="00C676C5">
                    <w:rPr>
                      <w:rFonts w:ascii="Times New Roman" w:eastAsia="Times New Roman" w:hAnsi="Times New Roman"/>
                      <w:snapToGrid w:val="0"/>
                      <w:sz w:val="24"/>
                      <w:szCs w:val="24"/>
                      <w:lang w:val="en-US"/>
                    </w:rPr>
                    <w:t>когато</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се</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правят</w:t>
                  </w:r>
                  <w:proofErr w:type="spellEnd"/>
                  <w:r w:rsidRPr="00C676C5">
                    <w:rPr>
                      <w:rFonts w:ascii="Times New Roman" w:eastAsia="Times New Roman" w:hAnsi="Times New Roman"/>
                      <w:snapToGrid w:val="0"/>
                      <w:sz w:val="24"/>
                      <w:szCs w:val="24"/>
                      <w:lang w:val="en-US"/>
                    </w:rPr>
                    <w:t xml:space="preserve"> в </w:t>
                  </w:r>
                  <w:proofErr w:type="spellStart"/>
                  <w:r w:rsidRPr="00C676C5">
                    <w:rPr>
                      <w:rFonts w:ascii="Times New Roman" w:eastAsia="Times New Roman" w:hAnsi="Times New Roman"/>
                      <w:snapToGrid w:val="0"/>
                      <w:sz w:val="24"/>
                      <w:szCs w:val="24"/>
                      <w:lang w:val="en-US"/>
                    </w:rPr>
                    <w:t>малки</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дружества</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със</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средна</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пазарна</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капитализация</w:t>
                  </w:r>
                  <w:proofErr w:type="spellEnd"/>
                  <w:r w:rsidRPr="00C676C5">
                    <w:rPr>
                      <w:rFonts w:ascii="Times New Roman" w:eastAsia="Times New Roman" w:hAnsi="Times New Roman"/>
                      <w:snapToGrid w:val="0"/>
                      <w:sz w:val="24"/>
                      <w:szCs w:val="24"/>
                      <w:lang w:val="en-US"/>
                    </w:rPr>
                    <w:t xml:space="preserve"> и </w:t>
                  </w:r>
                  <w:proofErr w:type="spellStart"/>
                  <w:r w:rsidRPr="00C676C5">
                    <w:rPr>
                      <w:rFonts w:ascii="Times New Roman" w:eastAsia="Times New Roman" w:hAnsi="Times New Roman"/>
                      <w:snapToGrid w:val="0"/>
                      <w:sz w:val="24"/>
                      <w:szCs w:val="24"/>
                      <w:lang w:val="en-US"/>
                    </w:rPr>
                    <w:t>дружества</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със</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средна</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пазарна</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капитализация</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съгласно</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определението</w:t>
                  </w:r>
                  <w:proofErr w:type="spellEnd"/>
                  <w:r w:rsidRPr="00C676C5">
                    <w:rPr>
                      <w:rFonts w:ascii="Times New Roman" w:eastAsia="Times New Roman" w:hAnsi="Times New Roman"/>
                      <w:snapToGrid w:val="0"/>
                      <w:sz w:val="24"/>
                      <w:szCs w:val="24"/>
                      <w:lang w:val="en-US"/>
                    </w:rPr>
                    <w:t xml:space="preserve"> в </w:t>
                  </w:r>
                  <w:proofErr w:type="spellStart"/>
                  <w:r w:rsidRPr="00C676C5">
                    <w:rPr>
                      <w:rFonts w:ascii="Times New Roman" w:eastAsia="Times New Roman" w:hAnsi="Times New Roman"/>
                      <w:snapToGrid w:val="0"/>
                      <w:sz w:val="24"/>
                      <w:szCs w:val="24"/>
                      <w:lang w:val="en-US"/>
                    </w:rPr>
                    <w:t>член</w:t>
                  </w:r>
                  <w:proofErr w:type="spellEnd"/>
                  <w:r w:rsidRPr="00C676C5">
                    <w:rPr>
                      <w:rFonts w:ascii="Times New Roman" w:eastAsia="Times New Roman" w:hAnsi="Times New Roman"/>
                      <w:snapToGrid w:val="0"/>
                      <w:sz w:val="24"/>
                      <w:szCs w:val="24"/>
                      <w:lang w:val="en-US"/>
                    </w:rPr>
                    <w:t xml:space="preserve"> 2, </w:t>
                  </w:r>
                  <w:proofErr w:type="spellStart"/>
                  <w:r w:rsidRPr="00C676C5">
                    <w:rPr>
                      <w:rFonts w:ascii="Times New Roman" w:eastAsia="Times New Roman" w:hAnsi="Times New Roman"/>
                      <w:snapToGrid w:val="0"/>
                      <w:sz w:val="24"/>
                      <w:szCs w:val="24"/>
                      <w:lang w:val="en-US"/>
                    </w:rPr>
                    <w:t>точки</w:t>
                  </w:r>
                  <w:proofErr w:type="spellEnd"/>
                  <w:r w:rsidRPr="00C676C5">
                    <w:rPr>
                      <w:rFonts w:ascii="Times New Roman" w:eastAsia="Times New Roman" w:hAnsi="Times New Roman"/>
                      <w:snapToGrid w:val="0"/>
                      <w:sz w:val="24"/>
                      <w:szCs w:val="24"/>
                      <w:lang w:val="en-US"/>
                    </w:rPr>
                    <w:t xml:space="preserve"> 6 и 7 </w:t>
                  </w:r>
                  <w:proofErr w:type="spellStart"/>
                  <w:r w:rsidRPr="00C676C5">
                    <w:rPr>
                      <w:rFonts w:ascii="Times New Roman" w:eastAsia="Times New Roman" w:hAnsi="Times New Roman"/>
                      <w:snapToGrid w:val="0"/>
                      <w:sz w:val="24"/>
                      <w:szCs w:val="24"/>
                      <w:lang w:val="en-US"/>
                    </w:rPr>
                    <w:t>от</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Регламент</w:t>
                  </w:r>
                  <w:proofErr w:type="spellEnd"/>
                  <w:r w:rsidRPr="00C676C5">
                    <w:rPr>
                      <w:rFonts w:ascii="Times New Roman" w:eastAsia="Times New Roman" w:hAnsi="Times New Roman"/>
                      <w:snapToGrid w:val="0"/>
                      <w:sz w:val="24"/>
                      <w:szCs w:val="24"/>
                      <w:lang w:val="en-US"/>
                    </w:rPr>
                    <w:t xml:space="preserve"> (ЕС) </w:t>
                  </w:r>
                  <w:r w:rsidRPr="00C676C5">
                    <w:rPr>
                      <w:rFonts w:ascii="Times New Roman" w:eastAsia="Times New Roman" w:hAnsi="Times New Roman"/>
                      <w:snapToGrid w:val="0"/>
                      <w:sz w:val="24"/>
                      <w:szCs w:val="24"/>
                      <w:lang w:val="en-US"/>
                    </w:rPr>
                    <w:lastRenderedPageBreak/>
                    <w:t xml:space="preserve">2015/1017 </w:t>
                  </w:r>
                  <w:proofErr w:type="spellStart"/>
                  <w:r w:rsidRPr="00C676C5">
                    <w:rPr>
                      <w:rFonts w:ascii="Times New Roman" w:eastAsia="Times New Roman" w:hAnsi="Times New Roman"/>
                      <w:snapToGrid w:val="0"/>
                      <w:sz w:val="24"/>
                      <w:szCs w:val="24"/>
                      <w:lang w:val="en-US"/>
                    </w:rPr>
                    <w:t>на</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Европейския</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парламент</w:t>
                  </w:r>
                  <w:proofErr w:type="spellEnd"/>
                  <w:r w:rsidRPr="00C676C5">
                    <w:rPr>
                      <w:rFonts w:ascii="Times New Roman" w:eastAsia="Times New Roman" w:hAnsi="Times New Roman"/>
                      <w:snapToGrid w:val="0"/>
                      <w:sz w:val="24"/>
                      <w:szCs w:val="24"/>
                      <w:lang w:val="en-US"/>
                    </w:rPr>
                    <w:t xml:space="preserve"> и </w:t>
                  </w:r>
                  <w:proofErr w:type="spellStart"/>
                  <w:r w:rsidRPr="00C676C5">
                    <w:rPr>
                      <w:rFonts w:ascii="Times New Roman" w:eastAsia="Times New Roman" w:hAnsi="Times New Roman"/>
                      <w:snapToGrid w:val="0"/>
                      <w:sz w:val="24"/>
                      <w:szCs w:val="24"/>
                      <w:lang w:val="en-US"/>
                    </w:rPr>
                    <w:t>на</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Съвета</w:t>
                  </w:r>
                  <w:proofErr w:type="spellEnd"/>
                  <w:r w:rsidRPr="00C676C5">
                    <w:rPr>
                      <w:rFonts w:ascii="Times New Roman" w:eastAsia="Times New Roman" w:hAnsi="Times New Roman"/>
                      <w:snapToGrid w:val="0"/>
                      <w:sz w:val="24"/>
                      <w:szCs w:val="24"/>
                      <w:lang w:val="en-US"/>
                    </w:rPr>
                    <w:t> </w:t>
                  </w:r>
                  <w:hyperlink r:id="rId8" w:anchor="ntr21-L_2021231BG.01006001-E0021" w:history="1">
                    <w:r w:rsidRPr="00C676C5">
                      <w:rPr>
                        <w:rStyle w:val="Hyperlink"/>
                        <w:rFonts w:ascii="Times New Roman" w:eastAsia="Times New Roman" w:hAnsi="Times New Roman"/>
                        <w:snapToGrid w:val="0"/>
                        <w:sz w:val="24"/>
                        <w:szCs w:val="24"/>
                        <w:lang w:val="en-US"/>
                      </w:rPr>
                      <w:t>(</w:t>
                    </w:r>
                    <w:r w:rsidRPr="00C676C5">
                      <w:rPr>
                        <w:rStyle w:val="Hyperlink"/>
                        <w:rFonts w:ascii="Times New Roman" w:eastAsia="Times New Roman" w:hAnsi="Times New Roman"/>
                        <w:snapToGrid w:val="0"/>
                        <w:sz w:val="24"/>
                        <w:szCs w:val="24"/>
                        <w:vertAlign w:val="superscript"/>
                        <w:lang w:val="en-US"/>
                      </w:rPr>
                      <w:t>21</w:t>
                    </w:r>
                    <w:r w:rsidRPr="00C676C5">
                      <w:rPr>
                        <w:rStyle w:val="Hyperlink"/>
                        <w:rFonts w:ascii="Times New Roman" w:eastAsia="Times New Roman" w:hAnsi="Times New Roman"/>
                        <w:snapToGrid w:val="0"/>
                        <w:sz w:val="24"/>
                        <w:szCs w:val="24"/>
                        <w:lang w:val="en-US"/>
                      </w:rPr>
                      <w:t>)</w:t>
                    </w:r>
                  </w:hyperlink>
                  <w:r w:rsidRPr="00C676C5">
                    <w:rPr>
                      <w:rFonts w:ascii="Times New Roman" w:eastAsia="Times New Roman" w:hAnsi="Times New Roman"/>
                      <w:snapToGrid w:val="0"/>
                      <w:sz w:val="24"/>
                      <w:szCs w:val="24"/>
                      <w:lang w:val="en-US"/>
                    </w:rPr>
                    <w:t> </w:t>
                  </w:r>
                  <w:proofErr w:type="spellStart"/>
                  <w:r w:rsidRPr="00C676C5">
                    <w:rPr>
                      <w:rFonts w:ascii="Times New Roman" w:eastAsia="Times New Roman" w:hAnsi="Times New Roman"/>
                      <w:snapToGrid w:val="0"/>
                      <w:sz w:val="24"/>
                      <w:szCs w:val="24"/>
                      <w:lang w:val="en-US"/>
                    </w:rPr>
                    <w:t>чрез</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финансови</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инструменти</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или</w:t>
                  </w:r>
                  <w:proofErr w:type="spellEnd"/>
                </w:p>
              </w:tc>
            </w:tr>
            <w:tr w:rsidR="00C676C5" w:rsidRPr="00C676C5" w14:paraId="479A1949" w14:textId="77777777" w:rsidTr="00C676C5">
              <w:tc>
                <w:tcPr>
                  <w:tcW w:w="0" w:type="auto"/>
                  <w:shd w:val="clear" w:color="auto" w:fill="auto"/>
                  <w:hideMark/>
                </w:tcPr>
                <w:p w14:paraId="26B32A14" w14:textId="77777777" w:rsidR="00C676C5" w:rsidRPr="00C676C5" w:rsidRDefault="00C676C5" w:rsidP="00C676C5">
                  <w:pPr>
                    <w:framePr w:hSpace="141" w:wrap="around" w:vAnchor="text" w:hAnchor="text" w:xAlign="right" w:y="1"/>
                    <w:spacing w:after="0" w:line="240" w:lineRule="auto"/>
                    <w:suppressOverlap/>
                    <w:jc w:val="both"/>
                    <w:rPr>
                      <w:rFonts w:ascii="Times New Roman" w:eastAsia="Times New Roman" w:hAnsi="Times New Roman"/>
                      <w:snapToGrid w:val="0"/>
                      <w:sz w:val="24"/>
                      <w:szCs w:val="24"/>
                      <w:lang w:val="en-US"/>
                    </w:rPr>
                  </w:pPr>
                  <w:r w:rsidRPr="00C676C5">
                    <w:rPr>
                      <w:rFonts w:ascii="Times New Roman" w:eastAsia="Times New Roman" w:hAnsi="Times New Roman"/>
                      <w:snapToGrid w:val="0"/>
                      <w:sz w:val="24"/>
                      <w:szCs w:val="24"/>
                      <w:lang w:val="en-US"/>
                    </w:rPr>
                    <w:lastRenderedPageBreak/>
                    <w:t>г)</w:t>
                  </w:r>
                </w:p>
              </w:tc>
              <w:tc>
                <w:tcPr>
                  <w:tcW w:w="0" w:type="auto"/>
                  <w:shd w:val="clear" w:color="auto" w:fill="auto"/>
                  <w:hideMark/>
                </w:tcPr>
                <w:p w14:paraId="426213B0" w14:textId="77777777" w:rsidR="00C676C5" w:rsidRPr="00C676C5" w:rsidRDefault="00C676C5" w:rsidP="00C676C5">
                  <w:pPr>
                    <w:framePr w:hSpace="141" w:wrap="around" w:vAnchor="text" w:hAnchor="text" w:xAlign="right" w:y="1"/>
                    <w:spacing w:after="0" w:line="240" w:lineRule="auto"/>
                    <w:suppressOverlap/>
                    <w:jc w:val="both"/>
                    <w:rPr>
                      <w:rFonts w:ascii="Times New Roman" w:eastAsia="Times New Roman" w:hAnsi="Times New Roman"/>
                      <w:snapToGrid w:val="0"/>
                      <w:sz w:val="24"/>
                      <w:szCs w:val="24"/>
                      <w:lang w:val="en-US"/>
                    </w:rPr>
                  </w:pPr>
                  <w:proofErr w:type="spellStart"/>
                  <w:r w:rsidRPr="00C676C5">
                    <w:rPr>
                      <w:rFonts w:ascii="Times New Roman" w:eastAsia="Times New Roman" w:hAnsi="Times New Roman"/>
                      <w:snapToGrid w:val="0"/>
                      <w:sz w:val="24"/>
                      <w:szCs w:val="24"/>
                      <w:lang w:val="en-US"/>
                    </w:rPr>
                    <w:t>когато</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се</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правят</w:t>
                  </w:r>
                  <w:proofErr w:type="spellEnd"/>
                  <w:r w:rsidRPr="00C676C5">
                    <w:rPr>
                      <w:rFonts w:ascii="Times New Roman" w:eastAsia="Times New Roman" w:hAnsi="Times New Roman"/>
                      <w:snapToGrid w:val="0"/>
                      <w:sz w:val="24"/>
                      <w:szCs w:val="24"/>
                      <w:lang w:val="en-US"/>
                    </w:rPr>
                    <w:t xml:space="preserve"> в </w:t>
                  </w:r>
                  <w:proofErr w:type="spellStart"/>
                  <w:r w:rsidRPr="00C676C5">
                    <w:rPr>
                      <w:rFonts w:ascii="Times New Roman" w:eastAsia="Times New Roman" w:hAnsi="Times New Roman"/>
                      <w:snapToGrid w:val="0"/>
                      <w:sz w:val="24"/>
                      <w:szCs w:val="24"/>
                      <w:lang w:val="en-US"/>
                    </w:rPr>
                    <w:t>малки</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дружества</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със</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средна</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пазарна</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капитализация</w:t>
                  </w:r>
                  <w:proofErr w:type="spellEnd"/>
                  <w:r w:rsidRPr="00C676C5">
                    <w:rPr>
                      <w:rFonts w:ascii="Times New Roman" w:eastAsia="Times New Roman" w:hAnsi="Times New Roman"/>
                      <w:snapToGrid w:val="0"/>
                      <w:sz w:val="24"/>
                      <w:szCs w:val="24"/>
                      <w:lang w:val="en-US"/>
                    </w:rPr>
                    <w:t xml:space="preserve">, в </w:t>
                  </w:r>
                  <w:proofErr w:type="spellStart"/>
                  <w:r w:rsidRPr="00C676C5">
                    <w:rPr>
                      <w:rFonts w:ascii="Times New Roman" w:eastAsia="Times New Roman" w:hAnsi="Times New Roman"/>
                      <w:snapToGrid w:val="0"/>
                      <w:sz w:val="24"/>
                      <w:szCs w:val="24"/>
                      <w:lang w:val="en-US"/>
                    </w:rPr>
                    <w:t>научноизследователски</w:t>
                  </w:r>
                  <w:proofErr w:type="spellEnd"/>
                  <w:r w:rsidRPr="00C676C5">
                    <w:rPr>
                      <w:rFonts w:ascii="Times New Roman" w:eastAsia="Times New Roman" w:hAnsi="Times New Roman"/>
                      <w:snapToGrid w:val="0"/>
                      <w:sz w:val="24"/>
                      <w:szCs w:val="24"/>
                      <w:lang w:val="en-US"/>
                    </w:rPr>
                    <w:t xml:space="preserve"> и </w:t>
                  </w:r>
                  <w:proofErr w:type="spellStart"/>
                  <w:r w:rsidRPr="00C676C5">
                    <w:rPr>
                      <w:rFonts w:ascii="Times New Roman" w:eastAsia="Times New Roman" w:hAnsi="Times New Roman"/>
                      <w:snapToGrid w:val="0"/>
                      <w:sz w:val="24"/>
                      <w:szCs w:val="24"/>
                      <w:lang w:val="en-US"/>
                    </w:rPr>
                    <w:t>иновационни</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дейности</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подкрепяни</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по</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член</w:t>
                  </w:r>
                  <w:proofErr w:type="spellEnd"/>
                  <w:r w:rsidRPr="00C676C5">
                    <w:rPr>
                      <w:rFonts w:ascii="Times New Roman" w:eastAsia="Times New Roman" w:hAnsi="Times New Roman"/>
                      <w:snapToGrid w:val="0"/>
                      <w:sz w:val="24"/>
                      <w:szCs w:val="24"/>
                      <w:lang w:val="en-US"/>
                    </w:rPr>
                    <w:t xml:space="preserve"> 3, </w:t>
                  </w:r>
                  <w:proofErr w:type="spellStart"/>
                  <w:r w:rsidRPr="00C676C5">
                    <w:rPr>
                      <w:rFonts w:ascii="Times New Roman" w:eastAsia="Times New Roman" w:hAnsi="Times New Roman"/>
                      <w:snapToGrid w:val="0"/>
                      <w:sz w:val="24"/>
                      <w:szCs w:val="24"/>
                      <w:lang w:val="en-US"/>
                    </w:rPr>
                    <w:t>параграф</w:t>
                  </w:r>
                  <w:proofErr w:type="spellEnd"/>
                  <w:r w:rsidRPr="00C676C5">
                    <w:rPr>
                      <w:rFonts w:ascii="Times New Roman" w:eastAsia="Times New Roman" w:hAnsi="Times New Roman"/>
                      <w:snapToGrid w:val="0"/>
                      <w:sz w:val="24"/>
                      <w:szCs w:val="24"/>
                      <w:lang w:val="en-US"/>
                    </w:rPr>
                    <w:t xml:space="preserve"> 1, </w:t>
                  </w:r>
                  <w:proofErr w:type="spellStart"/>
                  <w:r w:rsidRPr="00C676C5">
                    <w:rPr>
                      <w:rFonts w:ascii="Times New Roman" w:eastAsia="Times New Roman" w:hAnsi="Times New Roman"/>
                      <w:snapToGrid w:val="0"/>
                      <w:sz w:val="24"/>
                      <w:szCs w:val="24"/>
                      <w:lang w:val="en-US"/>
                    </w:rPr>
                    <w:t>първа</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алинея</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буква</w:t>
                  </w:r>
                  <w:proofErr w:type="spellEnd"/>
                  <w:r w:rsidRPr="00C676C5">
                    <w:rPr>
                      <w:rFonts w:ascii="Times New Roman" w:eastAsia="Times New Roman" w:hAnsi="Times New Roman"/>
                      <w:snapToGrid w:val="0"/>
                      <w:sz w:val="24"/>
                      <w:szCs w:val="24"/>
                      <w:lang w:val="en-US"/>
                    </w:rPr>
                    <w:t xml:space="preserve"> а), </w:t>
                  </w:r>
                  <w:proofErr w:type="spellStart"/>
                  <w:r w:rsidRPr="00C676C5">
                    <w:rPr>
                      <w:rFonts w:ascii="Times New Roman" w:eastAsia="Times New Roman" w:hAnsi="Times New Roman"/>
                      <w:snapToGrid w:val="0"/>
                      <w:sz w:val="24"/>
                      <w:szCs w:val="24"/>
                      <w:lang w:val="en-US"/>
                    </w:rPr>
                    <w:t>точка</w:t>
                  </w:r>
                  <w:proofErr w:type="spellEnd"/>
                  <w:r w:rsidRPr="00C676C5">
                    <w:rPr>
                      <w:rFonts w:ascii="Times New Roman" w:eastAsia="Times New Roman" w:hAnsi="Times New Roman"/>
                      <w:snapToGrid w:val="0"/>
                      <w:sz w:val="24"/>
                      <w:szCs w:val="24"/>
                      <w:lang w:val="en-US"/>
                    </w:rPr>
                    <w:t> </w:t>
                  </w:r>
                  <w:proofErr w:type="spellStart"/>
                  <w:r w:rsidRPr="00C676C5">
                    <w:rPr>
                      <w:rFonts w:ascii="Times New Roman" w:eastAsia="Times New Roman" w:hAnsi="Times New Roman"/>
                      <w:snapToGrid w:val="0"/>
                      <w:sz w:val="24"/>
                      <w:szCs w:val="24"/>
                      <w:lang w:val="en-US"/>
                    </w:rPr>
                    <w:t>i</w:t>
                  </w:r>
                  <w:proofErr w:type="spellEnd"/>
                  <w:r w:rsidRPr="00C676C5">
                    <w:rPr>
                      <w:rFonts w:ascii="Times New Roman" w:eastAsia="Times New Roman" w:hAnsi="Times New Roman"/>
                      <w:snapToGrid w:val="0"/>
                      <w:sz w:val="24"/>
                      <w:szCs w:val="24"/>
                      <w:lang w:val="en-US"/>
                    </w:rPr>
                    <w:t>).</w:t>
                  </w:r>
                </w:p>
              </w:tc>
            </w:tr>
          </w:tbl>
          <w:p w14:paraId="7DC8D0E5" w14:textId="77777777" w:rsidR="00C676C5" w:rsidRPr="00C676C5" w:rsidRDefault="00C676C5" w:rsidP="00C676C5">
            <w:pPr>
              <w:spacing w:after="0" w:line="240" w:lineRule="auto"/>
              <w:jc w:val="both"/>
              <w:rPr>
                <w:rFonts w:ascii="Times New Roman" w:eastAsia="Times New Roman" w:hAnsi="Times New Roman"/>
                <w:snapToGrid w:val="0"/>
                <w:sz w:val="24"/>
                <w:szCs w:val="24"/>
                <w:lang w:val="en-US"/>
              </w:rPr>
            </w:pPr>
            <w:r w:rsidRPr="00C676C5">
              <w:rPr>
                <w:rFonts w:ascii="Times New Roman" w:eastAsia="Times New Roman" w:hAnsi="Times New Roman"/>
                <w:snapToGrid w:val="0"/>
                <w:sz w:val="24"/>
                <w:szCs w:val="24"/>
                <w:lang w:val="en-US"/>
              </w:rPr>
              <w:t xml:space="preserve">3.   С </w:t>
            </w:r>
            <w:proofErr w:type="spellStart"/>
            <w:r w:rsidRPr="00C676C5">
              <w:rPr>
                <w:rFonts w:ascii="Times New Roman" w:eastAsia="Times New Roman" w:hAnsi="Times New Roman"/>
                <w:snapToGrid w:val="0"/>
                <w:sz w:val="24"/>
                <w:szCs w:val="24"/>
                <w:lang w:val="en-US"/>
              </w:rPr>
              <w:t>цел</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да</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допринесе</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за</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постигането</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на</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специфичната</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цел</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по</w:t>
            </w:r>
            <w:proofErr w:type="spellEnd"/>
            <w:r w:rsidRPr="00C676C5">
              <w:rPr>
                <w:rFonts w:ascii="Times New Roman" w:eastAsia="Times New Roman" w:hAnsi="Times New Roman"/>
                <w:snapToGrid w:val="0"/>
                <w:sz w:val="24"/>
                <w:szCs w:val="24"/>
                <w:lang w:val="en-US"/>
              </w:rPr>
              <w:t xml:space="preserve"> ЦП 1, </w:t>
            </w:r>
            <w:proofErr w:type="spellStart"/>
            <w:r w:rsidRPr="00C676C5">
              <w:rPr>
                <w:rFonts w:ascii="Times New Roman" w:eastAsia="Times New Roman" w:hAnsi="Times New Roman"/>
                <w:snapToGrid w:val="0"/>
                <w:sz w:val="24"/>
                <w:szCs w:val="24"/>
                <w:lang w:val="en-US"/>
              </w:rPr>
              <w:t>посочена</w:t>
            </w:r>
            <w:proofErr w:type="spellEnd"/>
            <w:r w:rsidRPr="00C676C5">
              <w:rPr>
                <w:rFonts w:ascii="Times New Roman" w:eastAsia="Times New Roman" w:hAnsi="Times New Roman"/>
                <w:snapToGrid w:val="0"/>
                <w:sz w:val="24"/>
                <w:szCs w:val="24"/>
                <w:lang w:val="en-US"/>
              </w:rPr>
              <w:t xml:space="preserve"> в </w:t>
            </w:r>
            <w:proofErr w:type="spellStart"/>
            <w:r w:rsidRPr="00C676C5">
              <w:rPr>
                <w:rFonts w:ascii="Times New Roman" w:eastAsia="Times New Roman" w:hAnsi="Times New Roman"/>
                <w:snapToGrid w:val="0"/>
                <w:sz w:val="24"/>
                <w:szCs w:val="24"/>
                <w:lang w:val="en-US"/>
              </w:rPr>
              <w:t>член</w:t>
            </w:r>
            <w:proofErr w:type="spellEnd"/>
            <w:r w:rsidRPr="00C676C5">
              <w:rPr>
                <w:rFonts w:ascii="Times New Roman" w:eastAsia="Times New Roman" w:hAnsi="Times New Roman"/>
                <w:snapToGrid w:val="0"/>
                <w:sz w:val="24"/>
                <w:szCs w:val="24"/>
                <w:lang w:val="en-US"/>
              </w:rPr>
              <w:t xml:space="preserve"> 3, </w:t>
            </w:r>
            <w:proofErr w:type="spellStart"/>
            <w:r w:rsidRPr="00C676C5">
              <w:rPr>
                <w:rFonts w:ascii="Times New Roman" w:eastAsia="Times New Roman" w:hAnsi="Times New Roman"/>
                <w:snapToGrid w:val="0"/>
                <w:sz w:val="24"/>
                <w:szCs w:val="24"/>
                <w:lang w:val="en-US"/>
              </w:rPr>
              <w:t>параграф</w:t>
            </w:r>
            <w:proofErr w:type="spellEnd"/>
            <w:r w:rsidRPr="00C676C5">
              <w:rPr>
                <w:rFonts w:ascii="Times New Roman" w:eastAsia="Times New Roman" w:hAnsi="Times New Roman"/>
                <w:snapToGrid w:val="0"/>
                <w:sz w:val="24"/>
                <w:szCs w:val="24"/>
                <w:lang w:val="en-US"/>
              </w:rPr>
              <w:t xml:space="preserve"> 1, </w:t>
            </w:r>
            <w:proofErr w:type="spellStart"/>
            <w:r w:rsidRPr="00C676C5">
              <w:rPr>
                <w:rFonts w:ascii="Times New Roman" w:eastAsia="Times New Roman" w:hAnsi="Times New Roman"/>
                <w:snapToGrid w:val="0"/>
                <w:sz w:val="24"/>
                <w:szCs w:val="24"/>
                <w:lang w:val="en-US"/>
              </w:rPr>
              <w:t>първа</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алинея</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буква</w:t>
            </w:r>
            <w:proofErr w:type="spellEnd"/>
            <w:r w:rsidRPr="00C676C5">
              <w:rPr>
                <w:rFonts w:ascii="Times New Roman" w:eastAsia="Times New Roman" w:hAnsi="Times New Roman"/>
                <w:snapToGrid w:val="0"/>
                <w:sz w:val="24"/>
                <w:szCs w:val="24"/>
                <w:lang w:val="en-US"/>
              </w:rPr>
              <w:t xml:space="preserve"> а), </w:t>
            </w:r>
            <w:proofErr w:type="spellStart"/>
            <w:r w:rsidRPr="00C676C5">
              <w:rPr>
                <w:rFonts w:ascii="Times New Roman" w:eastAsia="Times New Roman" w:hAnsi="Times New Roman"/>
                <w:snapToGrid w:val="0"/>
                <w:sz w:val="24"/>
                <w:szCs w:val="24"/>
                <w:lang w:val="en-US"/>
              </w:rPr>
              <w:t>точка</w:t>
            </w:r>
            <w:proofErr w:type="spellEnd"/>
            <w:r w:rsidRPr="00C676C5">
              <w:rPr>
                <w:rFonts w:ascii="Times New Roman" w:eastAsia="Times New Roman" w:hAnsi="Times New Roman"/>
                <w:snapToGrid w:val="0"/>
                <w:sz w:val="24"/>
                <w:szCs w:val="24"/>
                <w:lang w:val="en-US"/>
              </w:rPr>
              <w:t xml:space="preserve"> iv) ЕФРР </w:t>
            </w:r>
            <w:proofErr w:type="spellStart"/>
            <w:r w:rsidRPr="00C676C5">
              <w:rPr>
                <w:rFonts w:ascii="Times New Roman" w:eastAsia="Times New Roman" w:hAnsi="Times New Roman"/>
                <w:snapToGrid w:val="0"/>
                <w:sz w:val="24"/>
                <w:szCs w:val="24"/>
                <w:lang w:val="en-US"/>
              </w:rPr>
              <w:t>подкрепя</w:t>
            </w:r>
            <w:proofErr w:type="spellEnd"/>
            <w:r w:rsidRPr="00C676C5">
              <w:rPr>
                <w:rFonts w:ascii="Times New Roman" w:eastAsia="Times New Roman" w:hAnsi="Times New Roman"/>
                <w:snapToGrid w:val="0"/>
                <w:sz w:val="24"/>
                <w:szCs w:val="24"/>
                <w:lang w:val="en-US"/>
              </w:rPr>
              <w:t xml:space="preserve"> и </w:t>
            </w:r>
            <w:proofErr w:type="spellStart"/>
            <w:r w:rsidRPr="00C676C5">
              <w:rPr>
                <w:rFonts w:ascii="Times New Roman" w:eastAsia="Times New Roman" w:hAnsi="Times New Roman"/>
                <w:snapToGrid w:val="0"/>
                <w:sz w:val="24"/>
                <w:szCs w:val="24"/>
                <w:lang w:val="en-US"/>
              </w:rPr>
              <w:t>дейности</w:t>
            </w:r>
            <w:proofErr w:type="spellEnd"/>
            <w:r w:rsidRPr="00C676C5">
              <w:rPr>
                <w:rFonts w:ascii="Times New Roman" w:eastAsia="Times New Roman" w:hAnsi="Times New Roman"/>
                <w:snapToGrid w:val="0"/>
                <w:sz w:val="24"/>
                <w:szCs w:val="24"/>
                <w:lang w:val="en-US"/>
              </w:rPr>
              <w:t xml:space="preserve"> в </w:t>
            </w:r>
            <w:proofErr w:type="spellStart"/>
            <w:r w:rsidRPr="00C676C5">
              <w:rPr>
                <w:rFonts w:ascii="Times New Roman" w:eastAsia="Times New Roman" w:hAnsi="Times New Roman"/>
                <w:snapToGrid w:val="0"/>
                <w:sz w:val="24"/>
                <w:szCs w:val="24"/>
                <w:lang w:val="en-US"/>
              </w:rPr>
              <w:t>областта</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на</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обучението</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ученето</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през</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целия</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живот</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преквалификацията</w:t>
            </w:r>
            <w:proofErr w:type="spellEnd"/>
            <w:r w:rsidRPr="00C676C5">
              <w:rPr>
                <w:rFonts w:ascii="Times New Roman" w:eastAsia="Times New Roman" w:hAnsi="Times New Roman"/>
                <w:snapToGrid w:val="0"/>
                <w:sz w:val="24"/>
                <w:szCs w:val="24"/>
                <w:lang w:val="en-US"/>
              </w:rPr>
              <w:t xml:space="preserve"> и </w:t>
            </w:r>
            <w:proofErr w:type="spellStart"/>
            <w:r w:rsidRPr="00C676C5">
              <w:rPr>
                <w:rFonts w:ascii="Times New Roman" w:eastAsia="Times New Roman" w:hAnsi="Times New Roman"/>
                <w:snapToGrid w:val="0"/>
                <w:sz w:val="24"/>
                <w:szCs w:val="24"/>
                <w:lang w:val="en-US"/>
              </w:rPr>
              <w:t>образованието</w:t>
            </w:r>
            <w:proofErr w:type="spellEnd"/>
            <w:r w:rsidRPr="00C676C5">
              <w:rPr>
                <w:rFonts w:ascii="Times New Roman" w:eastAsia="Times New Roman" w:hAnsi="Times New Roman"/>
                <w:snapToGrid w:val="0"/>
                <w:sz w:val="24"/>
                <w:szCs w:val="24"/>
                <w:lang w:val="en-US"/>
              </w:rPr>
              <w:t>.</w:t>
            </w:r>
          </w:p>
          <w:p w14:paraId="27E2158A" w14:textId="0ADA0AA0" w:rsidR="00C676C5" w:rsidRPr="00C676C5" w:rsidRDefault="00C676C5" w:rsidP="00C676C5">
            <w:pPr>
              <w:spacing w:after="0" w:line="240" w:lineRule="auto"/>
              <w:jc w:val="both"/>
              <w:rPr>
                <w:rFonts w:ascii="Times New Roman" w:eastAsia="Times New Roman" w:hAnsi="Times New Roman"/>
                <w:snapToGrid w:val="0"/>
                <w:sz w:val="24"/>
                <w:szCs w:val="24"/>
              </w:rPr>
            </w:pPr>
            <w:r w:rsidRPr="00C676C5">
              <w:rPr>
                <w:rFonts w:ascii="Times New Roman" w:eastAsia="Times New Roman" w:hAnsi="Times New Roman"/>
                <w:snapToGrid w:val="0"/>
                <w:sz w:val="24"/>
                <w:szCs w:val="24"/>
                <w:lang w:val="en-US"/>
              </w:rPr>
              <w:t xml:space="preserve">4.   С </w:t>
            </w:r>
            <w:proofErr w:type="spellStart"/>
            <w:r w:rsidRPr="00C676C5">
              <w:rPr>
                <w:rFonts w:ascii="Times New Roman" w:eastAsia="Times New Roman" w:hAnsi="Times New Roman"/>
                <w:snapToGrid w:val="0"/>
                <w:sz w:val="24"/>
                <w:szCs w:val="24"/>
                <w:lang w:val="en-US"/>
              </w:rPr>
              <w:t>цел</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да</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допринесе</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за</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постигането</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на</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специфичната</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цел</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по</w:t>
            </w:r>
            <w:proofErr w:type="spellEnd"/>
            <w:r w:rsidRPr="00C676C5">
              <w:rPr>
                <w:rFonts w:ascii="Times New Roman" w:eastAsia="Times New Roman" w:hAnsi="Times New Roman"/>
                <w:snapToGrid w:val="0"/>
                <w:sz w:val="24"/>
                <w:szCs w:val="24"/>
                <w:lang w:val="en-US"/>
              </w:rPr>
              <w:t xml:space="preserve"> ЦП 2, </w:t>
            </w:r>
            <w:proofErr w:type="spellStart"/>
            <w:r w:rsidRPr="00C676C5">
              <w:rPr>
                <w:rFonts w:ascii="Times New Roman" w:eastAsia="Times New Roman" w:hAnsi="Times New Roman"/>
                <w:snapToGrid w:val="0"/>
                <w:sz w:val="24"/>
                <w:szCs w:val="24"/>
                <w:lang w:val="en-US"/>
              </w:rPr>
              <w:t>посочена</w:t>
            </w:r>
            <w:proofErr w:type="spellEnd"/>
            <w:r w:rsidRPr="00C676C5">
              <w:rPr>
                <w:rFonts w:ascii="Times New Roman" w:eastAsia="Times New Roman" w:hAnsi="Times New Roman"/>
                <w:snapToGrid w:val="0"/>
                <w:sz w:val="24"/>
                <w:szCs w:val="24"/>
                <w:lang w:val="en-US"/>
              </w:rPr>
              <w:t xml:space="preserve"> в </w:t>
            </w:r>
            <w:proofErr w:type="spellStart"/>
            <w:r w:rsidRPr="00C676C5">
              <w:rPr>
                <w:rFonts w:ascii="Times New Roman" w:eastAsia="Times New Roman" w:hAnsi="Times New Roman"/>
                <w:snapToGrid w:val="0"/>
                <w:sz w:val="24"/>
                <w:szCs w:val="24"/>
                <w:lang w:val="en-US"/>
              </w:rPr>
              <w:t>член</w:t>
            </w:r>
            <w:proofErr w:type="spellEnd"/>
            <w:r w:rsidRPr="00C676C5">
              <w:rPr>
                <w:rFonts w:ascii="Times New Roman" w:eastAsia="Times New Roman" w:hAnsi="Times New Roman"/>
                <w:snapToGrid w:val="0"/>
                <w:sz w:val="24"/>
                <w:szCs w:val="24"/>
                <w:lang w:val="en-US"/>
              </w:rPr>
              <w:t xml:space="preserve"> 3, </w:t>
            </w:r>
            <w:proofErr w:type="spellStart"/>
            <w:r w:rsidRPr="00C676C5">
              <w:rPr>
                <w:rFonts w:ascii="Times New Roman" w:eastAsia="Times New Roman" w:hAnsi="Times New Roman"/>
                <w:snapToGrid w:val="0"/>
                <w:sz w:val="24"/>
                <w:szCs w:val="24"/>
                <w:lang w:val="en-US"/>
              </w:rPr>
              <w:t>параграф</w:t>
            </w:r>
            <w:proofErr w:type="spellEnd"/>
            <w:r w:rsidRPr="00C676C5">
              <w:rPr>
                <w:rFonts w:ascii="Times New Roman" w:eastAsia="Times New Roman" w:hAnsi="Times New Roman"/>
                <w:snapToGrid w:val="0"/>
                <w:sz w:val="24"/>
                <w:szCs w:val="24"/>
                <w:lang w:val="en-US"/>
              </w:rPr>
              <w:t xml:space="preserve"> 1, </w:t>
            </w:r>
            <w:proofErr w:type="spellStart"/>
            <w:r w:rsidRPr="00C676C5">
              <w:rPr>
                <w:rFonts w:ascii="Times New Roman" w:eastAsia="Times New Roman" w:hAnsi="Times New Roman"/>
                <w:snapToGrid w:val="0"/>
                <w:sz w:val="24"/>
                <w:szCs w:val="24"/>
                <w:lang w:val="en-US"/>
              </w:rPr>
              <w:t>първа</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алинея</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буква</w:t>
            </w:r>
            <w:proofErr w:type="spellEnd"/>
            <w:r w:rsidRPr="00C676C5">
              <w:rPr>
                <w:rFonts w:ascii="Times New Roman" w:eastAsia="Times New Roman" w:hAnsi="Times New Roman"/>
                <w:snapToGrid w:val="0"/>
                <w:sz w:val="24"/>
                <w:szCs w:val="24"/>
                <w:lang w:val="en-US"/>
              </w:rPr>
              <w:t xml:space="preserve"> б), </w:t>
            </w:r>
            <w:proofErr w:type="spellStart"/>
            <w:r w:rsidRPr="00C676C5">
              <w:rPr>
                <w:rFonts w:ascii="Times New Roman" w:eastAsia="Times New Roman" w:hAnsi="Times New Roman"/>
                <w:snapToGrid w:val="0"/>
                <w:sz w:val="24"/>
                <w:szCs w:val="24"/>
                <w:lang w:val="en-US"/>
              </w:rPr>
              <w:t>точка</w:t>
            </w:r>
            <w:proofErr w:type="spellEnd"/>
            <w:r w:rsidRPr="00C676C5">
              <w:rPr>
                <w:rFonts w:ascii="Times New Roman" w:eastAsia="Times New Roman" w:hAnsi="Times New Roman"/>
                <w:snapToGrid w:val="0"/>
                <w:sz w:val="24"/>
                <w:szCs w:val="24"/>
                <w:lang w:val="en-US"/>
              </w:rPr>
              <w:t xml:space="preserve"> iv), и </w:t>
            </w:r>
            <w:proofErr w:type="spellStart"/>
            <w:r w:rsidRPr="00C676C5">
              <w:rPr>
                <w:rFonts w:ascii="Times New Roman" w:eastAsia="Times New Roman" w:hAnsi="Times New Roman"/>
                <w:snapToGrid w:val="0"/>
                <w:sz w:val="24"/>
                <w:szCs w:val="24"/>
                <w:lang w:val="en-US"/>
              </w:rPr>
              <w:t>на</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специфичната</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цел</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по</w:t>
            </w:r>
            <w:proofErr w:type="spellEnd"/>
            <w:r w:rsidRPr="00C676C5">
              <w:rPr>
                <w:rFonts w:ascii="Times New Roman" w:eastAsia="Times New Roman" w:hAnsi="Times New Roman"/>
                <w:snapToGrid w:val="0"/>
                <w:sz w:val="24"/>
                <w:szCs w:val="24"/>
                <w:lang w:val="en-US"/>
              </w:rPr>
              <w:t xml:space="preserve"> ЦП 4, </w:t>
            </w:r>
            <w:proofErr w:type="spellStart"/>
            <w:r w:rsidRPr="00C676C5">
              <w:rPr>
                <w:rFonts w:ascii="Times New Roman" w:eastAsia="Times New Roman" w:hAnsi="Times New Roman"/>
                <w:snapToGrid w:val="0"/>
                <w:sz w:val="24"/>
                <w:szCs w:val="24"/>
                <w:lang w:val="en-US"/>
              </w:rPr>
              <w:t>посочена</w:t>
            </w:r>
            <w:proofErr w:type="spellEnd"/>
            <w:r w:rsidRPr="00C676C5">
              <w:rPr>
                <w:rFonts w:ascii="Times New Roman" w:eastAsia="Times New Roman" w:hAnsi="Times New Roman"/>
                <w:snapToGrid w:val="0"/>
                <w:sz w:val="24"/>
                <w:szCs w:val="24"/>
                <w:lang w:val="en-US"/>
              </w:rPr>
              <w:t xml:space="preserve"> в </w:t>
            </w:r>
            <w:proofErr w:type="spellStart"/>
            <w:r w:rsidRPr="00C676C5">
              <w:rPr>
                <w:rFonts w:ascii="Times New Roman" w:eastAsia="Times New Roman" w:hAnsi="Times New Roman"/>
                <w:snapToGrid w:val="0"/>
                <w:sz w:val="24"/>
                <w:szCs w:val="24"/>
                <w:lang w:val="en-US"/>
              </w:rPr>
              <w:t>буква</w:t>
            </w:r>
            <w:proofErr w:type="spellEnd"/>
            <w:r w:rsidRPr="00C676C5">
              <w:rPr>
                <w:rFonts w:ascii="Times New Roman" w:eastAsia="Times New Roman" w:hAnsi="Times New Roman"/>
                <w:snapToGrid w:val="0"/>
                <w:sz w:val="24"/>
                <w:szCs w:val="24"/>
                <w:lang w:val="en-US"/>
              </w:rPr>
              <w:t xml:space="preserve"> г), </w:t>
            </w:r>
            <w:proofErr w:type="spellStart"/>
            <w:r w:rsidRPr="00C676C5">
              <w:rPr>
                <w:rFonts w:ascii="Times New Roman" w:eastAsia="Times New Roman" w:hAnsi="Times New Roman"/>
                <w:snapToGrid w:val="0"/>
                <w:sz w:val="24"/>
                <w:szCs w:val="24"/>
                <w:lang w:val="en-US"/>
              </w:rPr>
              <w:t>точка</w:t>
            </w:r>
            <w:proofErr w:type="spellEnd"/>
            <w:r w:rsidRPr="00C676C5">
              <w:rPr>
                <w:rFonts w:ascii="Times New Roman" w:eastAsia="Times New Roman" w:hAnsi="Times New Roman"/>
                <w:snapToGrid w:val="0"/>
                <w:sz w:val="24"/>
                <w:szCs w:val="24"/>
                <w:lang w:val="en-US"/>
              </w:rPr>
              <w:t xml:space="preserve"> v) </w:t>
            </w:r>
            <w:proofErr w:type="spellStart"/>
            <w:r w:rsidRPr="00C676C5">
              <w:rPr>
                <w:rFonts w:ascii="Times New Roman" w:eastAsia="Times New Roman" w:hAnsi="Times New Roman"/>
                <w:snapToGrid w:val="0"/>
                <w:sz w:val="24"/>
                <w:szCs w:val="24"/>
                <w:lang w:val="en-US"/>
              </w:rPr>
              <w:t>от</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същата</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алинея</w:t>
            </w:r>
            <w:proofErr w:type="spellEnd"/>
            <w:r w:rsidRPr="00C676C5">
              <w:rPr>
                <w:rFonts w:ascii="Times New Roman" w:eastAsia="Times New Roman" w:hAnsi="Times New Roman"/>
                <w:snapToGrid w:val="0"/>
                <w:sz w:val="24"/>
                <w:szCs w:val="24"/>
                <w:lang w:val="en-US"/>
              </w:rPr>
              <w:t xml:space="preserve">, ЕФРР </w:t>
            </w:r>
            <w:proofErr w:type="spellStart"/>
            <w:r w:rsidRPr="00C676C5">
              <w:rPr>
                <w:rFonts w:ascii="Times New Roman" w:eastAsia="Times New Roman" w:hAnsi="Times New Roman"/>
                <w:snapToGrid w:val="0"/>
                <w:sz w:val="24"/>
                <w:szCs w:val="24"/>
                <w:lang w:val="en-US"/>
              </w:rPr>
              <w:t>подкрепя</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също</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закупуването</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на</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стоки</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необходими</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за</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подобряване</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на</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устойчивостта</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на</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системите</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за</w:t>
            </w:r>
            <w:proofErr w:type="spellEnd"/>
            <w:r w:rsidRPr="00C676C5">
              <w:rPr>
                <w:rFonts w:ascii="Times New Roman" w:eastAsia="Times New Roman" w:hAnsi="Times New Roman"/>
                <w:snapToGrid w:val="0"/>
                <w:sz w:val="24"/>
                <w:szCs w:val="24"/>
                <w:lang w:val="en-US"/>
              </w:rPr>
              <w:t xml:space="preserve"> </w:t>
            </w:r>
            <w:proofErr w:type="spellStart"/>
            <w:r w:rsidRPr="00C676C5">
              <w:rPr>
                <w:rFonts w:ascii="Times New Roman" w:eastAsia="Times New Roman" w:hAnsi="Times New Roman"/>
                <w:snapToGrid w:val="0"/>
                <w:sz w:val="24"/>
                <w:szCs w:val="24"/>
                <w:lang w:val="en-US"/>
              </w:rPr>
              <w:t>здравеопазв</w:t>
            </w:r>
            <w:r>
              <w:rPr>
                <w:rFonts w:ascii="Times New Roman" w:eastAsia="Times New Roman" w:hAnsi="Times New Roman"/>
                <w:snapToGrid w:val="0"/>
                <w:sz w:val="24"/>
                <w:szCs w:val="24"/>
                <w:lang w:val="en-US"/>
              </w:rPr>
              <w:t>ане</w:t>
            </w:r>
            <w:proofErr w:type="spellEnd"/>
            <w:r>
              <w:rPr>
                <w:rFonts w:ascii="Times New Roman" w:eastAsia="Times New Roman" w:hAnsi="Times New Roman"/>
                <w:snapToGrid w:val="0"/>
                <w:sz w:val="24"/>
                <w:szCs w:val="24"/>
                <w:lang w:val="en-US"/>
              </w:rPr>
              <w:t xml:space="preserve"> и </w:t>
            </w:r>
            <w:proofErr w:type="spellStart"/>
            <w:r>
              <w:rPr>
                <w:rFonts w:ascii="Times New Roman" w:eastAsia="Times New Roman" w:hAnsi="Times New Roman"/>
                <w:snapToGrid w:val="0"/>
                <w:sz w:val="24"/>
                <w:szCs w:val="24"/>
                <w:lang w:val="en-US"/>
              </w:rPr>
              <w:t>устойчивостта</w:t>
            </w:r>
            <w:proofErr w:type="spellEnd"/>
            <w:r>
              <w:rPr>
                <w:rFonts w:ascii="Times New Roman" w:eastAsia="Times New Roman" w:hAnsi="Times New Roman"/>
                <w:snapToGrid w:val="0"/>
                <w:sz w:val="24"/>
                <w:szCs w:val="24"/>
                <w:lang w:val="en-US"/>
              </w:rPr>
              <w:t xml:space="preserve"> </w:t>
            </w:r>
            <w:proofErr w:type="spellStart"/>
            <w:r>
              <w:rPr>
                <w:rFonts w:ascii="Times New Roman" w:eastAsia="Times New Roman" w:hAnsi="Times New Roman"/>
                <w:snapToGrid w:val="0"/>
                <w:sz w:val="24"/>
                <w:szCs w:val="24"/>
                <w:lang w:val="en-US"/>
              </w:rPr>
              <w:t>на</w:t>
            </w:r>
            <w:proofErr w:type="spellEnd"/>
            <w:r>
              <w:rPr>
                <w:rFonts w:ascii="Times New Roman" w:eastAsia="Times New Roman" w:hAnsi="Times New Roman"/>
                <w:snapToGrid w:val="0"/>
                <w:sz w:val="24"/>
                <w:szCs w:val="24"/>
                <w:lang w:val="en-US"/>
              </w:rPr>
              <w:t xml:space="preserve"> бедствия…</w:t>
            </w:r>
            <w:bookmarkStart w:id="0" w:name="_GoBack"/>
            <w:bookmarkEnd w:id="0"/>
          </w:p>
        </w:tc>
      </w:tr>
      <w:tr w:rsidR="00CF60CE" w:rsidRPr="00CF60CE" w14:paraId="5E7F4C9D" w14:textId="77777777" w:rsidTr="007A1A81">
        <w:tc>
          <w:tcPr>
            <w:tcW w:w="2633" w:type="dxa"/>
            <w:shd w:val="clear" w:color="auto" w:fill="E6E6E6"/>
          </w:tcPr>
          <w:p w14:paraId="06448193" w14:textId="52C25B25" w:rsidR="00CF60CE" w:rsidRPr="00CF60CE" w:rsidRDefault="00CF60CE" w:rsidP="00CF60CE">
            <w:pPr>
              <w:spacing w:before="100" w:beforeAutospacing="1" w:after="100" w:afterAutospacing="1" w:line="240" w:lineRule="auto"/>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lastRenderedPageBreak/>
              <w:t>Печат за високи постижения</w:t>
            </w:r>
          </w:p>
        </w:tc>
        <w:tc>
          <w:tcPr>
            <w:tcW w:w="6973" w:type="dxa"/>
            <w:shd w:val="clear" w:color="auto" w:fill="F3F3F3"/>
          </w:tcPr>
          <w:p w14:paraId="0D2BA5AB" w14:textId="5296EBF9" w:rsidR="00CF60CE" w:rsidRPr="00CF60CE" w:rsidRDefault="00DB3130" w:rsidP="00CF60CE">
            <w:pPr>
              <w:spacing w:before="100" w:beforeAutospacing="1" w:after="100" w:afterAutospacing="1" w:line="240" w:lineRule="auto"/>
              <w:jc w:val="both"/>
              <w:rPr>
                <w:rFonts w:ascii="Times New Roman" w:eastAsia="Times New Roman" w:hAnsi="Times New Roman" w:cs="Times New Roman"/>
                <w:snapToGrid w:val="0"/>
                <w:sz w:val="24"/>
                <w:szCs w:val="24"/>
              </w:rPr>
            </w:pPr>
            <w:r w:rsidRPr="00CF60CE">
              <w:rPr>
                <w:rFonts w:ascii="Times New Roman" w:eastAsia="Times New Roman" w:hAnsi="Times New Roman" w:cs="Times New Roman"/>
                <w:snapToGrid w:val="0"/>
                <w:sz w:val="24"/>
                <w:szCs w:val="24"/>
              </w:rPr>
              <w:t xml:space="preserve">Знак </w:t>
            </w:r>
            <w:r w:rsidR="00CF60CE" w:rsidRPr="00CF60CE">
              <w:rPr>
                <w:rFonts w:ascii="Times New Roman" w:eastAsia="Times New Roman" w:hAnsi="Times New Roman" w:cs="Times New Roman"/>
                <w:snapToGrid w:val="0"/>
                <w:sz w:val="24"/>
                <w:szCs w:val="24"/>
              </w:rPr>
              <w:t>за качество, получен от Европейската комисия, който показва, че дадено предложение, представено по покана за представяне на предложения, е надхвърлило всички прагове за оценка, определени в работната програма, но не е могло да бъде финансирано, тъй като в работната програма няма наличен бюджет за тази покана, и което може да получи подкрепа от други източници на финансиране от Европейския съюз или на национално равнище."</w:t>
            </w:r>
          </w:p>
        </w:tc>
      </w:tr>
      <w:tr w:rsidR="00DB3130" w:rsidRPr="00CF60CE" w14:paraId="77D6BC62" w14:textId="77777777" w:rsidTr="007A1A81">
        <w:tc>
          <w:tcPr>
            <w:tcW w:w="2633" w:type="dxa"/>
            <w:shd w:val="clear" w:color="auto" w:fill="E6E6E6"/>
          </w:tcPr>
          <w:p w14:paraId="45DBE067" w14:textId="317FE769" w:rsidR="00DB3130" w:rsidRPr="00CF60CE" w:rsidRDefault="00DB3130" w:rsidP="00DB3130">
            <w:pPr>
              <w:spacing w:before="100" w:beforeAutospacing="1" w:after="100" w:afterAutospacing="1" w:line="240" w:lineRule="auto"/>
              <w:rPr>
                <w:rFonts w:ascii="Times New Roman" w:eastAsia="Times New Roman" w:hAnsi="Times New Roman" w:cs="Times New Roman"/>
                <w:b/>
                <w:snapToGrid w:val="0"/>
                <w:sz w:val="24"/>
                <w:szCs w:val="24"/>
              </w:rPr>
            </w:pPr>
            <w:r w:rsidRPr="00F5314F">
              <w:rPr>
                <w:rFonts w:ascii="Times New Roman" w:hAnsi="Times New Roman"/>
                <w:b/>
                <w:sz w:val="24"/>
                <w:szCs w:val="24"/>
              </w:rPr>
              <w:t>Показател за краен продукт</w:t>
            </w:r>
          </w:p>
        </w:tc>
        <w:tc>
          <w:tcPr>
            <w:tcW w:w="6973" w:type="dxa"/>
            <w:shd w:val="clear" w:color="auto" w:fill="F3F3F3"/>
          </w:tcPr>
          <w:p w14:paraId="1F3CBACB" w14:textId="12DD7320" w:rsidR="00DB3130" w:rsidRPr="00CF60CE" w:rsidRDefault="00DB3130" w:rsidP="00DB3130">
            <w:pPr>
              <w:spacing w:before="100" w:beforeAutospacing="1" w:after="100" w:afterAutospacing="1" w:line="240" w:lineRule="auto"/>
              <w:jc w:val="both"/>
              <w:rPr>
                <w:rFonts w:ascii="Times New Roman" w:eastAsia="Times New Roman" w:hAnsi="Times New Roman" w:cs="Times New Roman"/>
                <w:snapToGrid w:val="0"/>
                <w:sz w:val="24"/>
                <w:szCs w:val="24"/>
              </w:rPr>
            </w:pPr>
            <w:r w:rsidRPr="00F5314F">
              <w:rPr>
                <w:rFonts w:ascii="Times New Roman" w:hAnsi="Times New Roman"/>
                <w:sz w:val="24"/>
                <w:szCs w:val="24"/>
              </w:rPr>
              <w:t>Показател за измерване на конкретните резултати от интервенцията/процедурата.</w:t>
            </w:r>
          </w:p>
        </w:tc>
      </w:tr>
      <w:tr w:rsidR="00DB3130" w:rsidRPr="00CF60CE" w14:paraId="7C88C54A" w14:textId="77777777" w:rsidTr="007A1A81">
        <w:tc>
          <w:tcPr>
            <w:tcW w:w="2633" w:type="dxa"/>
            <w:shd w:val="clear" w:color="auto" w:fill="E6E6E6"/>
          </w:tcPr>
          <w:p w14:paraId="65AAD870" w14:textId="2FD88417" w:rsidR="00DB3130" w:rsidRPr="00CF60CE" w:rsidRDefault="00DB3130" w:rsidP="00DB3130">
            <w:pPr>
              <w:spacing w:before="100" w:beforeAutospacing="1" w:after="100" w:afterAutospacing="1" w:line="240" w:lineRule="auto"/>
              <w:rPr>
                <w:rFonts w:ascii="Times New Roman" w:eastAsia="Times New Roman" w:hAnsi="Times New Roman" w:cs="Times New Roman"/>
                <w:b/>
                <w:snapToGrid w:val="0"/>
                <w:sz w:val="24"/>
                <w:szCs w:val="24"/>
              </w:rPr>
            </w:pPr>
            <w:r w:rsidRPr="00F5314F">
              <w:rPr>
                <w:rFonts w:ascii="Times New Roman" w:hAnsi="Times New Roman"/>
                <w:b/>
                <w:sz w:val="24"/>
                <w:szCs w:val="24"/>
              </w:rPr>
              <w:t>Показател за резултат</w:t>
            </w:r>
          </w:p>
        </w:tc>
        <w:tc>
          <w:tcPr>
            <w:tcW w:w="6973" w:type="dxa"/>
            <w:shd w:val="clear" w:color="auto" w:fill="F3F3F3"/>
          </w:tcPr>
          <w:p w14:paraId="663E3BCB" w14:textId="20503CD3" w:rsidR="00DB3130" w:rsidRPr="00CF60CE" w:rsidRDefault="00DB3130" w:rsidP="00DB3130">
            <w:pPr>
              <w:spacing w:before="100" w:beforeAutospacing="1" w:after="100" w:afterAutospacing="1" w:line="240" w:lineRule="auto"/>
              <w:jc w:val="both"/>
              <w:rPr>
                <w:rFonts w:ascii="Times New Roman" w:eastAsia="Times New Roman" w:hAnsi="Times New Roman" w:cs="Times New Roman"/>
                <w:snapToGrid w:val="0"/>
                <w:sz w:val="24"/>
                <w:szCs w:val="24"/>
              </w:rPr>
            </w:pPr>
            <w:r w:rsidRPr="00F5314F">
              <w:rPr>
                <w:rFonts w:ascii="Times New Roman" w:hAnsi="Times New Roman"/>
                <w:sz w:val="24"/>
                <w:szCs w:val="24"/>
              </w:rPr>
              <w:t>Показател за измерване на последиците от получилите подкрепа интервенции/проекти от гледна точка по-специално на преките адресати, целевата група от населението или ползвателите на инфраструктурата.</w:t>
            </w:r>
          </w:p>
        </w:tc>
      </w:tr>
      <w:tr w:rsidR="00DB3130" w:rsidRPr="00CF60CE" w14:paraId="0B83A07D" w14:textId="77777777" w:rsidTr="007A1A81">
        <w:tc>
          <w:tcPr>
            <w:tcW w:w="2633" w:type="dxa"/>
            <w:shd w:val="clear" w:color="auto" w:fill="E6E6E6"/>
          </w:tcPr>
          <w:p w14:paraId="13F328D1" w14:textId="77777777" w:rsidR="00DB3130" w:rsidRPr="00CF60CE" w:rsidRDefault="00DB3130" w:rsidP="00DB3130">
            <w:pPr>
              <w:spacing w:before="100" w:beforeAutospacing="1" w:after="100" w:afterAutospacing="1" w:line="240" w:lineRule="auto"/>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Предприятие</w:t>
            </w:r>
          </w:p>
        </w:tc>
        <w:tc>
          <w:tcPr>
            <w:tcW w:w="6973" w:type="dxa"/>
            <w:shd w:val="clear" w:color="auto" w:fill="F3F3F3"/>
          </w:tcPr>
          <w:p w14:paraId="72719C3C" w14:textId="77777777" w:rsidR="00DB3130" w:rsidRPr="00CF60CE" w:rsidRDefault="00DB3130" w:rsidP="00DB3130">
            <w:pPr>
              <w:spacing w:before="100" w:beforeAutospacing="1" w:after="100" w:afterAutospacing="1" w:line="240" w:lineRule="auto"/>
              <w:jc w:val="both"/>
              <w:rPr>
                <w:rFonts w:ascii="Times New Roman" w:eastAsia="Times New Roman" w:hAnsi="Times New Roman" w:cs="Times New Roman"/>
                <w:snapToGrid w:val="0"/>
                <w:sz w:val="24"/>
                <w:szCs w:val="24"/>
              </w:rPr>
            </w:pPr>
            <w:r w:rsidRPr="00CF60CE">
              <w:rPr>
                <w:rFonts w:ascii="Times New Roman" w:eastAsia="Times New Roman" w:hAnsi="Times New Roman" w:cs="Times New Roman"/>
                <w:snapToGrid w:val="0"/>
                <w:sz w:val="24"/>
                <w:szCs w:val="24"/>
              </w:rPr>
              <w:t>Съгласно § 1, т. 1 от Допълнителните разпоредби на Закона за малките и средни предприятия, „предприятие” е 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DB3130" w:rsidRPr="00CF60CE" w14:paraId="357917FE" w14:textId="77777777" w:rsidTr="007A1A81">
        <w:tc>
          <w:tcPr>
            <w:tcW w:w="2633" w:type="dxa"/>
            <w:shd w:val="clear" w:color="auto" w:fill="E6E6E6"/>
          </w:tcPr>
          <w:p w14:paraId="53B08418" w14:textId="77777777" w:rsidR="00DB3130" w:rsidRPr="00CF60CE" w:rsidRDefault="00DB3130" w:rsidP="00DB3130">
            <w:pPr>
              <w:spacing w:before="100" w:beforeAutospacing="1" w:after="100" w:afterAutospacing="1" w:line="240" w:lineRule="auto"/>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Предприятие в затруднено положение</w:t>
            </w:r>
          </w:p>
        </w:tc>
        <w:tc>
          <w:tcPr>
            <w:tcW w:w="6973" w:type="dxa"/>
            <w:shd w:val="clear" w:color="auto" w:fill="F3F3F3"/>
          </w:tcPr>
          <w:p w14:paraId="35C87EC3" w14:textId="44234908" w:rsidR="00DB3130" w:rsidRPr="00CF60CE" w:rsidRDefault="00DB3130" w:rsidP="00DB3130">
            <w:pPr>
              <w:spacing w:after="60" w:line="240" w:lineRule="auto"/>
              <w:jc w:val="both"/>
              <w:rPr>
                <w:rFonts w:ascii="Times New Roman" w:eastAsia="Times New Roman" w:hAnsi="Times New Roman" w:cs="Times New Roman"/>
                <w:snapToGrid w:val="0"/>
                <w:sz w:val="24"/>
                <w:szCs w:val="24"/>
              </w:rPr>
            </w:pPr>
            <w:r w:rsidRPr="00CF60CE">
              <w:rPr>
                <w:rFonts w:ascii="Times New Roman" w:eastAsia="Times New Roman" w:hAnsi="Times New Roman" w:cs="Times New Roman"/>
                <w:snapToGrid w:val="0"/>
                <w:sz w:val="24"/>
                <w:szCs w:val="24"/>
              </w:rPr>
              <w:t>Съгласно чл.2, пар.18 от Регламент (ЕО) № 651/2014</w:t>
            </w:r>
            <w:r w:rsidRPr="00CF60CE">
              <w:rPr>
                <w:rFonts w:ascii="Times New Roman" w:hAnsi="Times New Roman" w:cs="Times New Roman"/>
              </w:rPr>
              <w:t xml:space="preserve"> </w:t>
            </w:r>
            <w:r w:rsidRPr="00CF60CE">
              <w:rPr>
                <w:rFonts w:ascii="Times New Roman" w:eastAsia="Times New Roman" w:hAnsi="Times New Roman" w:cs="Times New Roman"/>
                <w:snapToGrid w:val="0"/>
                <w:sz w:val="24"/>
                <w:szCs w:val="24"/>
              </w:rPr>
              <w:t>предприятие в затруднено положение е предприятие, по отношение на което е изпълнено поне едно от следните обстоятелства:</w:t>
            </w:r>
          </w:p>
          <w:p w14:paraId="67B3C3D9" w14:textId="77777777" w:rsidR="00DB3130" w:rsidRPr="00CF60CE" w:rsidRDefault="00DB3130" w:rsidP="00DB3130">
            <w:pPr>
              <w:spacing w:after="60" w:line="240" w:lineRule="auto"/>
              <w:jc w:val="both"/>
              <w:rPr>
                <w:rFonts w:ascii="Times New Roman" w:eastAsia="Times New Roman" w:hAnsi="Times New Roman" w:cs="Times New Roman"/>
                <w:snapToGrid w:val="0"/>
                <w:sz w:val="24"/>
                <w:szCs w:val="24"/>
              </w:rPr>
            </w:pPr>
            <w:r w:rsidRPr="00CF60CE">
              <w:rPr>
                <w:rFonts w:ascii="Times New Roman" w:eastAsia="Times New Roman" w:hAnsi="Times New Roman" w:cs="Times New Roman"/>
                <w:snapToGrid w:val="0"/>
                <w:sz w:val="24"/>
                <w:szCs w:val="24"/>
              </w:rPr>
              <w:t xml:space="preserve">а)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(което не е 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w:t>
            </w:r>
            <w:r w:rsidRPr="00CF60CE">
              <w:rPr>
                <w:rFonts w:ascii="Times New Roman" w:eastAsia="Times New Roman" w:hAnsi="Times New Roman" w:cs="Times New Roman"/>
                <w:snapToGrid w:val="0"/>
                <w:sz w:val="24"/>
                <w:szCs w:val="24"/>
              </w:rPr>
              <w:lastRenderedPageBreak/>
              <w:t>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а понятието „акционерен капитал" включва, когато е уместно, премии от акции;</w:t>
            </w:r>
          </w:p>
          <w:p w14:paraId="766D40D5" w14:textId="77777777" w:rsidR="00DB3130" w:rsidRPr="00CF60CE" w:rsidRDefault="00DB3130" w:rsidP="00DB3130">
            <w:pPr>
              <w:spacing w:after="60" w:line="240" w:lineRule="auto"/>
              <w:jc w:val="both"/>
              <w:rPr>
                <w:rFonts w:ascii="Times New Roman" w:eastAsia="Times New Roman" w:hAnsi="Times New Roman" w:cs="Times New Roman"/>
                <w:snapToGrid w:val="0"/>
                <w:sz w:val="24"/>
                <w:szCs w:val="24"/>
              </w:rPr>
            </w:pPr>
            <w:r w:rsidRPr="00CF60CE">
              <w:rPr>
                <w:rFonts w:ascii="Times New Roman" w:eastAsia="Times New Roman" w:hAnsi="Times New Roman" w:cs="Times New Roman"/>
                <w:snapToGrid w:val="0"/>
                <w:sz w:val="24"/>
                <w:szCs w:val="24"/>
              </w:rPr>
              <w:t>б) в случай на събирателно дружество, командитно дружество или едноличен търговец или други лица по Приложение II към Директива 2013/34/ЕС (което не е МСП, което съществува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14:paraId="585D25E3" w14:textId="77777777" w:rsidR="00DB3130" w:rsidRPr="00CF60CE" w:rsidRDefault="00DB3130" w:rsidP="00DB3130">
            <w:pPr>
              <w:spacing w:after="60" w:line="240" w:lineRule="auto"/>
              <w:jc w:val="both"/>
              <w:rPr>
                <w:rFonts w:ascii="Times New Roman" w:eastAsia="Times New Roman" w:hAnsi="Times New Roman" w:cs="Times New Roman"/>
                <w:snapToGrid w:val="0"/>
                <w:sz w:val="24"/>
                <w:szCs w:val="24"/>
              </w:rPr>
            </w:pPr>
            <w:r w:rsidRPr="00CF60CE">
              <w:rPr>
                <w:rFonts w:ascii="Times New Roman" w:eastAsia="Times New Roman" w:hAnsi="Times New Roman" w:cs="Times New Roman"/>
                <w:snapToGrid w:val="0"/>
                <w:sz w:val="24"/>
                <w:szCs w:val="24"/>
              </w:rPr>
              <w:t>в)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306F360B" w14:textId="584126B1" w:rsidR="00DB3130" w:rsidRPr="00CF60CE" w:rsidRDefault="00DB3130" w:rsidP="00DB3130">
            <w:pPr>
              <w:spacing w:after="60" w:line="240" w:lineRule="auto"/>
              <w:jc w:val="both"/>
              <w:rPr>
                <w:rFonts w:ascii="Times New Roman" w:eastAsia="Times New Roman" w:hAnsi="Times New Roman" w:cs="Times New Roman"/>
                <w:snapToGrid w:val="0"/>
                <w:sz w:val="24"/>
                <w:szCs w:val="24"/>
              </w:rPr>
            </w:pPr>
            <w:r w:rsidRPr="00CF60CE">
              <w:rPr>
                <w:rFonts w:ascii="Times New Roman" w:eastAsia="Times New Roman" w:hAnsi="Times New Roman" w:cs="Times New Roman"/>
                <w:snapToGrid w:val="0"/>
                <w:sz w:val="24"/>
                <w:szCs w:val="24"/>
              </w:rPr>
              <w:t>г)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tc>
      </w:tr>
      <w:tr w:rsidR="00DB3130" w:rsidRPr="00CF60CE" w14:paraId="73F8C44F" w14:textId="77777777" w:rsidTr="007A1A81">
        <w:tc>
          <w:tcPr>
            <w:tcW w:w="2633" w:type="dxa"/>
            <w:shd w:val="clear" w:color="auto" w:fill="E6E6E6"/>
          </w:tcPr>
          <w:p w14:paraId="33F53121" w14:textId="77777777" w:rsidR="00DB3130" w:rsidRPr="00CF60CE" w:rsidRDefault="00DB3130" w:rsidP="00DB3130">
            <w:pPr>
              <w:spacing w:before="100" w:beforeAutospacing="1" w:after="100" w:afterAutospacing="1" w:line="240" w:lineRule="auto"/>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lastRenderedPageBreak/>
              <w:t>Преработка на селскостопански продукти</w:t>
            </w:r>
          </w:p>
        </w:tc>
        <w:tc>
          <w:tcPr>
            <w:tcW w:w="6973" w:type="dxa"/>
            <w:shd w:val="clear" w:color="auto" w:fill="F3F3F3"/>
          </w:tcPr>
          <w:p w14:paraId="606A9591" w14:textId="0B3E9505" w:rsidR="00DB3130" w:rsidRPr="00CF60CE" w:rsidRDefault="00DB3130" w:rsidP="00DB3130">
            <w:pPr>
              <w:spacing w:before="100" w:beforeAutospacing="1" w:after="100" w:afterAutospacing="1" w:line="240" w:lineRule="auto"/>
              <w:jc w:val="both"/>
              <w:rPr>
                <w:rFonts w:ascii="Times New Roman" w:eastAsia="Times New Roman" w:hAnsi="Times New Roman" w:cs="Times New Roman"/>
                <w:snapToGrid w:val="0"/>
                <w:sz w:val="24"/>
                <w:szCs w:val="24"/>
              </w:rPr>
            </w:pPr>
            <w:r w:rsidRPr="00CF60CE">
              <w:rPr>
                <w:rFonts w:ascii="Times New Roman" w:eastAsia="Times New Roman" w:hAnsi="Times New Roman" w:cs="Times New Roman"/>
                <w:snapToGrid w:val="0"/>
                <w:sz w:val="24"/>
                <w:szCs w:val="24"/>
              </w:rPr>
              <w:t>Съгласно чл.2, пар.11 от Регламент (ЕО) № 651/2014</w:t>
            </w:r>
            <w:r w:rsidRPr="00CF60CE">
              <w:rPr>
                <w:rFonts w:ascii="Times New Roman" w:hAnsi="Times New Roman" w:cs="Times New Roman"/>
              </w:rPr>
              <w:t xml:space="preserve"> </w:t>
            </w:r>
            <w:r w:rsidRPr="00CF60CE">
              <w:rPr>
                <w:rFonts w:ascii="Times New Roman" w:eastAsia="Times New Roman" w:hAnsi="Times New Roman" w:cs="Times New Roman"/>
                <w:snapToGrid w:val="0"/>
                <w:sz w:val="24"/>
                <w:szCs w:val="24"/>
              </w:rPr>
              <w:t>това е</w:t>
            </w:r>
            <w:r w:rsidRPr="00CF60CE">
              <w:rPr>
                <w:rFonts w:ascii="Times New Roman" w:hAnsi="Times New Roman" w:cs="Times New Roman"/>
              </w:rPr>
              <w:t xml:space="preserve"> </w:t>
            </w:r>
            <w:r w:rsidRPr="00CF60CE">
              <w:rPr>
                <w:rFonts w:ascii="Times New Roman" w:eastAsia="Times New Roman" w:hAnsi="Times New Roman" w:cs="Times New Roman"/>
                <w:snapToGrid w:val="0"/>
                <w:sz w:val="24"/>
                <w:szCs w:val="24"/>
              </w:rPr>
              <w:t>всяка една операция върху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които са необходими за подготовката на животински или растителен продукт за първата му продажба.</w:t>
            </w:r>
          </w:p>
        </w:tc>
      </w:tr>
      <w:tr w:rsidR="00DB3130" w:rsidRPr="00CF60CE" w14:paraId="362CBBEA" w14:textId="77777777" w:rsidTr="007A1A81">
        <w:tc>
          <w:tcPr>
            <w:tcW w:w="2633" w:type="dxa"/>
            <w:shd w:val="clear" w:color="auto" w:fill="E6E6E6"/>
          </w:tcPr>
          <w:p w14:paraId="2990111F" w14:textId="77777777" w:rsidR="00DB3130" w:rsidRPr="00CF60CE" w:rsidRDefault="00DB3130" w:rsidP="00DB3130">
            <w:pPr>
              <w:spacing w:before="100" w:beforeAutospacing="1" w:after="100" w:afterAutospacing="1" w:line="240" w:lineRule="auto"/>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Проект</w:t>
            </w:r>
          </w:p>
        </w:tc>
        <w:tc>
          <w:tcPr>
            <w:tcW w:w="6973" w:type="dxa"/>
            <w:shd w:val="clear" w:color="auto" w:fill="F3F3F3"/>
          </w:tcPr>
          <w:p w14:paraId="16EDA702" w14:textId="77777777" w:rsidR="00DB3130" w:rsidRPr="00CF60CE" w:rsidRDefault="00DB3130" w:rsidP="00DB3130">
            <w:pPr>
              <w:spacing w:before="100" w:beforeAutospacing="1" w:after="100" w:afterAutospacing="1" w:line="240" w:lineRule="auto"/>
              <w:jc w:val="both"/>
              <w:rPr>
                <w:rFonts w:ascii="Times New Roman" w:eastAsia="Times New Roman" w:hAnsi="Times New Roman" w:cs="Times New Roman"/>
                <w:snapToGrid w:val="0"/>
                <w:sz w:val="24"/>
                <w:szCs w:val="24"/>
              </w:rPr>
            </w:pPr>
            <w:r w:rsidRPr="00CF60CE">
              <w:rPr>
                <w:rFonts w:ascii="Times New Roman" w:eastAsia="Times New Roman" w:hAnsi="Times New Roman" w:cs="Times New Roman"/>
                <w:snapToGrid w:val="0"/>
                <w:sz w:val="24"/>
                <w:szCs w:val="24"/>
              </w:rPr>
              <w:t xml:space="preserve">Съвкупност от взаимосвързани и </w:t>
            </w:r>
            <w:proofErr w:type="spellStart"/>
            <w:r w:rsidRPr="00CF60CE">
              <w:rPr>
                <w:rFonts w:ascii="Times New Roman" w:eastAsia="Times New Roman" w:hAnsi="Times New Roman" w:cs="Times New Roman"/>
                <w:snapToGrid w:val="0"/>
                <w:sz w:val="24"/>
                <w:szCs w:val="24"/>
              </w:rPr>
              <w:t>взаимодопълващи</w:t>
            </w:r>
            <w:proofErr w:type="spellEnd"/>
            <w:r w:rsidRPr="00CF60CE">
              <w:rPr>
                <w:rFonts w:ascii="Times New Roman" w:eastAsia="Times New Roman" w:hAnsi="Times New Roman" w:cs="Times New Roman"/>
                <w:snapToGrid w:val="0"/>
                <w:sz w:val="24"/>
                <w:szCs w:val="24"/>
              </w:rPr>
              <w:t xml:space="preserve"> се дейности с предварително определена/и цел/и, необходими ресурси и времева рамка за изпълнение, водещи до постигането на конкретни количествено-измерими резултати.</w:t>
            </w:r>
          </w:p>
        </w:tc>
      </w:tr>
      <w:tr w:rsidR="00DB3130" w:rsidRPr="00CF60CE" w14:paraId="7C1386A8" w14:textId="77777777" w:rsidTr="007A1A81">
        <w:tc>
          <w:tcPr>
            <w:tcW w:w="2633" w:type="dxa"/>
            <w:shd w:val="clear" w:color="auto" w:fill="E6E6E6"/>
          </w:tcPr>
          <w:p w14:paraId="7D826B84" w14:textId="097B0F1D" w:rsidR="00DB3130" w:rsidRPr="00CF60CE" w:rsidRDefault="00DB3130" w:rsidP="00DB3130">
            <w:pPr>
              <w:spacing w:before="100" w:beforeAutospacing="1" w:after="100" w:afterAutospacing="1" w:line="240" w:lineRule="auto"/>
              <w:rPr>
                <w:rFonts w:ascii="Times New Roman" w:eastAsia="Times New Roman" w:hAnsi="Times New Roman" w:cs="Times New Roman"/>
                <w:b/>
                <w:snapToGrid w:val="0"/>
                <w:sz w:val="24"/>
                <w:szCs w:val="24"/>
              </w:rPr>
            </w:pPr>
            <w:r w:rsidRPr="00F5314F">
              <w:rPr>
                <w:rFonts w:ascii="Times New Roman" w:eastAsia="Times New Roman" w:hAnsi="Times New Roman"/>
                <w:b/>
                <w:snapToGrid w:val="0"/>
                <w:sz w:val="24"/>
                <w:szCs w:val="24"/>
              </w:rPr>
              <w:t xml:space="preserve">Проектно предложение </w:t>
            </w:r>
          </w:p>
        </w:tc>
        <w:tc>
          <w:tcPr>
            <w:tcW w:w="6973" w:type="dxa"/>
            <w:shd w:val="clear" w:color="auto" w:fill="F3F3F3"/>
          </w:tcPr>
          <w:p w14:paraId="0F63A091" w14:textId="50FF7951" w:rsidR="00DB3130" w:rsidRPr="00CF60CE" w:rsidRDefault="00DB3130" w:rsidP="00DB3130">
            <w:pPr>
              <w:spacing w:before="100" w:beforeAutospacing="1" w:after="100" w:afterAutospacing="1" w:line="240" w:lineRule="auto"/>
              <w:jc w:val="both"/>
              <w:rPr>
                <w:rFonts w:ascii="Times New Roman" w:eastAsia="Times New Roman" w:hAnsi="Times New Roman" w:cs="Times New Roman"/>
                <w:snapToGrid w:val="0"/>
                <w:sz w:val="24"/>
                <w:szCs w:val="24"/>
              </w:rPr>
            </w:pPr>
            <w:r w:rsidRPr="00F5314F">
              <w:rPr>
                <w:rFonts w:ascii="Times New Roman" w:eastAsia="Times New Roman" w:hAnsi="Times New Roman"/>
                <w:snapToGrid w:val="0"/>
                <w:sz w:val="24"/>
                <w:szCs w:val="24"/>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DB3130" w:rsidRPr="00CF60CE" w14:paraId="1FF3D23B" w14:textId="77777777" w:rsidTr="007A1A81">
        <w:tc>
          <w:tcPr>
            <w:tcW w:w="2633" w:type="dxa"/>
            <w:shd w:val="clear" w:color="auto" w:fill="E6E6E6"/>
          </w:tcPr>
          <w:p w14:paraId="4676D245" w14:textId="4399E570" w:rsidR="00DB3130" w:rsidRPr="00CF60CE" w:rsidRDefault="00DB3130" w:rsidP="00DB3130">
            <w:pPr>
              <w:spacing w:before="100" w:beforeAutospacing="1" w:after="100" w:afterAutospacing="1" w:line="240" w:lineRule="auto"/>
              <w:rPr>
                <w:rFonts w:ascii="Times New Roman" w:eastAsia="Times New Roman" w:hAnsi="Times New Roman" w:cs="Times New Roman"/>
                <w:b/>
                <w:snapToGrid w:val="0"/>
                <w:sz w:val="24"/>
                <w:szCs w:val="24"/>
              </w:rPr>
            </w:pPr>
            <w:r w:rsidRPr="00F5314F">
              <w:rPr>
                <w:rFonts w:ascii="Times New Roman" w:eastAsia="Times New Roman" w:hAnsi="Times New Roman"/>
                <w:b/>
                <w:snapToGrid w:val="0"/>
                <w:sz w:val="24"/>
                <w:szCs w:val="24"/>
              </w:rPr>
              <w:t>Процедура за избор на изпълнител</w:t>
            </w:r>
          </w:p>
        </w:tc>
        <w:tc>
          <w:tcPr>
            <w:tcW w:w="6973" w:type="dxa"/>
            <w:shd w:val="clear" w:color="auto" w:fill="F3F3F3"/>
          </w:tcPr>
          <w:p w14:paraId="576D877E" w14:textId="6691E254" w:rsidR="00DB3130" w:rsidRPr="00CF60CE" w:rsidRDefault="00DB3130" w:rsidP="00DB3130">
            <w:pPr>
              <w:spacing w:before="100" w:beforeAutospacing="1" w:after="100" w:afterAutospacing="1" w:line="240" w:lineRule="auto"/>
              <w:jc w:val="both"/>
              <w:rPr>
                <w:rFonts w:ascii="Times New Roman" w:eastAsia="Times New Roman" w:hAnsi="Times New Roman" w:cs="Times New Roman"/>
                <w:snapToGrid w:val="0"/>
                <w:sz w:val="24"/>
                <w:szCs w:val="24"/>
              </w:rPr>
            </w:pPr>
            <w:r w:rsidRPr="00F5314F">
              <w:rPr>
                <w:rFonts w:ascii="Times New Roman" w:eastAsia="Times New Roman" w:hAnsi="Times New Roman"/>
                <w:snapToGrid w:val="0"/>
                <w:sz w:val="24"/>
                <w:szCs w:val="24"/>
              </w:rPr>
              <w:t>Система от свързани правила, при спазването на които се избира изпълнител, с когото да се сключи административен договор, финансиран със средства от Европейските фондове при споделено управление.</w:t>
            </w:r>
          </w:p>
        </w:tc>
      </w:tr>
      <w:tr w:rsidR="00DB3130" w:rsidRPr="00CF60CE" w14:paraId="5DE8E3A6" w14:textId="77777777" w:rsidTr="007A1A81">
        <w:tc>
          <w:tcPr>
            <w:tcW w:w="2633" w:type="dxa"/>
            <w:shd w:val="clear" w:color="auto" w:fill="E6E6E6"/>
          </w:tcPr>
          <w:p w14:paraId="6EFE1C53" w14:textId="4DFC6EAB" w:rsidR="00DB3130" w:rsidRPr="00F5314F" w:rsidRDefault="00DB3130" w:rsidP="00DB3130">
            <w:pPr>
              <w:spacing w:before="100" w:beforeAutospacing="1" w:after="100" w:afterAutospacing="1"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Публична подкрепа (държавно подпомагане)</w:t>
            </w:r>
          </w:p>
        </w:tc>
        <w:tc>
          <w:tcPr>
            <w:tcW w:w="6973" w:type="dxa"/>
            <w:shd w:val="clear" w:color="auto" w:fill="F3F3F3"/>
          </w:tcPr>
          <w:p w14:paraId="25919AB5" w14:textId="682E7128" w:rsidR="00DB3130" w:rsidRPr="00F5314F" w:rsidRDefault="00DB3130" w:rsidP="00DB3130">
            <w:pPr>
              <w:spacing w:before="100" w:beforeAutospacing="1" w:after="100" w:afterAutospacing="1"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„Публична подкрепа (държавно подпомагане)” означава всякаква финансова подкрепа за дадена операция, която произхожда от бюджета на национален, регионален или местен публичен орган, от бюджета на Съюза, от бюджета на </w:t>
            </w:r>
            <w:proofErr w:type="spellStart"/>
            <w:r w:rsidRPr="00F5314F">
              <w:rPr>
                <w:rFonts w:ascii="Times New Roman" w:eastAsia="Times New Roman" w:hAnsi="Times New Roman"/>
                <w:snapToGrid w:val="0"/>
                <w:sz w:val="24"/>
                <w:szCs w:val="24"/>
              </w:rPr>
              <w:t>публичноправни</w:t>
            </w:r>
            <w:proofErr w:type="spellEnd"/>
            <w:r w:rsidRPr="00F5314F">
              <w:rPr>
                <w:rFonts w:ascii="Times New Roman" w:eastAsia="Times New Roman" w:hAnsi="Times New Roman"/>
                <w:snapToGrid w:val="0"/>
                <w:sz w:val="24"/>
                <w:szCs w:val="24"/>
              </w:rPr>
              <w:t xml:space="preserve"> организации или от бюджета на сдружения на публични органи или организации, обекти на публичното право по смисъла на чл. </w:t>
            </w:r>
            <w:r w:rsidRPr="00F5314F">
              <w:rPr>
                <w:rFonts w:ascii="Times New Roman" w:eastAsia="Times New Roman" w:hAnsi="Times New Roman"/>
                <w:snapToGrid w:val="0"/>
                <w:sz w:val="24"/>
                <w:szCs w:val="24"/>
              </w:rPr>
              <w:lastRenderedPageBreak/>
              <w:t xml:space="preserve">1, </w:t>
            </w:r>
            <w:proofErr w:type="spellStart"/>
            <w:r w:rsidRPr="00F5314F">
              <w:rPr>
                <w:rFonts w:ascii="Times New Roman" w:eastAsia="Times New Roman" w:hAnsi="Times New Roman"/>
                <w:snapToGrid w:val="0"/>
                <w:sz w:val="24"/>
                <w:szCs w:val="24"/>
              </w:rPr>
              <w:t>пар</w:t>
            </w:r>
            <w:proofErr w:type="spellEnd"/>
            <w:r w:rsidRPr="00F5314F">
              <w:rPr>
                <w:rFonts w:ascii="Times New Roman" w:eastAsia="Times New Roman" w:hAnsi="Times New Roman"/>
                <w:snapToGrid w:val="0"/>
                <w:sz w:val="24"/>
                <w:szCs w:val="24"/>
              </w:rPr>
              <w:t>. 9 от Директива 2004/18/ЕО на Европейския парламент и на Съвета. Финансовите инструменти, централно управлявани от ЕК, финансирани по линия на ЕСИФ, ЕФСУ или изпълнявани с национални средства, също представляват публична подкрепа</w:t>
            </w:r>
          </w:p>
        </w:tc>
      </w:tr>
      <w:tr w:rsidR="00DB3130" w:rsidRPr="00CF60CE" w14:paraId="5021DDE4" w14:textId="77777777" w:rsidTr="007A1A81">
        <w:tc>
          <w:tcPr>
            <w:tcW w:w="2633" w:type="dxa"/>
            <w:shd w:val="clear" w:color="auto" w:fill="E6E6E6"/>
          </w:tcPr>
          <w:p w14:paraId="2BDAA52E" w14:textId="77777777" w:rsidR="00DB3130" w:rsidRPr="00CF60CE" w:rsidRDefault="00DB3130" w:rsidP="00DB3130">
            <w:pPr>
              <w:spacing w:before="100" w:beforeAutospacing="1" w:after="100" w:afterAutospacing="1" w:line="240" w:lineRule="auto"/>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lastRenderedPageBreak/>
              <w:t>Първично селскостопанско производство</w:t>
            </w:r>
          </w:p>
        </w:tc>
        <w:tc>
          <w:tcPr>
            <w:tcW w:w="6973" w:type="dxa"/>
            <w:shd w:val="clear" w:color="auto" w:fill="F3F3F3"/>
          </w:tcPr>
          <w:p w14:paraId="7DFF8F1A" w14:textId="16B9ED9A" w:rsidR="00DB3130" w:rsidRPr="00CF60CE" w:rsidRDefault="00DB3130" w:rsidP="00DB3130">
            <w:pPr>
              <w:spacing w:before="100" w:beforeAutospacing="1" w:after="100" w:afterAutospacing="1" w:line="240" w:lineRule="auto"/>
              <w:jc w:val="both"/>
              <w:rPr>
                <w:rFonts w:ascii="Times New Roman" w:eastAsia="Times New Roman" w:hAnsi="Times New Roman" w:cs="Times New Roman"/>
                <w:snapToGrid w:val="0"/>
                <w:sz w:val="24"/>
                <w:szCs w:val="24"/>
              </w:rPr>
            </w:pPr>
            <w:r w:rsidRPr="00CF60CE">
              <w:rPr>
                <w:rFonts w:ascii="Times New Roman" w:eastAsia="Times New Roman" w:hAnsi="Times New Roman" w:cs="Times New Roman"/>
                <w:snapToGrid w:val="0"/>
                <w:sz w:val="24"/>
                <w:szCs w:val="24"/>
              </w:rPr>
              <w:t xml:space="preserve">Съгласно чл.2, пар.9 от Регламент (ЕО) № 651/2014  това е </w:t>
            </w:r>
            <w:r w:rsidRPr="00CF60CE">
              <w:rPr>
                <w:rFonts w:ascii="Times New Roman" w:eastAsia="Times New Roman" w:hAnsi="Times New Roman" w:cs="Times New Roman"/>
                <w:snapToGrid w:val="0"/>
                <w:sz w:val="24"/>
                <w:szCs w:val="24"/>
                <w:lang w:val="bg"/>
              </w:rPr>
              <w:t xml:space="preserve">производство на продукти на почвата и на животновъдството, изброени в Приложение </w:t>
            </w:r>
            <w:r w:rsidRPr="00CF60CE">
              <w:rPr>
                <w:rFonts w:ascii="Times New Roman" w:eastAsia="Times New Roman" w:hAnsi="Times New Roman" w:cs="Times New Roman"/>
                <w:snapToGrid w:val="0"/>
                <w:sz w:val="24"/>
                <w:szCs w:val="24"/>
                <w:lang w:val="en-US"/>
              </w:rPr>
              <w:t xml:space="preserve">I </w:t>
            </w:r>
            <w:r w:rsidRPr="00CF60CE">
              <w:rPr>
                <w:rFonts w:ascii="Times New Roman" w:eastAsia="Times New Roman" w:hAnsi="Times New Roman" w:cs="Times New Roman"/>
                <w:snapToGrid w:val="0"/>
                <w:sz w:val="24"/>
                <w:szCs w:val="24"/>
                <w:lang w:val="bg"/>
              </w:rPr>
              <w:t>към Договора</w:t>
            </w:r>
            <w:r w:rsidRPr="00CF60CE">
              <w:rPr>
                <w:rFonts w:ascii="Times New Roman" w:hAnsi="Times New Roman" w:cs="Times New Roman"/>
                <w:sz w:val="24"/>
                <w:szCs w:val="24"/>
              </w:rPr>
              <w:t xml:space="preserve"> </w:t>
            </w:r>
            <w:r w:rsidRPr="00CF60CE">
              <w:rPr>
                <w:rFonts w:ascii="Times New Roman" w:eastAsia="Times New Roman" w:hAnsi="Times New Roman" w:cs="Times New Roman"/>
                <w:snapToGrid w:val="0"/>
                <w:sz w:val="24"/>
                <w:szCs w:val="24"/>
              </w:rPr>
              <w:t>за създаване на европейската</w:t>
            </w:r>
            <w:r w:rsidRPr="00CF60CE">
              <w:rPr>
                <w:rFonts w:ascii="Times New Roman" w:eastAsia="Times New Roman" w:hAnsi="Times New Roman" w:cs="Times New Roman"/>
                <w:snapToGrid w:val="0"/>
                <w:sz w:val="24"/>
                <w:szCs w:val="24"/>
                <w:lang w:val="bg"/>
              </w:rPr>
              <w:t xml:space="preserve"> общност без да се извършват никакви по-нататъшни операции, с които се променя естеството на тези продукти.</w:t>
            </w:r>
          </w:p>
        </w:tc>
      </w:tr>
      <w:tr w:rsidR="00DB3130" w:rsidRPr="00CF60CE" w14:paraId="6775F5BF" w14:textId="77777777" w:rsidTr="007A1A81">
        <w:tc>
          <w:tcPr>
            <w:tcW w:w="2633" w:type="dxa"/>
            <w:shd w:val="clear" w:color="auto" w:fill="E6E6E6"/>
          </w:tcPr>
          <w:p w14:paraId="75282C40" w14:textId="77777777" w:rsidR="00DB3130" w:rsidRPr="00CF60CE" w:rsidRDefault="00DB3130" w:rsidP="00DB3130">
            <w:pPr>
              <w:spacing w:before="100" w:beforeAutospacing="1" w:after="100" w:afterAutospacing="1" w:line="240" w:lineRule="auto"/>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Свързани лица</w:t>
            </w:r>
          </w:p>
        </w:tc>
        <w:tc>
          <w:tcPr>
            <w:tcW w:w="6973" w:type="dxa"/>
            <w:shd w:val="clear" w:color="auto" w:fill="F3F3F3"/>
          </w:tcPr>
          <w:p w14:paraId="21369182" w14:textId="77777777" w:rsidR="00DB3130" w:rsidRPr="00CF60CE" w:rsidRDefault="00DB3130" w:rsidP="00DB3130">
            <w:pPr>
              <w:spacing w:before="60" w:after="60" w:line="240" w:lineRule="auto"/>
              <w:jc w:val="both"/>
              <w:rPr>
                <w:rFonts w:ascii="Times New Roman" w:eastAsia="Times New Roman" w:hAnsi="Times New Roman" w:cs="Times New Roman"/>
                <w:snapToGrid w:val="0"/>
                <w:sz w:val="24"/>
                <w:szCs w:val="24"/>
              </w:rPr>
            </w:pPr>
            <w:r w:rsidRPr="00CF60CE">
              <w:rPr>
                <w:rFonts w:ascii="Times New Roman" w:eastAsia="Times New Roman" w:hAnsi="Times New Roman" w:cs="Times New Roman"/>
                <w:snapToGrid w:val="0"/>
                <w:sz w:val="24"/>
                <w:szCs w:val="24"/>
              </w:rPr>
              <w:t>(1) "Свързани лица" са:</w:t>
            </w:r>
          </w:p>
          <w:p w14:paraId="4578DE40" w14:textId="77777777" w:rsidR="00DB3130" w:rsidRPr="00CF60CE" w:rsidRDefault="00DB3130" w:rsidP="00DB3130">
            <w:pPr>
              <w:spacing w:before="60" w:after="60" w:line="240" w:lineRule="auto"/>
              <w:jc w:val="both"/>
              <w:rPr>
                <w:rFonts w:ascii="Times New Roman" w:eastAsia="Times New Roman" w:hAnsi="Times New Roman" w:cs="Times New Roman"/>
                <w:snapToGrid w:val="0"/>
                <w:sz w:val="24"/>
                <w:szCs w:val="24"/>
              </w:rPr>
            </w:pPr>
            <w:r w:rsidRPr="00CF60CE">
              <w:rPr>
                <w:rFonts w:ascii="Times New Roman" w:eastAsia="Times New Roman" w:hAnsi="Times New Roman" w:cs="Times New Roman"/>
                <w:snapToGrid w:val="0"/>
                <w:sz w:val="24"/>
                <w:szCs w:val="24"/>
              </w:rPr>
              <w:t>1. 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14:paraId="48F315AA" w14:textId="77777777" w:rsidR="00DB3130" w:rsidRPr="00CF60CE" w:rsidRDefault="00DB3130" w:rsidP="00DB3130">
            <w:pPr>
              <w:spacing w:before="60" w:after="60" w:line="240" w:lineRule="auto"/>
              <w:jc w:val="both"/>
              <w:rPr>
                <w:rFonts w:ascii="Times New Roman" w:eastAsia="Times New Roman" w:hAnsi="Times New Roman" w:cs="Times New Roman"/>
                <w:snapToGrid w:val="0"/>
                <w:sz w:val="24"/>
                <w:szCs w:val="24"/>
              </w:rPr>
            </w:pPr>
            <w:r w:rsidRPr="00CF60CE">
              <w:rPr>
                <w:rFonts w:ascii="Times New Roman" w:eastAsia="Times New Roman" w:hAnsi="Times New Roman" w:cs="Times New Roman"/>
                <w:snapToGrid w:val="0"/>
                <w:sz w:val="24"/>
                <w:szCs w:val="24"/>
              </w:rPr>
              <w:t>2. работодател и работник;</w:t>
            </w:r>
          </w:p>
          <w:p w14:paraId="3093017C" w14:textId="77777777" w:rsidR="00DB3130" w:rsidRPr="00CF60CE" w:rsidRDefault="00DB3130" w:rsidP="00DB3130">
            <w:pPr>
              <w:spacing w:before="60" w:after="60" w:line="240" w:lineRule="auto"/>
              <w:jc w:val="both"/>
              <w:rPr>
                <w:rFonts w:ascii="Times New Roman" w:eastAsia="Times New Roman" w:hAnsi="Times New Roman" w:cs="Times New Roman"/>
                <w:snapToGrid w:val="0"/>
                <w:sz w:val="24"/>
                <w:szCs w:val="24"/>
              </w:rPr>
            </w:pPr>
            <w:r w:rsidRPr="00CF60CE">
              <w:rPr>
                <w:rFonts w:ascii="Times New Roman" w:eastAsia="Times New Roman" w:hAnsi="Times New Roman" w:cs="Times New Roman"/>
                <w:snapToGrid w:val="0"/>
                <w:sz w:val="24"/>
                <w:szCs w:val="24"/>
              </w:rPr>
              <w:t>3. лицата, едното от които участва в управлението на дружеството на другото;</w:t>
            </w:r>
          </w:p>
          <w:p w14:paraId="12ACCD03" w14:textId="77777777" w:rsidR="00DB3130" w:rsidRPr="00CF60CE" w:rsidRDefault="00DB3130" w:rsidP="00DB3130">
            <w:pPr>
              <w:spacing w:before="60" w:after="60" w:line="240" w:lineRule="auto"/>
              <w:jc w:val="both"/>
              <w:rPr>
                <w:rFonts w:ascii="Times New Roman" w:eastAsia="Times New Roman" w:hAnsi="Times New Roman" w:cs="Times New Roman"/>
                <w:snapToGrid w:val="0"/>
                <w:sz w:val="24"/>
                <w:szCs w:val="24"/>
              </w:rPr>
            </w:pPr>
            <w:r w:rsidRPr="00CF60CE">
              <w:rPr>
                <w:rFonts w:ascii="Times New Roman" w:eastAsia="Times New Roman" w:hAnsi="Times New Roman" w:cs="Times New Roman"/>
                <w:snapToGrid w:val="0"/>
                <w:sz w:val="24"/>
                <w:szCs w:val="24"/>
              </w:rPr>
              <w:t>4. съдружниците;</w:t>
            </w:r>
          </w:p>
          <w:p w14:paraId="0A41B333" w14:textId="77777777" w:rsidR="00DB3130" w:rsidRPr="00CF60CE" w:rsidRDefault="00DB3130" w:rsidP="00DB3130">
            <w:pPr>
              <w:spacing w:before="60" w:after="60" w:line="240" w:lineRule="auto"/>
              <w:jc w:val="both"/>
              <w:rPr>
                <w:rFonts w:ascii="Times New Roman" w:eastAsia="Times New Roman" w:hAnsi="Times New Roman" w:cs="Times New Roman"/>
                <w:snapToGrid w:val="0"/>
                <w:sz w:val="24"/>
                <w:szCs w:val="24"/>
              </w:rPr>
            </w:pPr>
            <w:r w:rsidRPr="00CF60CE">
              <w:rPr>
                <w:rFonts w:ascii="Times New Roman" w:eastAsia="Times New Roman" w:hAnsi="Times New Roman" w:cs="Times New Roman"/>
                <w:snapToGrid w:val="0"/>
                <w:sz w:val="24"/>
                <w:szCs w:val="24"/>
              </w:rPr>
              <w:t>5. дружество и лице, което притежава повече от 5 на сто от дяловете и акциите, издадени с право на глас в дружеството;</w:t>
            </w:r>
          </w:p>
          <w:p w14:paraId="15846D78" w14:textId="77777777" w:rsidR="00DB3130" w:rsidRPr="00CF60CE" w:rsidRDefault="00DB3130" w:rsidP="00DB3130">
            <w:pPr>
              <w:spacing w:before="60" w:after="60" w:line="240" w:lineRule="auto"/>
              <w:jc w:val="both"/>
              <w:rPr>
                <w:rFonts w:ascii="Times New Roman" w:eastAsia="Times New Roman" w:hAnsi="Times New Roman" w:cs="Times New Roman"/>
                <w:snapToGrid w:val="0"/>
                <w:sz w:val="24"/>
                <w:szCs w:val="24"/>
              </w:rPr>
            </w:pPr>
            <w:r w:rsidRPr="00CF60CE">
              <w:rPr>
                <w:rFonts w:ascii="Times New Roman" w:eastAsia="Times New Roman" w:hAnsi="Times New Roman" w:cs="Times New Roman"/>
                <w:snapToGrid w:val="0"/>
                <w:sz w:val="24"/>
                <w:szCs w:val="24"/>
              </w:rPr>
              <w:t>6. лицата, чиято дейност се контролира пряко или косвено от трето лице;</w:t>
            </w:r>
          </w:p>
          <w:p w14:paraId="14684214" w14:textId="77777777" w:rsidR="00DB3130" w:rsidRPr="00CF60CE" w:rsidRDefault="00DB3130" w:rsidP="00DB3130">
            <w:pPr>
              <w:spacing w:before="60" w:after="60" w:line="240" w:lineRule="auto"/>
              <w:jc w:val="both"/>
              <w:rPr>
                <w:rFonts w:ascii="Times New Roman" w:eastAsia="Times New Roman" w:hAnsi="Times New Roman" w:cs="Times New Roman"/>
                <w:snapToGrid w:val="0"/>
                <w:sz w:val="24"/>
                <w:szCs w:val="24"/>
              </w:rPr>
            </w:pPr>
            <w:r w:rsidRPr="00CF60CE">
              <w:rPr>
                <w:rFonts w:ascii="Times New Roman" w:eastAsia="Times New Roman" w:hAnsi="Times New Roman" w:cs="Times New Roman"/>
                <w:snapToGrid w:val="0"/>
                <w:sz w:val="24"/>
                <w:szCs w:val="24"/>
              </w:rPr>
              <w:t>7. лицата, които съвместно контролират пряко или косвено трето лице;</w:t>
            </w:r>
          </w:p>
          <w:p w14:paraId="7EBBB68E" w14:textId="77777777" w:rsidR="00DB3130" w:rsidRPr="00CF60CE" w:rsidRDefault="00DB3130" w:rsidP="00DB3130">
            <w:pPr>
              <w:spacing w:before="60" w:after="60" w:line="240" w:lineRule="auto"/>
              <w:jc w:val="both"/>
              <w:rPr>
                <w:rFonts w:ascii="Times New Roman" w:eastAsia="Times New Roman" w:hAnsi="Times New Roman" w:cs="Times New Roman"/>
                <w:snapToGrid w:val="0"/>
                <w:sz w:val="24"/>
                <w:szCs w:val="24"/>
              </w:rPr>
            </w:pPr>
            <w:r w:rsidRPr="00CF60CE">
              <w:rPr>
                <w:rFonts w:ascii="Times New Roman" w:eastAsia="Times New Roman" w:hAnsi="Times New Roman" w:cs="Times New Roman"/>
                <w:snapToGrid w:val="0"/>
                <w:sz w:val="24"/>
                <w:szCs w:val="24"/>
              </w:rPr>
              <w:t>8. лицата, едното от които е търговски представител на другото;</w:t>
            </w:r>
          </w:p>
          <w:p w14:paraId="025755C2" w14:textId="77777777" w:rsidR="00DB3130" w:rsidRPr="00CF60CE" w:rsidRDefault="00DB3130" w:rsidP="00DB3130">
            <w:pPr>
              <w:spacing w:before="60" w:after="60" w:line="240" w:lineRule="auto"/>
              <w:jc w:val="both"/>
              <w:rPr>
                <w:rFonts w:ascii="Times New Roman" w:eastAsia="Times New Roman" w:hAnsi="Times New Roman" w:cs="Times New Roman"/>
                <w:snapToGrid w:val="0"/>
                <w:sz w:val="24"/>
                <w:szCs w:val="24"/>
              </w:rPr>
            </w:pPr>
            <w:r w:rsidRPr="00CF60CE">
              <w:rPr>
                <w:rFonts w:ascii="Times New Roman" w:eastAsia="Times New Roman" w:hAnsi="Times New Roman" w:cs="Times New Roman"/>
                <w:snapToGrid w:val="0"/>
                <w:sz w:val="24"/>
                <w:szCs w:val="24"/>
              </w:rPr>
              <w:t>9. лицата, едното от които е направило дарение в полза на другото.</w:t>
            </w:r>
          </w:p>
          <w:p w14:paraId="6B81A3CE" w14:textId="77777777" w:rsidR="00DB3130" w:rsidRPr="00CF60CE" w:rsidRDefault="00DB3130" w:rsidP="00DB3130">
            <w:pPr>
              <w:spacing w:before="60" w:after="60" w:line="240" w:lineRule="auto"/>
              <w:jc w:val="both"/>
              <w:rPr>
                <w:rFonts w:ascii="Times New Roman" w:eastAsia="Times New Roman" w:hAnsi="Times New Roman" w:cs="Times New Roman"/>
                <w:snapToGrid w:val="0"/>
                <w:sz w:val="24"/>
                <w:szCs w:val="24"/>
                <w:lang w:val="en-US"/>
              </w:rPr>
            </w:pPr>
            <w:r w:rsidRPr="00CF60CE">
              <w:rPr>
                <w:rFonts w:ascii="Times New Roman" w:eastAsia="Times New Roman" w:hAnsi="Times New Roman" w:cs="Times New Roman"/>
                <w:snapToGrid w:val="0"/>
                <w:sz w:val="24"/>
                <w:szCs w:val="24"/>
              </w:rPr>
              <w:t>(2) "Свързани лица" са и лицата, които участват пряко или косвено в управлението, контрола или капитала на друго лице или лица, поради което между тях могат да се уговарят условия, различни от обичайните.</w:t>
            </w:r>
          </w:p>
        </w:tc>
      </w:tr>
      <w:tr w:rsidR="00DB3130" w:rsidRPr="00CF60CE" w14:paraId="5E2DD8BA" w14:textId="77777777" w:rsidTr="007A1A81">
        <w:tc>
          <w:tcPr>
            <w:tcW w:w="2633" w:type="dxa"/>
            <w:shd w:val="clear" w:color="auto" w:fill="E6E6E6"/>
          </w:tcPr>
          <w:p w14:paraId="33617E20" w14:textId="77777777" w:rsidR="00DB3130" w:rsidRPr="00CF60CE" w:rsidRDefault="00DB3130" w:rsidP="00DB3130">
            <w:pPr>
              <w:spacing w:before="100" w:beforeAutospacing="1" w:after="100" w:afterAutospacing="1" w:line="240" w:lineRule="auto"/>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Сделка между несвързани лица</w:t>
            </w:r>
          </w:p>
        </w:tc>
        <w:tc>
          <w:tcPr>
            <w:tcW w:w="6973" w:type="dxa"/>
            <w:shd w:val="clear" w:color="auto" w:fill="F3F3F3"/>
          </w:tcPr>
          <w:p w14:paraId="3E304E05" w14:textId="77777777" w:rsidR="00DB3130" w:rsidRPr="00CF60CE" w:rsidRDefault="00DB3130" w:rsidP="00DB3130">
            <w:pPr>
              <w:spacing w:before="100" w:beforeAutospacing="1" w:after="100" w:afterAutospacing="1" w:line="240" w:lineRule="auto"/>
              <w:jc w:val="both"/>
              <w:rPr>
                <w:rFonts w:ascii="Times New Roman" w:eastAsia="Times New Roman" w:hAnsi="Times New Roman" w:cs="Times New Roman"/>
                <w:snapToGrid w:val="0"/>
                <w:sz w:val="24"/>
                <w:szCs w:val="24"/>
              </w:rPr>
            </w:pPr>
            <w:r w:rsidRPr="00CF60CE">
              <w:rPr>
                <w:rFonts w:ascii="Times New Roman" w:eastAsia="Times New Roman" w:hAnsi="Times New Roman" w:cs="Times New Roman"/>
                <w:snapToGrid w:val="0"/>
                <w:sz w:val="24"/>
                <w:szCs w:val="24"/>
              </w:rPr>
              <w:t>Сделка между несвързани лица означава, че условията на сделката между договарящите се страни не се различават от условията, които биха били договорени между независими предприятия, и не съдържат елемент на колизия. Всяка сделка, която е резултат от открита, прозрачна и недискриминационна процедура, се разглежда като съответстваща на принципа на сделката между несвързани лица</w:t>
            </w:r>
          </w:p>
        </w:tc>
      </w:tr>
      <w:tr w:rsidR="00DB3130" w:rsidRPr="00CF60CE" w14:paraId="068E4BD7" w14:textId="77777777" w:rsidTr="007A1A81">
        <w:tc>
          <w:tcPr>
            <w:tcW w:w="2633" w:type="dxa"/>
            <w:shd w:val="clear" w:color="auto" w:fill="E6E6E6"/>
          </w:tcPr>
          <w:p w14:paraId="1FE03947" w14:textId="77777777" w:rsidR="00DB3130" w:rsidRPr="00CF60CE" w:rsidRDefault="00DB3130" w:rsidP="00DB3130">
            <w:pPr>
              <w:spacing w:before="100" w:beforeAutospacing="1" w:after="100" w:afterAutospacing="1" w:line="240" w:lineRule="auto"/>
              <w:rPr>
                <w:rFonts w:ascii="Times New Roman" w:eastAsia="Times New Roman" w:hAnsi="Times New Roman" w:cs="Times New Roman"/>
                <w:b/>
                <w:snapToGrid w:val="0"/>
                <w:sz w:val="24"/>
                <w:szCs w:val="24"/>
              </w:rPr>
            </w:pPr>
            <w:r w:rsidRPr="00CF60CE">
              <w:rPr>
                <w:rFonts w:ascii="Times New Roman" w:eastAsia="Times New Roman" w:hAnsi="Times New Roman" w:cs="Times New Roman"/>
                <w:b/>
                <w:snapToGrid w:val="0"/>
                <w:sz w:val="24"/>
                <w:szCs w:val="24"/>
              </w:rPr>
              <w:t>Селскостопански продукт</w:t>
            </w:r>
          </w:p>
        </w:tc>
        <w:tc>
          <w:tcPr>
            <w:tcW w:w="6973" w:type="dxa"/>
            <w:shd w:val="clear" w:color="auto" w:fill="F3F3F3"/>
          </w:tcPr>
          <w:p w14:paraId="78022D3C" w14:textId="75772ED6" w:rsidR="00DB3130" w:rsidRPr="00CF60CE" w:rsidRDefault="00DB3130" w:rsidP="00DB3130">
            <w:pPr>
              <w:spacing w:before="100" w:beforeAutospacing="1" w:after="100" w:afterAutospacing="1" w:line="240" w:lineRule="auto"/>
              <w:jc w:val="both"/>
              <w:rPr>
                <w:rFonts w:ascii="Times New Roman" w:eastAsia="Times New Roman" w:hAnsi="Times New Roman" w:cs="Times New Roman"/>
                <w:snapToGrid w:val="0"/>
                <w:sz w:val="24"/>
                <w:szCs w:val="24"/>
              </w:rPr>
            </w:pPr>
            <w:r w:rsidRPr="00CF60CE">
              <w:rPr>
                <w:rFonts w:ascii="Times New Roman" w:eastAsia="Times New Roman" w:hAnsi="Times New Roman" w:cs="Times New Roman"/>
                <w:snapToGrid w:val="0"/>
                <w:sz w:val="24"/>
                <w:szCs w:val="24"/>
              </w:rPr>
              <w:t xml:space="preserve">Съгласно чл. 2, </w:t>
            </w:r>
            <w:proofErr w:type="spellStart"/>
            <w:r w:rsidRPr="00CF60CE">
              <w:rPr>
                <w:rFonts w:ascii="Times New Roman" w:eastAsia="Times New Roman" w:hAnsi="Times New Roman" w:cs="Times New Roman"/>
                <w:snapToGrid w:val="0"/>
                <w:sz w:val="24"/>
                <w:szCs w:val="24"/>
              </w:rPr>
              <w:t>пар</w:t>
            </w:r>
            <w:proofErr w:type="spellEnd"/>
            <w:r w:rsidRPr="00CF60CE">
              <w:rPr>
                <w:rFonts w:ascii="Times New Roman" w:eastAsia="Times New Roman" w:hAnsi="Times New Roman" w:cs="Times New Roman"/>
                <w:snapToGrid w:val="0"/>
                <w:sz w:val="24"/>
                <w:szCs w:val="24"/>
              </w:rPr>
              <w:t xml:space="preserve">. 11 от Регламент (ЕС) № 651/2014 „селскостопански продукт“ означава продукти, изброени в приложение I към Договора, с изключение на продукти на рибарството и </w:t>
            </w:r>
            <w:proofErr w:type="spellStart"/>
            <w:r w:rsidRPr="00CF60CE">
              <w:rPr>
                <w:rFonts w:ascii="Times New Roman" w:eastAsia="Times New Roman" w:hAnsi="Times New Roman" w:cs="Times New Roman"/>
                <w:snapToGrid w:val="0"/>
                <w:sz w:val="24"/>
                <w:szCs w:val="24"/>
              </w:rPr>
              <w:t>аквакултурите</w:t>
            </w:r>
            <w:proofErr w:type="spellEnd"/>
            <w:r w:rsidRPr="00CF60CE">
              <w:rPr>
                <w:rFonts w:ascii="Times New Roman" w:eastAsia="Times New Roman" w:hAnsi="Times New Roman" w:cs="Times New Roman"/>
                <w:snapToGrid w:val="0"/>
                <w:sz w:val="24"/>
                <w:szCs w:val="24"/>
              </w:rPr>
              <w:t>, изброени в приложение I към Регламент (ЕС) № 1379/2013 на Европейския парламент и на Съвета от 11 декември 2013 г.;</w:t>
            </w:r>
          </w:p>
        </w:tc>
      </w:tr>
      <w:tr w:rsidR="00DB3130" w:rsidRPr="00CF60CE" w14:paraId="1255D677" w14:textId="77777777" w:rsidTr="007A1A81">
        <w:tc>
          <w:tcPr>
            <w:tcW w:w="2633" w:type="dxa"/>
            <w:shd w:val="clear" w:color="auto" w:fill="E6E6E6"/>
          </w:tcPr>
          <w:p w14:paraId="01D851A3" w14:textId="35DB9529" w:rsidR="00DB3130" w:rsidRPr="00CF60CE" w:rsidRDefault="00DB3130" w:rsidP="00DB3130">
            <w:pPr>
              <w:spacing w:before="100" w:beforeAutospacing="1" w:after="100" w:afterAutospacing="1" w:line="240" w:lineRule="auto"/>
              <w:rPr>
                <w:rFonts w:ascii="Times New Roman" w:eastAsia="Times New Roman" w:hAnsi="Times New Roman" w:cs="Times New Roman"/>
                <w:b/>
                <w:snapToGrid w:val="0"/>
                <w:sz w:val="24"/>
                <w:szCs w:val="24"/>
              </w:rPr>
            </w:pPr>
            <w:r w:rsidRPr="00F5314F">
              <w:rPr>
                <w:rFonts w:ascii="Times New Roman" w:eastAsia="Times New Roman" w:hAnsi="Times New Roman"/>
                <w:b/>
                <w:snapToGrid w:val="0"/>
                <w:sz w:val="24"/>
                <w:szCs w:val="24"/>
              </w:rPr>
              <w:t>Стоманодобивен сектор</w:t>
            </w:r>
          </w:p>
        </w:tc>
        <w:tc>
          <w:tcPr>
            <w:tcW w:w="6973" w:type="dxa"/>
            <w:shd w:val="clear" w:color="auto" w:fill="F3F3F3"/>
          </w:tcPr>
          <w:p w14:paraId="43F62521" w14:textId="77777777" w:rsidR="00DB3130" w:rsidRPr="00F5314F" w:rsidRDefault="00DB3130" w:rsidP="00DB3130">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Съгласно чл. 2, </w:t>
            </w:r>
            <w:proofErr w:type="spellStart"/>
            <w:r w:rsidRPr="00F5314F">
              <w:rPr>
                <w:rFonts w:ascii="Times New Roman" w:eastAsia="Times New Roman" w:hAnsi="Times New Roman"/>
                <w:snapToGrid w:val="0"/>
                <w:sz w:val="24"/>
                <w:szCs w:val="24"/>
              </w:rPr>
              <w:t>пар</w:t>
            </w:r>
            <w:proofErr w:type="spellEnd"/>
            <w:r w:rsidRPr="00F5314F">
              <w:rPr>
                <w:rFonts w:ascii="Times New Roman" w:eastAsia="Times New Roman" w:hAnsi="Times New Roman"/>
                <w:snapToGrid w:val="0"/>
                <w:sz w:val="24"/>
                <w:szCs w:val="24"/>
              </w:rPr>
              <w:t>. 43 от Регламент (ЕО) № 651/2014</w:t>
            </w:r>
            <w:r w:rsidRPr="00F5314F">
              <w:rPr>
                <w:rFonts w:ascii="Times New Roman" w:hAnsi="Times New Roman"/>
                <w:sz w:val="24"/>
                <w:szCs w:val="24"/>
              </w:rPr>
              <w:t xml:space="preserve"> </w:t>
            </w:r>
            <w:r w:rsidRPr="00F5314F">
              <w:rPr>
                <w:rFonts w:ascii="Times New Roman" w:eastAsia="Times New Roman" w:hAnsi="Times New Roman"/>
                <w:snapToGrid w:val="0"/>
                <w:sz w:val="24"/>
                <w:szCs w:val="24"/>
              </w:rPr>
              <w:t>„стоманодобивен сектор“ означава производството на едно или повече от следните изделия:</w:t>
            </w:r>
          </w:p>
          <w:p w14:paraId="54FB37A8" w14:textId="77777777" w:rsidR="00DB3130" w:rsidRPr="00F5314F" w:rsidRDefault="00DB3130" w:rsidP="00DB3130">
            <w:pPr>
              <w:spacing w:after="120" w:line="240" w:lineRule="auto"/>
              <w:jc w:val="both"/>
              <w:rPr>
                <w:rFonts w:ascii="Times New Roman" w:eastAsia="Times New Roman" w:hAnsi="Times New Roman"/>
                <w:snapToGrid w:val="0"/>
                <w:sz w:val="24"/>
                <w:szCs w:val="24"/>
                <w:lang w:val="bg"/>
              </w:rPr>
            </w:pPr>
            <w:r w:rsidRPr="00F5314F">
              <w:rPr>
                <w:rFonts w:ascii="Times New Roman" w:eastAsia="Times New Roman" w:hAnsi="Times New Roman"/>
                <w:snapToGrid w:val="0"/>
                <w:sz w:val="24"/>
                <w:szCs w:val="24"/>
                <w:lang w:val="bg"/>
              </w:rPr>
              <w:lastRenderedPageBreak/>
              <w:t xml:space="preserve">а) необработен чугун и </w:t>
            </w:r>
            <w:proofErr w:type="spellStart"/>
            <w:r w:rsidRPr="00F5314F">
              <w:rPr>
                <w:rFonts w:ascii="Times New Roman" w:eastAsia="Times New Roman" w:hAnsi="Times New Roman"/>
                <w:snapToGrid w:val="0"/>
                <w:sz w:val="24"/>
                <w:szCs w:val="24"/>
                <w:lang w:val="bg"/>
              </w:rPr>
              <w:t>феросплави</w:t>
            </w:r>
            <w:proofErr w:type="spellEnd"/>
            <w:r w:rsidRPr="00F5314F">
              <w:rPr>
                <w:rFonts w:ascii="Times New Roman" w:eastAsia="Times New Roman" w:hAnsi="Times New Roman"/>
                <w:snapToGrid w:val="0"/>
                <w:sz w:val="24"/>
                <w:szCs w:val="24"/>
                <w:lang w:val="bg"/>
              </w:rPr>
              <w:t>: необработен чугун за производство на стомана, леярски чугун и друг необработен чугун, огледални „</w:t>
            </w:r>
            <w:proofErr w:type="spellStart"/>
            <w:r w:rsidRPr="00F5314F">
              <w:rPr>
                <w:rFonts w:ascii="Times New Roman" w:eastAsia="Times New Roman" w:hAnsi="Times New Roman"/>
                <w:snapToGrid w:val="0"/>
                <w:sz w:val="24"/>
                <w:szCs w:val="24"/>
                <w:lang w:val="bg"/>
              </w:rPr>
              <w:t>шпигел</w:t>
            </w:r>
            <w:proofErr w:type="spellEnd"/>
            <w:r w:rsidRPr="00F5314F">
              <w:rPr>
                <w:rFonts w:ascii="Times New Roman" w:eastAsia="Times New Roman" w:hAnsi="Times New Roman"/>
                <w:snapToGrid w:val="0"/>
                <w:sz w:val="24"/>
                <w:szCs w:val="24"/>
                <w:lang w:val="bg"/>
              </w:rPr>
              <w:t xml:space="preserve">“ чугуни и </w:t>
            </w:r>
            <w:proofErr w:type="spellStart"/>
            <w:r w:rsidRPr="00F5314F">
              <w:rPr>
                <w:rFonts w:ascii="Times New Roman" w:eastAsia="Times New Roman" w:hAnsi="Times New Roman"/>
                <w:snapToGrid w:val="0"/>
                <w:sz w:val="24"/>
                <w:szCs w:val="24"/>
                <w:lang w:val="bg"/>
              </w:rPr>
              <w:t>високовъглероден</w:t>
            </w:r>
            <w:proofErr w:type="spellEnd"/>
            <w:r w:rsidRPr="00F5314F">
              <w:rPr>
                <w:rFonts w:ascii="Times New Roman" w:eastAsia="Times New Roman" w:hAnsi="Times New Roman"/>
                <w:snapToGrid w:val="0"/>
                <w:sz w:val="24"/>
                <w:szCs w:val="24"/>
                <w:lang w:val="bg"/>
              </w:rPr>
              <w:t xml:space="preserve"> </w:t>
            </w:r>
            <w:proofErr w:type="spellStart"/>
            <w:r w:rsidRPr="00F5314F">
              <w:rPr>
                <w:rFonts w:ascii="Times New Roman" w:eastAsia="Times New Roman" w:hAnsi="Times New Roman"/>
                <w:snapToGrid w:val="0"/>
                <w:sz w:val="24"/>
                <w:szCs w:val="24"/>
                <w:lang w:val="bg"/>
              </w:rPr>
              <w:t>фероманган</w:t>
            </w:r>
            <w:proofErr w:type="spellEnd"/>
            <w:r w:rsidRPr="00F5314F">
              <w:rPr>
                <w:rFonts w:ascii="Times New Roman" w:eastAsia="Times New Roman" w:hAnsi="Times New Roman"/>
                <w:snapToGrid w:val="0"/>
                <w:sz w:val="24"/>
                <w:szCs w:val="24"/>
                <w:lang w:val="bg"/>
              </w:rPr>
              <w:t xml:space="preserve">, без да се включват други </w:t>
            </w:r>
            <w:proofErr w:type="spellStart"/>
            <w:r w:rsidRPr="00F5314F">
              <w:rPr>
                <w:rFonts w:ascii="Times New Roman" w:eastAsia="Times New Roman" w:hAnsi="Times New Roman"/>
                <w:snapToGrid w:val="0"/>
                <w:sz w:val="24"/>
                <w:szCs w:val="24"/>
                <w:lang w:val="bg"/>
              </w:rPr>
              <w:t>феросплави</w:t>
            </w:r>
            <w:proofErr w:type="spellEnd"/>
            <w:r w:rsidRPr="00F5314F">
              <w:rPr>
                <w:rFonts w:ascii="Times New Roman" w:eastAsia="Times New Roman" w:hAnsi="Times New Roman"/>
                <w:snapToGrid w:val="0"/>
                <w:sz w:val="24"/>
                <w:szCs w:val="24"/>
                <w:lang w:val="bg"/>
              </w:rPr>
              <w:t>;</w:t>
            </w:r>
          </w:p>
          <w:p w14:paraId="44930B9C" w14:textId="77777777" w:rsidR="00DB3130" w:rsidRPr="00F5314F" w:rsidRDefault="00DB3130" w:rsidP="00DB3130">
            <w:pPr>
              <w:spacing w:after="120" w:line="240" w:lineRule="auto"/>
              <w:jc w:val="both"/>
              <w:rPr>
                <w:rFonts w:ascii="Times New Roman" w:eastAsia="Times New Roman" w:hAnsi="Times New Roman"/>
                <w:snapToGrid w:val="0"/>
                <w:sz w:val="24"/>
                <w:szCs w:val="24"/>
                <w:lang w:val="bg"/>
              </w:rPr>
            </w:pPr>
            <w:r w:rsidRPr="00F5314F">
              <w:rPr>
                <w:rFonts w:ascii="Times New Roman" w:eastAsia="Times New Roman" w:hAnsi="Times New Roman"/>
                <w:snapToGrid w:val="0"/>
                <w:sz w:val="24"/>
                <w:szCs w:val="24"/>
                <w:lang w:val="bg"/>
              </w:rPr>
              <w:t xml:space="preserve">б) суровини и полуготови продукти от желязо, обикновена стомана или специална стомана: лята стомана, на блокове или не, включително блокове за коване на полуготови изделия: </w:t>
            </w:r>
            <w:proofErr w:type="spellStart"/>
            <w:r w:rsidRPr="00F5314F">
              <w:rPr>
                <w:rFonts w:ascii="Times New Roman" w:eastAsia="Times New Roman" w:hAnsi="Times New Roman"/>
                <w:snapToGrid w:val="0"/>
                <w:sz w:val="24"/>
                <w:szCs w:val="24"/>
                <w:lang w:val="bg"/>
              </w:rPr>
              <w:t>блуми</w:t>
            </w:r>
            <w:proofErr w:type="spellEnd"/>
            <w:r w:rsidRPr="00F5314F">
              <w:rPr>
                <w:rFonts w:ascii="Times New Roman" w:eastAsia="Times New Roman" w:hAnsi="Times New Roman"/>
                <w:snapToGrid w:val="0"/>
                <w:sz w:val="24"/>
                <w:szCs w:val="24"/>
                <w:lang w:val="bg"/>
              </w:rPr>
              <w:t xml:space="preserve">, кръгли блокове и </w:t>
            </w:r>
            <w:proofErr w:type="spellStart"/>
            <w:r w:rsidRPr="00F5314F">
              <w:rPr>
                <w:rFonts w:ascii="Times New Roman" w:eastAsia="Times New Roman" w:hAnsi="Times New Roman"/>
                <w:snapToGrid w:val="0"/>
                <w:sz w:val="24"/>
                <w:szCs w:val="24"/>
                <w:lang w:val="bg"/>
              </w:rPr>
              <w:t>сляби</w:t>
            </w:r>
            <w:proofErr w:type="spellEnd"/>
            <w:r w:rsidRPr="00F5314F">
              <w:rPr>
                <w:rFonts w:ascii="Times New Roman" w:eastAsia="Times New Roman" w:hAnsi="Times New Roman"/>
                <w:snapToGrid w:val="0"/>
                <w:sz w:val="24"/>
                <w:szCs w:val="24"/>
                <w:lang w:val="bg"/>
              </w:rPr>
              <w:t xml:space="preserve">; листове и листове </w:t>
            </w:r>
            <w:proofErr w:type="spellStart"/>
            <w:r w:rsidRPr="00F5314F">
              <w:rPr>
                <w:rFonts w:ascii="Times New Roman" w:eastAsia="Times New Roman" w:hAnsi="Times New Roman"/>
                <w:snapToGrid w:val="0"/>
                <w:sz w:val="24"/>
                <w:szCs w:val="24"/>
                <w:lang w:val="bg"/>
              </w:rPr>
              <w:t>покалаена</w:t>
            </w:r>
            <w:proofErr w:type="spellEnd"/>
            <w:r w:rsidRPr="00F5314F">
              <w:rPr>
                <w:rFonts w:ascii="Times New Roman" w:eastAsia="Times New Roman" w:hAnsi="Times New Roman"/>
                <w:snapToGrid w:val="0"/>
                <w:sz w:val="24"/>
                <w:szCs w:val="24"/>
                <w:lang w:val="bg"/>
              </w:rPr>
              <w:t xml:space="preserve"> ламарина, горещо валцувани </w:t>
            </w:r>
            <w:proofErr w:type="spellStart"/>
            <w:r w:rsidRPr="00F5314F">
              <w:rPr>
                <w:rFonts w:ascii="Times New Roman" w:eastAsia="Times New Roman" w:hAnsi="Times New Roman"/>
                <w:snapToGrid w:val="0"/>
                <w:sz w:val="24"/>
                <w:szCs w:val="24"/>
                <w:lang w:val="bg"/>
              </w:rPr>
              <w:t>коилси</w:t>
            </w:r>
            <w:proofErr w:type="spellEnd"/>
            <w:r w:rsidRPr="00F5314F">
              <w:rPr>
                <w:rFonts w:ascii="Times New Roman" w:eastAsia="Times New Roman" w:hAnsi="Times New Roman"/>
                <w:snapToGrid w:val="0"/>
                <w:sz w:val="24"/>
                <w:szCs w:val="24"/>
                <w:lang w:val="bg"/>
              </w:rPr>
              <w:t>, с изключение на производство на течна стомана за леене от малки и средни леярни;</w:t>
            </w:r>
          </w:p>
          <w:p w14:paraId="583148DF" w14:textId="77777777" w:rsidR="00DB3130" w:rsidRPr="00F5314F" w:rsidRDefault="00DB3130" w:rsidP="00DB3130">
            <w:pPr>
              <w:spacing w:after="120" w:line="240" w:lineRule="auto"/>
              <w:jc w:val="both"/>
              <w:rPr>
                <w:rFonts w:ascii="Times New Roman" w:eastAsia="Times New Roman" w:hAnsi="Times New Roman"/>
                <w:snapToGrid w:val="0"/>
                <w:sz w:val="24"/>
                <w:szCs w:val="24"/>
                <w:lang w:val="bg"/>
              </w:rPr>
            </w:pPr>
            <w:r w:rsidRPr="00F5314F">
              <w:rPr>
                <w:rFonts w:ascii="Times New Roman" w:eastAsia="Times New Roman" w:hAnsi="Times New Roman"/>
                <w:snapToGrid w:val="0"/>
                <w:sz w:val="24"/>
                <w:szCs w:val="24"/>
                <w:lang w:val="bg"/>
              </w:rPr>
              <w:t xml:space="preserve">в) готови продукти след гореща обработка на желязо, обикновена стомана или специална стомана: релси, траверси, сглобяеми плоскости, единични плоскости, профили, тежки секции с дебелина 80 </w:t>
            </w:r>
            <w:r w:rsidRPr="00F5314F">
              <w:rPr>
                <w:rFonts w:ascii="Times New Roman" w:eastAsia="Times New Roman" w:hAnsi="Times New Roman"/>
                <w:snapToGrid w:val="0"/>
                <w:sz w:val="24"/>
                <w:szCs w:val="24"/>
                <w:lang w:val="en-US"/>
              </w:rPr>
              <w:t xml:space="preserve">mm </w:t>
            </w:r>
            <w:r w:rsidRPr="00F5314F">
              <w:rPr>
                <w:rFonts w:ascii="Times New Roman" w:eastAsia="Times New Roman" w:hAnsi="Times New Roman"/>
                <w:snapToGrid w:val="0"/>
                <w:sz w:val="24"/>
                <w:szCs w:val="24"/>
                <w:lang w:val="bg"/>
              </w:rPr>
              <w:t xml:space="preserve">и по-голяма, валцувани плоскости, профили и секции с дебелина по-малко от 80 </w:t>
            </w:r>
            <w:r w:rsidRPr="00F5314F">
              <w:rPr>
                <w:rFonts w:ascii="Times New Roman" w:eastAsia="Times New Roman" w:hAnsi="Times New Roman"/>
                <w:snapToGrid w:val="0"/>
                <w:sz w:val="24"/>
                <w:szCs w:val="24"/>
                <w:lang w:val="en-US"/>
              </w:rPr>
              <w:t xml:space="preserve">mm </w:t>
            </w:r>
            <w:r w:rsidRPr="00F5314F">
              <w:rPr>
                <w:rFonts w:ascii="Times New Roman" w:eastAsia="Times New Roman" w:hAnsi="Times New Roman"/>
                <w:snapToGrid w:val="0"/>
                <w:sz w:val="24"/>
                <w:szCs w:val="24"/>
                <w:lang w:val="bg"/>
              </w:rPr>
              <w:t xml:space="preserve">и плоскости по-тънки от 150 </w:t>
            </w:r>
            <w:r w:rsidRPr="00F5314F">
              <w:rPr>
                <w:rFonts w:ascii="Times New Roman" w:eastAsia="Times New Roman" w:hAnsi="Times New Roman"/>
                <w:snapToGrid w:val="0"/>
                <w:sz w:val="24"/>
                <w:szCs w:val="24"/>
                <w:lang w:val="en-US"/>
              </w:rPr>
              <w:t xml:space="preserve">mm, </w:t>
            </w:r>
            <w:r w:rsidRPr="00F5314F">
              <w:rPr>
                <w:rFonts w:ascii="Times New Roman" w:eastAsia="Times New Roman" w:hAnsi="Times New Roman"/>
                <w:snapToGrid w:val="0"/>
                <w:sz w:val="24"/>
                <w:szCs w:val="24"/>
                <w:lang w:val="bg"/>
              </w:rPr>
              <w:t xml:space="preserve">тел, тръби с кръгло сечение и други профили, горещо валцувани вериги и ленти (включително ленти за тръби), </w:t>
            </w:r>
            <w:proofErr w:type="spellStart"/>
            <w:r w:rsidRPr="00F5314F">
              <w:rPr>
                <w:rFonts w:ascii="Times New Roman" w:eastAsia="Times New Roman" w:hAnsi="Times New Roman"/>
                <w:snapToGrid w:val="0"/>
                <w:sz w:val="24"/>
                <w:szCs w:val="24"/>
                <w:lang w:val="bg"/>
              </w:rPr>
              <w:t>плосковалцовани</w:t>
            </w:r>
            <w:proofErr w:type="spellEnd"/>
            <w:r w:rsidRPr="00F5314F">
              <w:rPr>
                <w:rFonts w:ascii="Times New Roman" w:eastAsia="Times New Roman" w:hAnsi="Times New Roman"/>
                <w:snapToGrid w:val="0"/>
                <w:sz w:val="24"/>
                <w:szCs w:val="24"/>
                <w:lang w:val="bg"/>
              </w:rPr>
              <w:t xml:space="preserve"> продукти и листове с дебелина 3 </w:t>
            </w:r>
            <w:r w:rsidRPr="00F5314F">
              <w:rPr>
                <w:rFonts w:ascii="Times New Roman" w:eastAsia="Times New Roman" w:hAnsi="Times New Roman"/>
                <w:snapToGrid w:val="0"/>
                <w:sz w:val="24"/>
                <w:szCs w:val="24"/>
                <w:lang w:val="en-US"/>
              </w:rPr>
              <w:t xml:space="preserve">mm </w:t>
            </w:r>
            <w:r w:rsidRPr="00F5314F">
              <w:rPr>
                <w:rFonts w:ascii="Times New Roman" w:eastAsia="Times New Roman" w:hAnsi="Times New Roman"/>
                <w:snapToGrid w:val="0"/>
                <w:sz w:val="24"/>
                <w:szCs w:val="24"/>
                <w:lang w:val="bg"/>
              </w:rPr>
              <w:t xml:space="preserve">или повече, </w:t>
            </w:r>
            <w:proofErr w:type="spellStart"/>
            <w:r w:rsidRPr="00F5314F">
              <w:rPr>
                <w:rFonts w:ascii="Times New Roman" w:eastAsia="Times New Roman" w:hAnsi="Times New Roman"/>
                <w:snapToGrid w:val="0"/>
                <w:sz w:val="24"/>
                <w:szCs w:val="24"/>
                <w:lang w:val="bg"/>
              </w:rPr>
              <w:t>плосковалцовани</w:t>
            </w:r>
            <w:proofErr w:type="spellEnd"/>
            <w:r w:rsidRPr="00F5314F">
              <w:rPr>
                <w:rFonts w:ascii="Times New Roman" w:eastAsia="Times New Roman" w:hAnsi="Times New Roman"/>
                <w:snapToGrid w:val="0"/>
                <w:sz w:val="24"/>
                <w:szCs w:val="24"/>
                <w:lang w:val="bg"/>
              </w:rPr>
              <w:t xml:space="preserve"> продукти с универсално предназначение с дебелина 150 </w:t>
            </w:r>
            <w:r w:rsidRPr="00F5314F">
              <w:rPr>
                <w:rFonts w:ascii="Times New Roman" w:eastAsia="Times New Roman" w:hAnsi="Times New Roman"/>
                <w:snapToGrid w:val="0"/>
                <w:sz w:val="24"/>
                <w:szCs w:val="24"/>
                <w:lang w:val="en-US"/>
              </w:rPr>
              <w:t xml:space="preserve">mm </w:t>
            </w:r>
            <w:r w:rsidRPr="00F5314F">
              <w:rPr>
                <w:rFonts w:ascii="Times New Roman" w:eastAsia="Times New Roman" w:hAnsi="Times New Roman"/>
                <w:snapToGrid w:val="0"/>
                <w:sz w:val="24"/>
                <w:szCs w:val="24"/>
                <w:lang w:val="bg"/>
              </w:rPr>
              <w:t>или повече, с изключение на тел и продукти от тел, полирани пръти и железни отливки;</w:t>
            </w:r>
          </w:p>
          <w:p w14:paraId="75C56DBF" w14:textId="77777777" w:rsidR="00DB3130" w:rsidRPr="00F5314F" w:rsidRDefault="00DB3130" w:rsidP="00DB3130">
            <w:pPr>
              <w:spacing w:after="120" w:line="240" w:lineRule="auto"/>
              <w:jc w:val="both"/>
              <w:rPr>
                <w:rFonts w:ascii="Times New Roman" w:eastAsia="Times New Roman" w:hAnsi="Times New Roman"/>
                <w:snapToGrid w:val="0"/>
                <w:sz w:val="24"/>
                <w:szCs w:val="24"/>
                <w:lang w:val="bg"/>
              </w:rPr>
            </w:pPr>
            <w:r w:rsidRPr="00F5314F">
              <w:rPr>
                <w:rFonts w:ascii="Times New Roman" w:eastAsia="Times New Roman" w:hAnsi="Times New Roman"/>
                <w:snapToGrid w:val="0"/>
                <w:sz w:val="24"/>
                <w:szCs w:val="24"/>
                <w:lang w:val="bg"/>
              </w:rPr>
              <w:t xml:space="preserve">г) готови продукти след студена обработка на желязо: </w:t>
            </w:r>
            <w:proofErr w:type="spellStart"/>
            <w:r w:rsidRPr="00F5314F">
              <w:rPr>
                <w:rFonts w:ascii="Times New Roman" w:eastAsia="Times New Roman" w:hAnsi="Times New Roman"/>
                <w:snapToGrid w:val="0"/>
                <w:sz w:val="24"/>
                <w:szCs w:val="24"/>
                <w:lang w:val="bg"/>
              </w:rPr>
              <w:t>покалаена</w:t>
            </w:r>
            <w:proofErr w:type="spellEnd"/>
            <w:r w:rsidRPr="00F5314F">
              <w:rPr>
                <w:rFonts w:ascii="Times New Roman" w:eastAsia="Times New Roman" w:hAnsi="Times New Roman"/>
                <w:snapToGrid w:val="0"/>
                <w:sz w:val="24"/>
                <w:szCs w:val="24"/>
                <w:lang w:val="bg"/>
              </w:rPr>
              <w:t xml:space="preserve"> ламарина, матова ламарина, черна ламарина, галванизирани или с други видове покритие листове ламарина, студено валцувани листове, електролитни листове, ленти за </w:t>
            </w:r>
            <w:proofErr w:type="spellStart"/>
            <w:r w:rsidRPr="00F5314F">
              <w:rPr>
                <w:rFonts w:ascii="Times New Roman" w:eastAsia="Times New Roman" w:hAnsi="Times New Roman"/>
                <w:snapToGrid w:val="0"/>
                <w:sz w:val="24"/>
                <w:szCs w:val="24"/>
                <w:lang w:val="bg"/>
              </w:rPr>
              <w:t>покалаена</w:t>
            </w:r>
            <w:proofErr w:type="spellEnd"/>
            <w:r w:rsidRPr="00F5314F">
              <w:rPr>
                <w:rFonts w:ascii="Times New Roman" w:eastAsia="Times New Roman" w:hAnsi="Times New Roman"/>
                <w:snapToGrid w:val="0"/>
                <w:sz w:val="24"/>
                <w:szCs w:val="24"/>
                <w:lang w:val="bg"/>
              </w:rPr>
              <w:t xml:space="preserve"> ламарина, студено валцувани плоскости, във форма на </w:t>
            </w:r>
            <w:proofErr w:type="spellStart"/>
            <w:r w:rsidRPr="00F5314F">
              <w:rPr>
                <w:rFonts w:ascii="Times New Roman" w:eastAsia="Times New Roman" w:hAnsi="Times New Roman"/>
                <w:snapToGrid w:val="0"/>
                <w:sz w:val="24"/>
                <w:szCs w:val="24"/>
                <w:lang w:val="bg"/>
              </w:rPr>
              <w:t>коилси</w:t>
            </w:r>
            <w:proofErr w:type="spellEnd"/>
            <w:r w:rsidRPr="00F5314F">
              <w:rPr>
                <w:rFonts w:ascii="Times New Roman" w:eastAsia="Times New Roman" w:hAnsi="Times New Roman"/>
                <w:snapToGrid w:val="0"/>
                <w:sz w:val="24"/>
                <w:szCs w:val="24"/>
                <w:lang w:val="bg"/>
              </w:rPr>
              <w:t xml:space="preserve"> или ленти;</w:t>
            </w:r>
          </w:p>
          <w:p w14:paraId="62C09D0D" w14:textId="32103751" w:rsidR="00DB3130" w:rsidRPr="00CF60CE" w:rsidRDefault="00DB3130" w:rsidP="00DB3130">
            <w:pPr>
              <w:spacing w:before="100" w:beforeAutospacing="1" w:after="100" w:afterAutospacing="1" w:line="240" w:lineRule="auto"/>
              <w:jc w:val="both"/>
              <w:rPr>
                <w:rFonts w:ascii="Times New Roman" w:eastAsia="Times New Roman" w:hAnsi="Times New Roman" w:cs="Times New Roman"/>
                <w:snapToGrid w:val="0"/>
                <w:sz w:val="24"/>
                <w:szCs w:val="24"/>
              </w:rPr>
            </w:pPr>
            <w:r w:rsidRPr="00F5314F">
              <w:rPr>
                <w:rFonts w:ascii="Times New Roman" w:eastAsia="Times New Roman" w:hAnsi="Times New Roman"/>
                <w:snapToGrid w:val="0"/>
                <w:sz w:val="24"/>
                <w:szCs w:val="24"/>
                <w:lang w:val="bg"/>
              </w:rPr>
              <w:t xml:space="preserve">д) тръби: всички безшевни стоманени тръби, запоени стоманени тръби с диаметър, </w:t>
            </w:r>
            <w:r w:rsidRPr="00F5314F">
              <w:rPr>
                <w:rFonts w:ascii="Times New Roman" w:eastAsia="Times New Roman" w:hAnsi="Times New Roman"/>
                <w:snapToGrid w:val="0"/>
                <w:sz w:val="24"/>
                <w:szCs w:val="24"/>
              </w:rPr>
              <w:t>превишаващ</w:t>
            </w:r>
            <w:r w:rsidRPr="00F5314F">
              <w:rPr>
                <w:rFonts w:ascii="Times New Roman" w:eastAsia="Times New Roman" w:hAnsi="Times New Roman"/>
                <w:snapToGrid w:val="0"/>
                <w:sz w:val="24"/>
                <w:szCs w:val="24"/>
                <w:lang w:val="bg"/>
              </w:rPr>
              <w:t xml:space="preserve"> 406,4 </w:t>
            </w:r>
            <w:r w:rsidRPr="00F5314F">
              <w:rPr>
                <w:rFonts w:ascii="Times New Roman" w:eastAsia="Times New Roman" w:hAnsi="Times New Roman"/>
                <w:snapToGrid w:val="0"/>
                <w:sz w:val="24"/>
                <w:szCs w:val="24"/>
                <w:lang w:val="en-US"/>
              </w:rPr>
              <w:t>mm</w:t>
            </w:r>
            <w:r w:rsidRPr="00F5314F">
              <w:rPr>
                <w:rFonts w:ascii="Times New Roman" w:eastAsia="Times New Roman" w:hAnsi="Times New Roman"/>
                <w:snapToGrid w:val="0"/>
                <w:sz w:val="24"/>
                <w:szCs w:val="24"/>
              </w:rPr>
              <w:t>.</w:t>
            </w:r>
          </w:p>
        </w:tc>
      </w:tr>
      <w:tr w:rsidR="00DB3130" w:rsidRPr="00CF60CE" w14:paraId="03B0FDA4" w14:textId="77777777" w:rsidTr="007A1A81">
        <w:tc>
          <w:tcPr>
            <w:tcW w:w="2633" w:type="dxa"/>
            <w:shd w:val="clear" w:color="auto" w:fill="E6E6E6"/>
          </w:tcPr>
          <w:p w14:paraId="2B567492" w14:textId="0F6DC26A" w:rsidR="00DB3130" w:rsidRPr="00CF60CE" w:rsidRDefault="00DB3130" w:rsidP="00DB3130">
            <w:pPr>
              <w:spacing w:before="100" w:beforeAutospacing="1" w:after="100" w:afterAutospacing="1" w:line="240" w:lineRule="auto"/>
              <w:rPr>
                <w:rFonts w:ascii="Times New Roman" w:eastAsia="Times New Roman" w:hAnsi="Times New Roman" w:cs="Times New Roman"/>
                <w:b/>
                <w:snapToGrid w:val="0"/>
                <w:sz w:val="24"/>
                <w:szCs w:val="24"/>
              </w:rPr>
            </w:pPr>
            <w:r w:rsidRPr="00F5314F">
              <w:rPr>
                <w:rFonts w:ascii="Times New Roman" w:eastAsia="Times New Roman" w:hAnsi="Times New Roman"/>
                <w:b/>
                <w:snapToGrid w:val="0"/>
                <w:sz w:val="24"/>
                <w:szCs w:val="24"/>
              </w:rPr>
              <w:lastRenderedPageBreak/>
              <w:t>Транспортен сектор</w:t>
            </w:r>
          </w:p>
        </w:tc>
        <w:tc>
          <w:tcPr>
            <w:tcW w:w="6973" w:type="dxa"/>
            <w:shd w:val="clear" w:color="auto" w:fill="F3F3F3"/>
          </w:tcPr>
          <w:p w14:paraId="17397B4A" w14:textId="77777777" w:rsidR="00DB3130" w:rsidRPr="00F5314F" w:rsidRDefault="00DB3130" w:rsidP="00DB3130">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Съгласно чл. 2, </w:t>
            </w:r>
            <w:proofErr w:type="spellStart"/>
            <w:r w:rsidRPr="00F5314F">
              <w:rPr>
                <w:rFonts w:ascii="Times New Roman" w:eastAsia="Times New Roman" w:hAnsi="Times New Roman"/>
                <w:snapToGrid w:val="0"/>
                <w:sz w:val="24"/>
                <w:szCs w:val="24"/>
              </w:rPr>
              <w:t>пар</w:t>
            </w:r>
            <w:proofErr w:type="spellEnd"/>
            <w:r w:rsidRPr="00F5314F">
              <w:rPr>
                <w:rFonts w:ascii="Times New Roman" w:eastAsia="Times New Roman" w:hAnsi="Times New Roman"/>
                <w:snapToGrid w:val="0"/>
                <w:sz w:val="24"/>
                <w:szCs w:val="24"/>
              </w:rPr>
              <w:t>. 45 от Регламент (ЕО) № 651/2014,</w:t>
            </w:r>
            <w:r w:rsidRPr="00F5314F">
              <w:rPr>
                <w:rFonts w:ascii="Times New Roman" w:hAnsi="Times New Roman"/>
                <w:sz w:val="24"/>
                <w:szCs w:val="24"/>
              </w:rPr>
              <w:t xml:space="preserve"> </w:t>
            </w:r>
            <w:r w:rsidRPr="00F5314F">
              <w:rPr>
                <w:rFonts w:ascii="Times New Roman" w:eastAsia="Times New Roman" w:hAnsi="Times New Roman"/>
                <w:snapToGrid w:val="0"/>
                <w:sz w:val="24"/>
                <w:szCs w:val="24"/>
              </w:rPr>
              <w:t>„транспортен сектор“ означава превоз на пътници с въздушен, морски, автомобилен или железопътен транспорт и транспорт по вътрешни водни пътища или услугите по товарен превоз за чужда сметка или срещу възнаграждение.</w:t>
            </w:r>
          </w:p>
          <w:p w14:paraId="133B82CE" w14:textId="77777777" w:rsidR="00DB3130" w:rsidRPr="00F5314F" w:rsidRDefault="00DB3130" w:rsidP="00DB3130">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По-специално „транспортен сектор“ означава следните дейности </w:t>
            </w:r>
            <w:r w:rsidRPr="00F5314F">
              <w:rPr>
                <w:rFonts w:ascii="Times New Roman" w:hAnsi="Times New Roman"/>
                <w:sz w:val="24"/>
                <w:szCs w:val="24"/>
              </w:rPr>
              <w:t xml:space="preserve">от гледна точка на статистическата класификация на икономическите дейности (NACE </w:t>
            </w:r>
            <w:proofErr w:type="spellStart"/>
            <w:r w:rsidRPr="00F5314F">
              <w:rPr>
                <w:rFonts w:ascii="Times New Roman" w:hAnsi="Times New Roman"/>
                <w:sz w:val="24"/>
                <w:szCs w:val="24"/>
              </w:rPr>
              <w:t>Rev</w:t>
            </w:r>
            <w:proofErr w:type="spellEnd"/>
            <w:r w:rsidRPr="00F5314F">
              <w:rPr>
                <w:rFonts w:ascii="Times New Roman" w:hAnsi="Times New Roman"/>
                <w:sz w:val="24"/>
                <w:szCs w:val="24"/>
              </w:rPr>
              <w:t>. 2), създадена с Регламент (ЕО) № 1893/2006 на Европейския парламент и на Съвета</w:t>
            </w:r>
            <w:r w:rsidRPr="00F5314F">
              <w:rPr>
                <w:rFonts w:ascii="Times New Roman" w:eastAsia="Times New Roman" w:hAnsi="Times New Roman"/>
                <w:snapToGrid w:val="0"/>
                <w:sz w:val="24"/>
                <w:szCs w:val="24"/>
              </w:rPr>
              <w:t>:</w:t>
            </w:r>
          </w:p>
          <w:p w14:paraId="6D15CB4C" w14:textId="77777777" w:rsidR="00DB3130" w:rsidRPr="00F5314F" w:rsidRDefault="00DB3130" w:rsidP="00DB3130">
            <w:pPr>
              <w:pStyle w:val="FootnoteText"/>
              <w:spacing w:after="120"/>
              <w:jc w:val="both"/>
              <w:rPr>
                <w:rFonts w:ascii="Times New Roman" w:eastAsia="Times New Roman" w:hAnsi="Times New Roman"/>
                <w:snapToGrid w:val="0"/>
                <w:sz w:val="24"/>
                <w:szCs w:val="24"/>
              </w:rPr>
            </w:pPr>
            <w:r w:rsidRPr="00F5314F">
              <w:rPr>
                <w:rFonts w:ascii="Times New Roman" w:hAnsi="Times New Roman"/>
                <w:sz w:val="24"/>
                <w:szCs w:val="24"/>
              </w:rPr>
              <w:t>а) NACE 49: Сухопътен транспорт и тръбопроводен транспорт с изключение на NACE 49.32 Таксиметрови превози, 49.39. Управление на лифтове, въжени линии, ски и кабелни лифтове, ако не са част от градски или крайградски системи за транзитен превоз 49.42 Услуги по преместване, 49.5 Тръбопроводен транспорт (</w:t>
            </w:r>
            <w:r w:rsidRPr="00F5314F">
              <w:rPr>
                <w:rFonts w:ascii="Times New Roman" w:hAnsi="Times New Roman"/>
                <w:i/>
                <w:sz w:val="24"/>
                <w:szCs w:val="24"/>
              </w:rPr>
              <w:t xml:space="preserve">съгласно </w:t>
            </w:r>
            <w:r w:rsidRPr="00F5314F">
              <w:rPr>
                <w:rFonts w:ascii="Times New Roman" w:eastAsia="Times New Roman" w:hAnsi="Times New Roman"/>
                <w:i/>
                <w:snapToGrid w:val="0"/>
                <w:sz w:val="24"/>
                <w:szCs w:val="24"/>
              </w:rPr>
              <w:t xml:space="preserve">КИД-2008 на НСИ - Н49 „Сухопътен транспорт“, с изключение на: Н49.32 „Пътнически таксиметров транспорт“, Н49.39 „Друг пътнически сухопътен транспорт, </w:t>
            </w:r>
            <w:r w:rsidRPr="00F5314F">
              <w:rPr>
                <w:rFonts w:ascii="Times New Roman" w:eastAsia="Times New Roman" w:hAnsi="Times New Roman"/>
                <w:i/>
                <w:snapToGrid w:val="0"/>
                <w:sz w:val="24"/>
                <w:szCs w:val="24"/>
              </w:rPr>
              <w:lastRenderedPageBreak/>
              <w:t xml:space="preserve">некласифициран другаде“ САМО дейност „Превоз на пътници с </w:t>
            </w:r>
            <w:r w:rsidRPr="00F5314F">
              <w:rPr>
                <w:rFonts w:ascii="Times New Roman" w:hAnsi="Times New Roman"/>
                <w:i/>
                <w:sz w:val="24"/>
                <w:szCs w:val="24"/>
              </w:rPr>
              <w:t>въжени линии и ски лифтове, когато не е част от градските или крайградските транспортни мрежи</w:t>
            </w:r>
            <w:r w:rsidRPr="00F5314F">
              <w:rPr>
                <w:rFonts w:ascii="Times New Roman" w:eastAsia="Times New Roman" w:hAnsi="Times New Roman"/>
                <w:i/>
                <w:snapToGrid w:val="0"/>
                <w:sz w:val="24"/>
                <w:szCs w:val="24"/>
              </w:rPr>
              <w:t>“, Н49.42 „Услуги по преместване“ и Н49.5 „Тръбопроводен транспорт“</w:t>
            </w:r>
            <w:r w:rsidRPr="00F5314F">
              <w:rPr>
                <w:rFonts w:ascii="Times New Roman" w:eastAsia="Times New Roman" w:hAnsi="Times New Roman"/>
                <w:snapToGrid w:val="0"/>
                <w:sz w:val="24"/>
                <w:szCs w:val="24"/>
              </w:rPr>
              <w:t>);</w:t>
            </w:r>
          </w:p>
          <w:p w14:paraId="78251C7A" w14:textId="77777777" w:rsidR="00DB3130" w:rsidRPr="00F5314F" w:rsidRDefault="00DB3130" w:rsidP="00DB3130">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б) </w:t>
            </w:r>
            <w:r w:rsidRPr="00F5314F">
              <w:rPr>
                <w:rFonts w:ascii="Times New Roman" w:hAnsi="Times New Roman"/>
                <w:sz w:val="24"/>
                <w:szCs w:val="24"/>
              </w:rPr>
              <w:t>NACE 50: Воден транспорт</w:t>
            </w:r>
            <w:r w:rsidRPr="00F5314F">
              <w:rPr>
                <w:rFonts w:ascii="Times New Roman" w:eastAsia="Times New Roman" w:hAnsi="Times New Roman"/>
                <w:snapToGrid w:val="0"/>
                <w:sz w:val="24"/>
                <w:szCs w:val="24"/>
              </w:rPr>
              <w:t xml:space="preserve"> (</w:t>
            </w:r>
            <w:r w:rsidRPr="00F5314F">
              <w:rPr>
                <w:rFonts w:ascii="Times New Roman" w:hAnsi="Times New Roman"/>
                <w:i/>
                <w:sz w:val="24"/>
                <w:szCs w:val="24"/>
              </w:rPr>
              <w:t xml:space="preserve">съгласно </w:t>
            </w:r>
            <w:r w:rsidRPr="00F5314F">
              <w:rPr>
                <w:rFonts w:ascii="Times New Roman" w:eastAsia="Times New Roman" w:hAnsi="Times New Roman"/>
                <w:i/>
                <w:snapToGrid w:val="0"/>
                <w:sz w:val="24"/>
                <w:szCs w:val="24"/>
              </w:rPr>
              <w:t>КИД-2008 на НСИ - Н50 „Воден транспорт“</w:t>
            </w:r>
            <w:r w:rsidRPr="00F5314F">
              <w:rPr>
                <w:rFonts w:ascii="Times New Roman" w:eastAsia="Times New Roman" w:hAnsi="Times New Roman"/>
                <w:snapToGrid w:val="0"/>
                <w:sz w:val="24"/>
                <w:szCs w:val="24"/>
              </w:rPr>
              <w:t>);</w:t>
            </w:r>
          </w:p>
          <w:p w14:paraId="2EC2D6A3" w14:textId="42C27246" w:rsidR="00DB3130" w:rsidRPr="00CF60CE" w:rsidRDefault="00DB3130" w:rsidP="00DB3130">
            <w:pPr>
              <w:spacing w:before="100" w:beforeAutospacing="1" w:after="100" w:afterAutospacing="1" w:line="240" w:lineRule="auto"/>
              <w:jc w:val="both"/>
              <w:rPr>
                <w:rFonts w:ascii="Times New Roman" w:eastAsia="Times New Roman" w:hAnsi="Times New Roman" w:cs="Times New Roman"/>
                <w:snapToGrid w:val="0"/>
                <w:sz w:val="24"/>
                <w:szCs w:val="24"/>
              </w:rPr>
            </w:pPr>
            <w:r w:rsidRPr="00F5314F">
              <w:rPr>
                <w:rFonts w:ascii="Times New Roman" w:eastAsia="Times New Roman" w:hAnsi="Times New Roman"/>
                <w:snapToGrid w:val="0"/>
                <w:sz w:val="24"/>
                <w:szCs w:val="24"/>
              </w:rPr>
              <w:t xml:space="preserve">в) </w:t>
            </w:r>
            <w:r w:rsidRPr="00F5314F">
              <w:rPr>
                <w:rFonts w:ascii="Times New Roman" w:hAnsi="Times New Roman"/>
                <w:sz w:val="24"/>
                <w:szCs w:val="24"/>
              </w:rPr>
              <w:t>NACE 51: Въздушен транспорт с изключение на NACE 51.22 Космически транспорт</w:t>
            </w:r>
            <w:r w:rsidRPr="00F5314F">
              <w:rPr>
                <w:rFonts w:ascii="Times New Roman" w:eastAsia="Times New Roman" w:hAnsi="Times New Roman"/>
                <w:snapToGrid w:val="0"/>
                <w:sz w:val="24"/>
                <w:szCs w:val="24"/>
              </w:rPr>
              <w:t xml:space="preserve"> (</w:t>
            </w:r>
            <w:r w:rsidRPr="00F5314F">
              <w:rPr>
                <w:rFonts w:ascii="Times New Roman" w:hAnsi="Times New Roman"/>
                <w:i/>
                <w:sz w:val="24"/>
                <w:szCs w:val="24"/>
              </w:rPr>
              <w:t xml:space="preserve">съгласно </w:t>
            </w:r>
            <w:r w:rsidRPr="00F5314F">
              <w:rPr>
                <w:rFonts w:ascii="Times New Roman" w:eastAsia="Times New Roman" w:hAnsi="Times New Roman"/>
                <w:i/>
                <w:snapToGrid w:val="0"/>
                <w:sz w:val="24"/>
                <w:szCs w:val="24"/>
              </w:rPr>
              <w:t>КИД-2008 на НСИ - Н51 „Въздушен транспорт“, с изключение на Н51.22 „Космически транспорт“</w:t>
            </w:r>
            <w:r w:rsidRPr="00F5314F">
              <w:rPr>
                <w:rFonts w:ascii="Times New Roman" w:eastAsia="Times New Roman" w:hAnsi="Times New Roman"/>
                <w:snapToGrid w:val="0"/>
                <w:sz w:val="24"/>
                <w:szCs w:val="24"/>
              </w:rPr>
              <w:t>).</w:t>
            </w:r>
          </w:p>
        </w:tc>
      </w:tr>
      <w:tr w:rsidR="00DB3130" w:rsidRPr="00CF60CE" w14:paraId="5782759B" w14:textId="77777777" w:rsidTr="007A1A81">
        <w:tc>
          <w:tcPr>
            <w:tcW w:w="2633" w:type="dxa"/>
            <w:shd w:val="clear" w:color="auto" w:fill="E6E6E6"/>
          </w:tcPr>
          <w:p w14:paraId="21B23894" w14:textId="067D5EFB" w:rsidR="00DB3130" w:rsidRPr="00CF60CE" w:rsidRDefault="00DB3130" w:rsidP="00DB3130">
            <w:pPr>
              <w:spacing w:before="100" w:beforeAutospacing="1" w:after="100" w:afterAutospacing="1" w:line="240" w:lineRule="auto"/>
              <w:rPr>
                <w:rFonts w:ascii="Times New Roman" w:eastAsia="Times New Roman" w:hAnsi="Times New Roman" w:cs="Times New Roman"/>
                <w:b/>
                <w:snapToGrid w:val="0"/>
                <w:sz w:val="24"/>
                <w:szCs w:val="24"/>
              </w:rPr>
            </w:pPr>
            <w:r w:rsidRPr="00F5314F">
              <w:rPr>
                <w:rFonts w:ascii="Times New Roman" w:eastAsia="Times New Roman" w:hAnsi="Times New Roman"/>
                <w:b/>
                <w:snapToGrid w:val="0"/>
                <w:sz w:val="24"/>
                <w:szCs w:val="24"/>
              </w:rPr>
              <w:lastRenderedPageBreak/>
              <w:t>Транспортни средства</w:t>
            </w:r>
            <w:r w:rsidRPr="00F5314F">
              <w:t xml:space="preserve"> </w:t>
            </w:r>
            <w:r w:rsidRPr="00F5314F">
              <w:rPr>
                <w:rFonts w:ascii="Times New Roman" w:eastAsia="Times New Roman" w:hAnsi="Times New Roman"/>
                <w:b/>
                <w:snapToGrid w:val="0"/>
                <w:sz w:val="24"/>
                <w:szCs w:val="24"/>
              </w:rPr>
              <w:t>и съоръжения</w:t>
            </w:r>
          </w:p>
        </w:tc>
        <w:tc>
          <w:tcPr>
            <w:tcW w:w="6973" w:type="dxa"/>
            <w:shd w:val="clear" w:color="auto" w:fill="F3F3F3"/>
          </w:tcPr>
          <w:p w14:paraId="3C672B79" w14:textId="77777777" w:rsidR="00DB3130" w:rsidRPr="00F5314F" w:rsidRDefault="00DB3130" w:rsidP="00DB3130">
            <w:pPr>
              <w:pStyle w:val="FootnoteText"/>
              <w:spacing w:after="120"/>
              <w:jc w:val="both"/>
              <w:rPr>
                <w:rFonts w:ascii="Times New Roman" w:hAnsi="Times New Roman"/>
                <w:sz w:val="24"/>
                <w:szCs w:val="24"/>
              </w:rPr>
            </w:pPr>
            <w:r w:rsidRPr="00F5314F">
              <w:rPr>
                <w:rFonts w:ascii="Times New Roman" w:hAnsi="Times New Roman"/>
                <w:sz w:val="24"/>
                <w:szCs w:val="24"/>
              </w:rPr>
              <w:t>Включва следните дефиниции:</w:t>
            </w:r>
          </w:p>
          <w:p w14:paraId="5CFB99AC" w14:textId="77777777" w:rsidR="00DB3130" w:rsidRPr="00F5314F" w:rsidRDefault="00DB3130" w:rsidP="00DB3130">
            <w:pPr>
              <w:pStyle w:val="FootnoteText"/>
              <w:spacing w:after="120"/>
              <w:jc w:val="both"/>
              <w:rPr>
                <w:rFonts w:ascii="Times New Roman" w:hAnsi="Times New Roman"/>
                <w:i/>
                <w:sz w:val="24"/>
                <w:szCs w:val="24"/>
              </w:rPr>
            </w:pPr>
            <w:r w:rsidRPr="00F5314F">
              <w:rPr>
                <w:rFonts w:ascii="Times New Roman" w:hAnsi="Times New Roman"/>
                <w:sz w:val="24"/>
                <w:szCs w:val="24"/>
              </w:rPr>
              <w:t xml:space="preserve"> - </w:t>
            </w:r>
            <w:r w:rsidRPr="00F5314F">
              <w:rPr>
                <w:rFonts w:ascii="Times New Roman" w:hAnsi="Times New Roman"/>
                <w:i/>
                <w:sz w:val="24"/>
                <w:szCs w:val="24"/>
              </w:rPr>
              <w:t>Съгласно Закона за движението по пътищата:</w:t>
            </w:r>
          </w:p>
          <w:p w14:paraId="3B4337B9" w14:textId="77777777" w:rsidR="00DB3130" w:rsidRPr="00F5314F" w:rsidRDefault="00DB3130" w:rsidP="00DB3130">
            <w:pPr>
              <w:pStyle w:val="FootnoteText"/>
              <w:spacing w:after="120"/>
              <w:jc w:val="both"/>
              <w:rPr>
                <w:rFonts w:ascii="Times New Roman" w:hAnsi="Times New Roman"/>
                <w:sz w:val="24"/>
                <w:szCs w:val="24"/>
              </w:rPr>
            </w:pPr>
            <w:r w:rsidRPr="00F5314F">
              <w:rPr>
                <w:rFonts w:ascii="Times New Roman" w:hAnsi="Times New Roman"/>
                <w:sz w:val="24"/>
                <w:szCs w:val="24"/>
              </w:rPr>
              <w:t>1. "Пътно превозно средство" е съоръжение, придвижвано по пътя на колела и използвано за превозване на хора и/или товари. Към пътните превозни средства се приравняват трамваите и самоходните машини, когато се придвижват по пътищата.</w:t>
            </w:r>
          </w:p>
          <w:p w14:paraId="1CBD7EB0" w14:textId="77777777" w:rsidR="00DB3130" w:rsidRPr="00F5314F" w:rsidRDefault="00DB3130" w:rsidP="00DB3130">
            <w:pPr>
              <w:pStyle w:val="FootnoteText"/>
              <w:spacing w:after="120"/>
              <w:jc w:val="both"/>
              <w:rPr>
                <w:rFonts w:ascii="Times New Roman" w:hAnsi="Times New Roman"/>
                <w:sz w:val="24"/>
                <w:szCs w:val="24"/>
              </w:rPr>
            </w:pPr>
            <w:r w:rsidRPr="00F5314F">
              <w:rPr>
                <w:rFonts w:ascii="Times New Roman" w:hAnsi="Times New Roman"/>
                <w:sz w:val="24"/>
                <w:szCs w:val="24"/>
              </w:rPr>
              <w:t>2. "Моторно превозно средство" е пътно превозно средство, снабдено с двигател за придвижване, с изключение на релсовите превозни средства.</w:t>
            </w:r>
          </w:p>
          <w:p w14:paraId="2CB1EE8B" w14:textId="77777777" w:rsidR="00DB3130" w:rsidRPr="00F5314F" w:rsidRDefault="00DB3130" w:rsidP="00DB3130">
            <w:pPr>
              <w:pStyle w:val="FootnoteText"/>
              <w:spacing w:after="120"/>
              <w:jc w:val="both"/>
              <w:rPr>
                <w:rFonts w:ascii="Times New Roman" w:hAnsi="Times New Roman"/>
                <w:i/>
                <w:sz w:val="24"/>
                <w:szCs w:val="24"/>
              </w:rPr>
            </w:pPr>
            <w:r w:rsidRPr="00F5314F">
              <w:rPr>
                <w:rFonts w:ascii="Times New Roman" w:hAnsi="Times New Roman"/>
                <w:sz w:val="24"/>
                <w:szCs w:val="24"/>
              </w:rPr>
              <w:t xml:space="preserve">- </w:t>
            </w:r>
            <w:r w:rsidRPr="00F5314F">
              <w:rPr>
                <w:rFonts w:ascii="Times New Roman" w:hAnsi="Times New Roman"/>
                <w:i/>
                <w:sz w:val="24"/>
                <w:szCs w:val="24"/>
              </w:rPr>
              <w:t>Съгласно Закона за гражданското въздухоплаване:</w:t>
            </w:r>
          </w:p>
          <w:p w14:paraId="411924B6" w14:textId="77777777" w:rsidR="00DB3130" w:rsidRDefault="00DB3130" w:rsidP="00DB3130">
            <w:pPr>
              <w:pStyle w:val="FootnoteText"/>
              <w:spacing w:after="120"/>
              <w:jc w:val="both"/>
              <w:rPr>
                <w:rFonts w:ascii="Times New Roman" w:hAnsi="Times New Roman"/>
                <w:sz w:val="24"/>
                <w:szCs w:val="24"/>
              </w:rPr>
            </w:pPr>
            <w:r w:rsidRPr="00F5314F">
              <w:rPr>
                <w:rFonts w:ascii="Times New Roman" w:hAnsi="Times New Roman"/>
                <w:sz w:val="24"/>
                <w:szCs w:val="24"/>
              </w:rPr>
              <w:t>1. "Въздухоплавателно средство" е всяко средство,  което може да получи поддържане в атмосферата за сметка на реакцията на въздуха, освен реакцията на въздуха от земната повърхност.</w:t>
            </w:r>
          </w:p>
          <w:p w14:paraId="7CA22844" w14:textId="77777777" w:rsidR="00DB3130" w:rsidRPr="00857C6F" w:rsidRDefault="00DB3130" w:rsidP="00DB3130">
            <w:pPr>
              <w:pStyle w:val="FootnoteText"/>
              <w:spacing w:after="120"/>
              <w:jc w:val="both"/>
              <w:rPr>
                <w:rFonts w:ascii="Times New Roman" w:hAnsi="Times New Roman"/>
                <w:b/>
                <w:sz w:val="24"/>
                <w:szCs w:val="24"/>
              </w:rPr>
            </w:pPr>
            <w:r w:rsidRPr="00857C6F">
              <w:rPr>
                <w:rFonts w:ascii="Times New Roman" w:hAnsi="Times New Roman"/>
                <w:b/>
                <w:sz w:val="24"/>
                <w:szCs w:val="24"/>
              </w:rPr>
              <w:t xml:space="preserve">За целите на настоящата процедура </w:t>
            </w:r>
            <w:r>
              <w:rPr>
                <w:rFonts w:ascii="Times New Roman" w:hAnsi="Times New Roman"/>
                <w:b/>
                <w:sz w:val="24"/>
                <w:szCs w:val="24"/>
              </w:rPr>
              <w:t xml:space="preserve">не е </w:t>
            </w:r>
            <w:r w:rsidRPr="00857C6F">
              <w:rPr>
                <w:rFonts w:ascii="Times New Roman" w:hAnsi="Times New Roman"/>
                <w:b/>
                <w:sz w:val="24"/>
                <w:szCs w:val="24"/>
              </w:rPr>
              <w:t>допустим</w:t>
            </w:r>
            <w:r>
              <w:rPr>
                <w:rFonts w:ascii="Times New Roman" w:hAnsi="Times New Roman"/>
                <w:b/>
                <w:sz w:val="24"/>
                <w:szCs w:val="24"/>
              </w:rPr>
              <w:t xml:space="preserve">о придобиване на </w:t>
            </w:r>
            <w:proofErr w:type="spellStart"/>
            <w:r>
              <w:rPr>
                <w:rFonts w:ascii="Times New Roman" w:hAnsi="Times New Roman"/>
                <w:b/>
                <w:sz w:val="24"/>
                <w:szCs w:val="24"/>
              </w:rPr>
              <w:t>дронове</w:t>
            </w:r>
            <w:proofErr w:type="spellEnd"/>
            <w:r w:rsidRPr="00857C6F">
              <w:rPr>
                <w:rFonts w:ascii="Times New Roman" w:hAnsi="Times New Roman"/>
                <w:b/>
                <w:sz w:val="24"/>
                <w:szCs w:val="24"/>
              </w:rPr>
              <w:t>.</w:t>
            </w:r>
          </w:p>
          <w:p w14:paraId="73EFA3D9" w14:textId="77777777" w:rsidR="00DB3130" w:rsidRPr="00F5314F" w:rsidRDefault="00DB3130" w:rsidP="00DB3130">
            <w:pPr>
              <w:pStyle w:val="FootnoteText"/>
              <w:spacing w:after="120"/>
              <w:jc w:val="both"/>
              <w:rPr>
                <w:rFonts w:ascii="Times New Roman" w:hAnsi="Times New Roman"/>
                <w:i/>
                <w:sz w:val="24"/>
                <w:szCs w:val="24"/>
              </w:rPr>
            </w:pPr>
            <w:r w:rsidRPr="00F5314F">
              <w:rPr>
                <w:rFonts w:ascii="Times New Roman" w:hAnsi="Times New Roman"/>
                <w:sz w:val="24"/>
                <w:szCs w:val="24"/>
              </w:rPr>
              <w:t xml:space="preserve"> - </w:t>
            </w:r>
            <w:r w:rsidRPr="00F5314F">
              <w:rPr>
                <w:rFonts w:ascii="Times New Roman" w:hAnsi="Times New Roman"/>
                <w:i/>
                <w:sz w:val="24"/>
                <w:szCs w:val="24"/>
              </w:rPr>
              <w:t>Съгласно Закона за железопътния транспорт:</w:t>
            </w:r>
          </w:p>
          <w:p w14:paraId="4B6DB271" w14:textId="77777777" w:rsidR="00DB3130" w:rsidRPr="00F5314F" w:rsidRDefault="00DB3130" w:rsidP="00DB3130">
            <w:pPr>
              <w:pStyle w:val="FootnoteText"/>
              <w:spacing w:after="120"/>
              <w:jc w:val="both"/>
              <w:rPr>
                <w:rFonts w:ascii="Times New Roman" w:hAnsi="Times New Roman"/>
                <w:sz w:val="24"/>
                <w:szCs w:val="24"/>
              </w:rPr>
            </w:pPr>
            <w:r w:rsidRPr="00F5314F">
              <w:rPr>
                <w:rFonts w:ascii="Times New Roman" w:hAnsi="Times New Roman"/>
                <w:sz w:val="24"/>
                <w:szCs w:val="24"/>
              </w:rPr>
              <w:t xml:space="preserve">1. „Влак” е подреден и скачен състав от вагони с един или повече локомотиви в работно състояние, снабден със сигнали и влакови документи. Локомотиви, </w:t>
            </w:r>
            <w:proofErr w:type="spellStart"/>
            <w:r w:rsidRPr="00F5314F">
              <w:rPr>
                <w:rFonts w:ascii="Times New Roman" w:hAnsi="Times New Roman"/>
                <w:sz w:val="24"/>
                <w:szCs w:val="24"/>
              </w:rPr>
              <w:t>мотрисни</w:t>
            </w:r>
            <w:proofErr w:type="spellEnd"/>
            <w:r w:rsidRPr="00F5314F">
              <w:rPr>
                <w:rFonts w:ascii="Times New Roman" w:hAnsi="Times New Roman"/>
                <w:sz w:val="24"/>
                <w:szCs w:val="24"/>
              </w:rPr>
              <w:t xml:space="preserve"> влакове, мотриси, моторни дрезини и други моторни возила, </w:t>
            </w:r>
            <w:proofErr w:type="spellStart"/>
            <w:r w:rsidRPr="00F5314F">
              <w:rPr>
                <w:rFonts w:ascii="Times New Roman" w:hAnsi="Times New Roman"/>
                <w:sz w:val="24"/>
                <w:szCs w:val="24"/>
              </w:rPr>
              <w:t>несваляеми</w:t>
            </w:r>
            <w:proofErr w:type="spellEnd"/>
            <w:r w:rsidRPr="00F5314F">
              <w:rPr>
                <w:rFonts w:ascii="Times New Roman" w:hAnsi="Times New Roman"/>
                <w:sz w:val="24"/>
                <w:szCs w:val="24"/>
              </w:rPr>
              <w:t xml:space="preserve"> от пътя, отправени на </w:t>
            </w:r>
            <w:proofErr w:type="spellStart"/>
            <w:r w:rsidRPr="00F5314F">
              <w:rPr>
                <w:rFonts w:ascii="Times New Roman" w:hAnsi="Times New Roman"/>
                <w:sz w:val="24"/>
                <w:szCs w:val="24"/>
              </w:rPr>
              <w:t>междугарие</w:t>
            </w:r>
            <w:proofErr w:type="spellEnd"/>
            <w:r w:rsidRPr="00F5314F">
              <w:rPr>
                <w:rFonts w:ascii="Times New Roman" w:hAnsi="Times New Roman"/>
                <w:sz w:val="24"/>
                <w:szCs w:val="24"/>
              </w:rPr>
              <w:t>, се смятат за влакове.</w:t>
            </w:r>
          </w:p>
          <w:p w14:paraId="4A638792" w14:textId="77777777" w:rsidR="00DB3130" w:rsidRPr="00F5314F" w:rsidRDefault="00DB3130" w:rsidP="00DB3130">
            <w:pPr>
              <w:pStyle w:val="FootnoteText"/>
              <w:spacing w:after="120"/>
              <w:jc w:val="both"/>
              <w:rPr>
                <w:rFonts w:ascii="Times New Roman" w:hAnsi="Times New Roman"/>
                <w:i/>
                <w:sz w:val="24"/>
                <w:szCs w:val="24"/>
              </w:rPr>
            </w:pPr>
            <w:r w:rsidRPr="00F5314F">
              <w:rPr>
                <w:rFonts w:ascii="Times New Roman" w:hAnsi="Times New Roman"/>
                <w:sz w:val="24"/>
                <w:szCs w:val="24"/>
              </w:rPr>
              <w:t xml:space="preserve"> </w:t>
            </w:r>
            <w:r w:rsidRPr="00F5314F">
              <w:rPr>
                <w:rFonts w:ascii="Times New Roman" w:hAnsi="Times New Roman"/>
                <w:i/>
                <w:sz w:val="24"/>
                <w:szCs w:val="24"/>
              </w:rPr>
              <w:t>- Съгласно Закона за морските пространства, вътрешните водни пътища и пристанищата на Република България:</w:t>
            </w:r>
          </w:p>
          <w:p w14:paraId="6754C2CE" w14:textId="77777777" w:rsidR="00DB3130" w:rsidRPr="00F5314F" w:rsidRDefault="00DB3130" w:rsidP="00DB3130">
            <w:pPr>
              <w:pStyle w:val="FootnoteText"/>
              <w:spacing w:after="120"/>
              <w:jc w:val="both"/>
              <w:rPr>
                <w:rFonts w:ascii="Times New Roman" w:hAnsi="Times New Roman"/>
                <w:sz w:val="24"/>
                <w:szCs w:val="24"/>
              </w:rPr>
            </w:pPr>
            <w:r w:rsidRPr="00F5314F">
              <w:rPr>
                <w:rFonts w:ascii="Times New Roman" w:hAnsi="Times New Roman"/>
                <w:sz w:val="24"/>
                <w:szCs w:val="24"/>
              </w:rPr>
              <w:t>1. „Яхта”  е кораб, използван за туризъм, спорт, спортен риболов или развлечение.</w:t>
            </w:r>
          </w:p>
          <w:p w14:paraId="21C68253" w14:textId="39C23FB7" w:rsidR="00DB3130" w:rsidRPr="00CF60CE" w:rsidRDefault="00DB3130" w:rsidP="00DB3130">
            <w:pPr>
              <w:pStyle w:val="FootnoteText"/>
              <w:spacing w:before="60" w:after="60"/>
              <w:jc w:val="both"/>
              <w:rPr>
                <w:rFonts w:ascii="Times New Roman" w:hAnsi="Times New Roman" w:cs="Times New Roman"/>
                <w:sz w:val="24"/>
                <w:szCs w:val="24"/>
              </w:rPr>
            </w:pPr>
            <w:r w:rsidRPr="00F5314F">
              <w:rPr>
                <w:rFonts w:ascii="Times New Roman" w:hAnsi="Times New Roman"/>
                <w:sz w:val="24"/>
                <w:szCs w:val="24"/>
              </w:rPr>
              <w:t xml:space="preserve">2. „Кораб” е всяко самоходно или несамоходно плавателно съоръжение от какъвто и да е тип, включително съдове на подводни криле, на въздушна възглавница, подводници, плаващи средства и неподвижни или плаващи платформи, предназначени за плаване по море и/или река, независимо от знамето, под което плава, и което се използва за извършване на една или няколко от следните дейности: превоз на товари, превоз на пътници и багажи; </w:t>
            </w:r>
            <w:r w:rsidRPr="00F5314F">
              <w:rPr>
                <w:rFonts w:ascii="Times New Roman" w:hAnsi="Times New Roman"/>
                <w:sz w:val="24"/>
                <w:szCs w:val="24"/>
              </w:rPr>
              <w:lastRenderedPageBreak/>
              <w:t>влачене на плавателни съоръжения; извършване на морски услуги и други помощни операции; риболов; експлоатация на други морски богатства, както и други дейности.</w:t>
            </w:r>
          </w:p>
        </w:tc>
      </w:tr>
      <w:tr w:rsidR="00DB3130" w:rsidRPr="00CF60CE" w14:paraId="41669C91" w14:textId="77777777" w:rsidTr="007A1A81">
        <w:tc>
          <w:tcPr>
            <w:tcW w:w="2633" w:type="dxa"/>
            <w:shd w:val="clear" w:color="auto" w:fill="E6E6E6"/>
          </w:tcPr>
          <w:p w14:paraId="2FA471C0" w14:textId="77777777" w:rsidR="00DB3130" w:rsidRPr="00CF60CE" w:rsidRDefault="00DB3130" w:rsidP="00DB3130">
            <w:pPr>
              <w:spacing w:before="100" w:beforeAutospacing="1" w:after="100" w:afterAutospacing="1" w:line="240" w:lineRule="auto"/>
              <w:rPr>
                <w:rFonts w:ascii="Times New Roman" w:hAnsi="Times New Roman" w:cs="Times New Roman"/>
                <w:sz w:val="24"/>
                <w:szCs w:val="24"/>
              </w:rPr>
            </w:pPr>
            <w:r w:rsidRPr="00CF60CE">
              <w:rPr>
                <w:rFonts w:ascii="Times New Roman" w:eastAsia="Times New Roman" w:hAnsi="Times New Roman" w:cs="Times New Roman"/>
                <w:b/>
                <w:snapToGrid w:val="0"/>
                <w:sz w:val="24"/>
                <w:szCs w:val="24"/>
              </w:rPr>
              <w:lastRenderedPageBreak/>
              <w:t>Търговия със селскостопански продукт</w:t>
            </w:r>
          </w:p>
        </w:tc>
        <w:tc>
          <w:tcPr>
            <w:tcW w:w="6973" w:type="dxa"/>
            <w:shd w:val="clear" w:color="auto" w:fill="F3F3F3"/>
          </w:tcPr>
          <w:p w14:paraId="52AC91EA" w14:textId="772D87B6" w:rsidR="00DB3130" w:rsidRPr="00CF60CE" w:rsidRDefault="00DB3130" w:rsidP="00DB3130">
            <w:pPr>
              <w:spacing w:line="240" w:lineRule="auto"/>
              <w:jc w:val="both"/>
              <w:rPr>
                <w:rFonts w:ascii="Times New Roman" w:eastAsia="Times New Roman" w:hAnsi="Times New Roman" w:cs="Times New Roman"/>
                <w:snapToGrid w:val="0"/>
                <w:sz w:val="24"/>
                <w:szCs w:val="24"/>
              </w:rPr>
            </w:pPr>
            <w:r w:rsidRPr="00CF60CE">
              <w:rPr>
                <w:rFonts w:ascii="Times New Roman" w:eastAsia="Times New Roman" w:hAnsi="Times New Roman" w:cs="Times New Roman"/>
                <w:snapToGrid w:val="0"/>
                <w:sz w:val="24"/>
                <w:szCs w:val="24"/>
              </w:rPr>
              <w:t>Държане или излагане с цел продажба, предлагане за продажба, доставяне или пускане на пазара по друг начин, с изключение на първата продажба от първичния производител на прекупвачи или преработватели, както и всяка една дейност по подготвяне на продукта за тази първа продажба; продажбата от първичен производител на крайни потребители се счита за търговия, ако се осъществява в отделни помещения, предвидени за тази цел.</w:t>
            </w:r>
          </w:p>
        </w:tc>
      </w:tr>
      <w:tr w:rsidR="00DB3130" w:rsidRPr="00CF60CE" w14:paraId="22FA157F" w14:textId="77777777" w:rsidTr="007A1A81">
        <w:tc>
          <w:tcPr>
            <w:tcW w:w="2633" w:type="dxa"/>
            <w:shd w:val="clear" w:color="auto" w:fill="E6E6E6"/>
          </w:tcPr>
          <w:p w14:paraId="7C90B331" w14:textId="1EE7A392" w:rsidR="00DB3130" w:rsidRPr="00CF60CE" w:rsidRDefault="00DB3130" w:rsidP="00DB3130">
            <w:pPr>
              <w:spacing w:before="100" w:beforeAutospacing="1" w:after="100" w:afterAutospacing="1" w:line="240" w:lineRule="auto"/>
              <w:rPr>
                <w:rFonts w:ascii="Times New Roman" w:eastAsia="Times New Roman" w:hAnsi="Times New Roman" w:cs="Times New Roman"/>
                <w:b/>
                <w:snapToGrid w:val="0"/>
                <w:sz w:val="24"/>
                <w:szCs w:val="24"/>
              </w:rPr>
            </w:pPr>
            <w:r w:rsidRPr="00F5314F">
              <w:rPr>
                <w:rFonts w:ascii="Times New Roman" w:eastAsia="Times New Roman" w:hAnsi="Times New Roman"/>
                <w:b/>
                <w:snapToGrid w:val="0"/>
                <w:sz w:val="24"/>
                <w:szCs w:val="24"/>
              </w:rPr>
              <w:t>Условия при придобиване на дълготрайния актив чрез лизинг по чл. 23 на ПМС № 86 от 01 юни 2023 г.</w:t>
            </w:r>
          </w:p>
        </w:tc>
        <w:tc>
          <w:tcPr>
            <w:tcW w:w="6973" w:type="dxa"/>
            <w:shd w:val="clear" w:color="auto" w:fill="F3F3F3"/>
          </w:tcPr>
          <w:p w14:paraId="377AD734" w14:textId="77777777" w:rsidR="00DB3130" w:rsidRPr="00F5314F" w:rsidRDefault="00DB3130" w:rsidP="00DB3130">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Чл. 23 </w:t>
            </w:r>
            <w:r>
              <w:rPr>
                <w:rFonts w:ascii="Times New Roman" w:eastAsia="Times New Roman" w:hAnsi="Times New Roman"/>
                <w:snapToGrid w:val="0"/>
                <w:sz w:val="24"/>
                <w:szCs w:val="24"/>
              </w:rPr>
              <w:t>на П</w:t>
            </w:r>
            <w:r w:rsidRPr="00324FA7">
              <w:rPr>
                <w:rFonts w:ascii="Times New Roman" w:eastAsia="Times New Roman" w:hAnsi="Times New Roman"/>
                <w:snapToGrid w:val="0"/>
                <w:sz w:val="24"/>
                <w:szCs w:val="24"/>
              </w:rPr>
              <w:t xml:space="preserve">остановление № 86 от 1 юни 2023 г. за определяне на национални правила за допустимост на разходите по програмите, финансирани от </w:t>
            </w:r>
            <w:r>
              <w:rPr>
                <w:rFonts w:ascii="Times New Roman" w:eastAsia="Times New Roman" w:hAnsi="Times New Roman"/>
                <w:snapToGrid w:val="0"/>
                <w:sz w:val="24"/>
                <w:szCs w:val="24"/>
              </w:rPr>
              <w:t>Е</w:t>
            </w:r>
            <w:r w:rsidRPr="00324FA7">
              <w:rPr>
                <w:rFonts w:ascii="Times New Roman" w:eastAsia="Times New Roman" w:hAnsi="Times New Roman"/>
                <w:snapToGrid w:val="0"/>
                <w:sz w:val="24"/>
                <w:szCs w:val="24"/>
              </w:rPr>
              <w:t xml:space="preserve">вропейските фондове при споделено управление, за програмен период 2021 </w:t>
            </w:r>
            <w:r>
              <w:rPr>
                <w:rFonts w:ascii="Times New Roman" w:eastAsia="Times New Roman" w:hAnsi="Times New Roman"/>
                <w:snapToGrid w:val="0"/>
                <w:sz w:val="24"/>
                <w:szCs w:val="24"/>
              </w:rPr>
              <w:t>–</w:t>
            </w:r>
            <w:r w:rsidRPr="00324FA7">
              <w:rPr>
                <w:rFonts w:ascii="Times New Roman" w:eastAsia="Times New Roman" w:hAnsi="Times New Roman"/>
                <w:snapToGrid w:val="0"/>
                <w:sz w:val="24"/>
                <w:szCs w:val="24"/>
              </w:rPr>
              <w:t xml:space="preserve"> 2027 г.</w:t>
            </w:r>
            <w:r>
              <w:rPr>
                <w:rFonts w:ascii="Times New Roman" w:eastAsia="Times New Roman" w:hAnsi="Times New Roman"/>
                <w:snapToGrid w:val="0"/>
                <w:sz w:val="24"/>
                <w:szCs w:val="24"/>
              </w:rPr>
              <w:t xml:space="preserve"> гласи: „</w:t>
            </w:r>
            <w:r w:rsidRPr="00F5314F">
              <w:rPr>
                <w:rFonts w:ascii="Times New Roman" w:eastAsia="Times New Roman" w:hAnsi="Times New Roman"/>
                <w:snapToGrid w:val="0"/>
                <w:sz w:val="24"/>
                <w:szCs w:val="24"/>
              </w:rPr>
              <w:t>При придобиване на дълготрайни материални активи чрез покупка или лизинг те следва да продължат да се използват за същите цели като тези на проекта след деня на закупуване и в продължение най-малко на:</w:t>
            </w:r>
          </w:p>
          <w:p w14:paraId="7E9EC472" w14:textId="77777777" w:rsidR="00DB3130" w:rsidRPr="00F5314F" w:rsidRDefault="00DB3130" w:rsidP="00DB3130">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1. 3 години или повече – за информационно и телекомуникационно оборудване;</w:t>
            </w:r>
          </w:p>
          <w:p w14:paraId="2BE35276" w14:textId="77777777" w:rsidR="00DB3130" w:rsidRPr="00F5314F" w:rsidRDefault="00DB3130" w:rsidP="00DB3130">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2. 5 години или повече – за други видове оборудване, като оперативно оборудване и транспортни средства;</w:t>
            </w:r>
          </w:p>
          <w:p w14:paraId="56374FB7" w14:textId="4ADF34E2" w:rsidR="00DB3130" w:rsidRPr="00CF60CE" w:rsidRDefault="00DB3130" w:rsidP="00DB3130">
            <w:pPr>
              <w:spacing w:line="240" w:lineRule="auto"/>
              <w:jc w:val="both"/>
              <w:rPr>
                <w:rFonts w:ascii="Times New Roman" w:eastAsia="Times New Roman" w:hAnsi="Times New Roman" w:cs="Times New Roman"/>
                <w:snapToGrid w:val="0"/>
                <w:sz w:val="24"/>
                <w:szCs w:val="24"/>
              </w:rPr>
            </w:pPr>
            <w:r w:rsidRPr="00F5314F">
              <w:rPr>
                <w:rFonts w:ascii="Times New Roman" w:eastAsia="Times New Roman" w:hAnsi="Times New Roman"/>
                <w:snapToGrid w:val="0"/>
                <w:sz w:val="24"/>
                <w:szCs w:val="24"/>
              </w:rPr>
              <w:t>3. 10 години – за сгради, плавателни съдове и въздухоплавателни средства.</w:t>
            </w:r>
            <w:r>
              <w:rPr>
                <w:rFonts w:ascii="Times New Roman" w:eastAsia="Times New Roman" w:hAnsi="Times New Roman"/>
                <w:snapToGrid w:val="0"/>
                <w:sz w:val="24"/>
                <w:szCs w:val="24"/>
              </w:rPr>
              <w:t>“</w:t>
            </w:r>
          </w:p>
        </w:tc>
      </w:tr>
      <w:tr w:rsidR="00DB3130" w:rsidRPr="00CF60CE" w14:paraId="4315856E" w14:textId="77777777" w:rsidTr="007A1A81">
        <w:tc>
          <w:tcPr>
            <w:tcW w:w="2633" w:type="dxa"/>
            <w:shd w:val="clear" w:color="auto" w:fill="E6E6E6"/>
          </w:tcPr>
          <w:p w14:paraId="4227C0AD" w14:textId="6FFCAEE5" w:rsidR="00DB3130" w:rsidRPr="00CF60CE" w:rsidRDefault="00DB3130" w:rsidP="00DB3130">
            <w:pPr>
              <w:spacing w:before="100" w:beforeAutospacing="1" w:after="100" w:afterAutospacing="1" w:line="240" w:lineRule="auto"/>
              <w:rPr>
                <w:rFonts w:ascii="Times New Roman" w:eastAsia="Times New Roman" w:hAnsi="Times New Roman" w:cs="Times New Roman"/>
                <w:b/>
                <w:snapToGrid w:val="0"/>
                <w:sz w:val="24"/>
                <w:szCs w:val="24"/>
              </w:rPr>
            </w:pPr>
            <w:r w:rsidRPr="00F5314F">
              <w:rPr>
                <w:rFonts w:ascii="Times New Roman" w:eastAsia="Times New Roman" w:hAnsi="Times New Roman"/>
                <w:b/>
                <w:snapToGrid w:val="0"/>
                <w:sz w:val="24"/>
                <w:szCs w:val="24"/>
              </w:rPr>
              <w:t>Харта на основните права на Европейския съюз</w:t>
            </w:r>
          </w:p>
        </w:tc>
        <w:tc>
          <w:tcPr>
            <w:tcW w:w="6973" w:type="dxa"/>
            <w:shd w:val="clear" w:color="auto" w:fill="F3F3F3"/>
          </w:tcPr>
          <w:p w14:paraId="0A178352" w14:textId="19BEACEF" w:rsidR="00DB3130" w:rsidRPr="00CF60CE" w:rsidRDefault="00DB3130" w:rsidP="00DB3130">
            <w:pPr>
              <w:spacing w:line="240" w:lineRule="auto"/>
              <w:jc w:val="both"/>
              <w:rPr>
                <w:rFonts w:ascii="Times New Roman" w:eastAsia="Times New Roman" w:hAnsi="Times New Roman" w:cs="Times New Roman"/>
                <w:snapToGrid w:val="0"/>
                <w:sz w:val="24"/>
                <w:szCs w:val="24"/>
              </w:rPr>
            </w:pPr>
            <w:r w:rsidRPr="00F5314F">
              <w:rPr>
                <w:rFonts w:ascii="Times New Roman" w:eastAsia="Times New Roman" w:hAnsi="Times New Roman"/>
                <w:snapToGrid w:val="0"/>
                <w:sz w:val="24"/>
                <w:szCs w:val="24"/>
              </w:rPr>
              <w:t>Прилагането и изпълнението на Хартата на основните права на Европейския съюз</w:t>
            </w:r>
            <w:r w:rsidRPr="00F5314F">
              <w:rPr>
                <w:rStyle w:val="FootnoteReference"/>
                <w:rFonts w:ascii="Times New Roman" w:eastAsia="Times New Roman" w:hAnsi="Times New Roman"/>
                <w:snapToGrid w:val="0"/>
                <w:sz w:val="24"/>
                <w:szCs w:val="24"/>
              </w:rPr>
              <w:footnoteReference w:id="2"/>
            </w:r>
            <w:r w:rsidRPr="00F5314F">
              <w:rPr>
                <w:rFonts w:ascii="Times New Roman" w:eastAsia="Times New Roman" w:hAnsi="Times New Roman"/>
                <w:snapToGrid w:val="0"/>
                <w:sz w:val="24"/>
                <w:szCs w:val="24"/>
              </w:rPr>
              <w:t xml:space="preserve"> (ЕС) цели осигуряване на зачитането и защитата на всички основни права на ЕС, сред които са: защита на личните данни, </w:t>
            </w:r>
            <w:proofErr w:type="spellStart"/>
            <w:r w:rsidRPr="00F5314F">
              <w:rPr>
                <w:rFonts w:ascii="Times New Roman" w:eastAsia="Times New Roman" w:hAnsi="Times New Roman"/>
                <w:snapToGrid w:val="0"/>
                <w:sz w:val="24"/>
                <w:szCs w:val="24"/>
              </w:rPr>
              <w:t>недискриминация</w:t>
            </w:r>
            <w:proofErr w:type="spellEnd"/>
            <w:r w:rsidRPr="00F5314F">
              <w:rPr>
                <w:rFonts w:ascii="Times New Roman" w:eastAsia="Times New Roman" w:hAnsi="Times New Roman"/>
                <w:snapToGrid w:val="0"/>
                <w:sz w:val="24"/>
                <w:szCs w:val="24"/>
              </w:rPr>
              <w:t>, равенство между жените и мъжете, интеграция на хората с увреждания, равенство пред закона,  опазване на околната среда, право на ефективни правни средства за защита и на справедлив съдебен процес, справедливи условия на труд, правата на детето, свобода на изразяване на мнение и свобода на информация, свобода на събранията и сдруженията,  право на образование, свобода на стопанската инициатива, право на собственост, защита в случай на принудително отвеждане, експулсиране и екстрадиране, зачитане на личния и семейния живот, право на убежище.</w:t>
            </w:r>
          </w:p>
        </w:tc>
      </w:tr>
    </w:tbl>
    <w:p w14:paraId="70B595A5" w14:textId="2B645DDE" w:rsidR="002D0B4D" w:rsidRPr="00CF60CE" w:rsidRDefault="007A1A81">
      <w:pPr>
        <w:rPr>
          <w:rFonts w:ascii="Times New Roman" w:hAnsi="Times New Roman" w:cs="Times New Roman"/>
        </w:rPr>
      </w:pPr>
      <w:r w:rsidRPr="00CF60CE">
        <w:rPr>
          <w:rFonts w:ascii="Times New Roman" w:hAnsi="Times New Roman" w:cs="Times New Roman"/>
        </w:rPr>
        <w:br w:type="textWrapping" w:clear="all"/>
      </w:r>
    </w:p>
    <w:p w14:paraId="013AD18F" w14:textId="77777777" w:rsidR="00811FBA" w:rsidRPr="00CF60CE" w:rsidRDefault="00811FBA">
      <w:pPr>
        <w:rPr>
          <w:rFonts w:ascii="Times New Roman" w:hAnsi="Times New Roman" w:cs="Times New Roman"/>
        </w:rPr>
      </w:pPr>
    </w:p>
    <w:sectPr w:rsidR="00811FBA" w:rsidRPr="00CF60CE">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ACE74D" w14:textId="77777777" w:rsidR="00BC7293" w:rsidRDefault="00BC7293" w:rsidP="00364204">
      <w:pPr>
        <w:spacing w:after="0" w:line="240" w:lineRule="auto"/>
      </w:pPr>
      <w:r>
        <w:separator/>
      </w:r>
    </w:p>
  </w:endnote>
  <w:endnote w:type="continuationSeparator" w:id="0">
    <w:p w14:paraId="5E267457" w14:textId="77777777" w:rsidR="00BC7293" w:rsidRDefault="00BC7293" w:rsidP="00364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7406275"/>
      <w:docPartObj>
        <w:docPartGallery w:val="Page Numbers (Bottom of Page)"/>
        <w:docPartUnique/>
      </w:docPartObj>
    </w:sdtPr>
    <w:sdtEndPr>
      <w:rPr>
        <w:noProof/>
      </w:rPr>
    </w:sdtEndPr>
    <w:sdtContent>
      <w:p w14:paraId="138EBE94" w14:textId="4AD97CD3" w:rsidR="00054EAC" w:rsidRDefault="00054EAC">
        <w:pPr>
          <w:pStyle w:val="Footer"/>
          <w:jc w:val="center"/>
        </w:pPr>
        <w:r>
          <w:fldChar w:fldCharType="begin"/>
        </w:r>
        <w:r>
          <w:instrText xml:space="preserve"> PAGE   \* MERGEFORMAT </w:instrText>
        </w:r>
        <w:r>
          <w:fldChar w:fldCharType="separate"/>
        </w:r>
        <w:r w:rsidR="00C676C5">
          <w:rPr>
            <w:noProof/>
          </w:rPr>
          <w:t>7</w:t>
        </w:r>
        <w:r>
          <w:rPr>
            <w:noProof/>
          </w:rPr>
          <w:fldChar w:fldCharType="end"/>
        </w:r>
      </w:p>
    </w:sdtContent>
  </w:sdt>
  <w:p w14:paraId="26DF3648" w14:textId="77777777" w:rsidR="001503F3" w:rsidRDefault="001503F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67F9B7" w14:textId="77777777" w:rsidR="00BC7293" w:rsidRDefault="00BC7293" w:rsidP="00364204">
      <w:pPr>
        <w:spacing w:after="0" w:line="240" w:lineRule="auto"/>
      </w:pPr>
      <w:r>
        <w:separator/>
      </w:r>
    </w:p>
  </w:footnote>
  <w:footnote w:type="continuationSeparator" w:id="0">
    <w:p w14:paraId="466A69DF" w14:textId="77777777" w:rsidR="00BC7293" w:rsidRDefault="00BC7293" w:rsidP="00364204">
      <w:pPr>
        <w:spacing w:after="0" w:line="240" w:lineRule="auto"/>
      </w:pPr>
      <w:r>
        <w:continuationSeparator/>
      </w:r>
    </w:p>
  </w:footnote>
  <w:footnote w:id="1">
    <w:p w14:paraId="1D72434B" w14:textId="77777777" w:rsidR="00CF60CE" w:rsidRPr="003D0798" w:rsidRDefault="00CF60CE" w:rsidP="003D0798">
      <w:pPr>
        <w:pStyle w:val="FootnoteText"/>
        <w:jc w:val="both"/>
        <w:rPr>
          <w:rFonts w:ascii="Times New Roman" w:hAnsi="Times New Roman"/>
        </w:rPr>
      </w:pPr>
      <w:r w:rsidRPr="003D0798">
        <w:rPr>
          <w:rStyle w:val="FootnoteReference"/>
          <w:rFonts w:ascii="Times New Roman" w:hAnsi="Times New Roman"/>
        </w:rPr>
        <w:footnoteRef/>
      </w:r>
      <w:r w:rsidRPr="003D0798">
        <w:rPr>
          <w:rFonts w:ascii="Times New Roman" w:hAnsi="Times New Roman"/>
        </w:rPr>
        <w:t xml:space="preserve"> Пълният текст на Конвенцията може да се намери на </w:t>
      </w:r>
      <w:r>
        <w:rPr>
          <w:rFonts w:ascii="Times New Roman" w:hAnsi="Times New Roman"/>
        </w:rPr>
        <w:t xml:space="preserve">следния </w:t>
      </w:r>
      <w:r w:rsidRPr="003D0798">
        <w:rPr>
          <w:rFonts w:ascii="Times New Roman" w:hAnsi="Times New Roman"/>
        </w:rPr>
        <w:t xml:space="preserve">адрес: </w:t>
      </w:r>
    </w:p>
    <w:p w14:paraId="438C4F84" w14:textId="77777777" w:rsidR="00CF60CE" w:rsidRPr="003D0798" w:rsidRDefault="00C676C5" w:rsidP="003D0798">
      <w:pPr>
        <w:pStyle w:val="FootnoteText"/>
        <w:rPr>
          <w:rFonts w:ascii="Times New Roman" w:hAnsi="Times New Roman"/>
        </w:rPr>
      </w:pPr>
      <w:hyperlink r:id="rId1" w:anchor="1" w:history="1">
        <w:r w:rsidR="00CF60CE" w:rsidRPr="003D0798">
          <w:rPr>
            <w:rStyle w:val="Hyperlink"/>
            <w:rFonts w:ascii="Times New Roman" w:hAnsi="Times New Roman"/>
          </w:rPr>
          <w:t>https://www.ohchr.org/EN/HRBodies/CRPD/Pages/ConventionRightsPersonsWithDisabilities.aspx#1</w:t>
        </w:r>
      </w:hyperlink>
      <w:r w:rsidR="00CF60CE" w:rsidRPr="003D0798">
        <w:rPr>
          <w:rFonts w:ascii="Times New Roman" w:hAnsi="Times New Roman"/>
        </w:rPr>
        <w:t xml:space="preserve"> </w:t>
      </w:r>
    </w:p>
  </w:footnote>
  <w:footnote w:id="2">
    <w:p w14:paraId="42FD022C" w14:textId="77777777" w:rsidR="00DB3130" w:rsidRPr="00013823" w:rsidRDefault="00DB3130" w:rsidP="00013823">
      <w:pPr>
        <w:pStyle w:val="FootnoteText"/>
        <w:jc w:val="both"/>
        <w:rPr>
          <w:rFonts w:ascii="Times New Roman" w:hAnsi="Times New Roman"/>
        </w:rPr>
      </w:pPr>
      <w:r w:rsidRPr="00013823">
        <w:rPr>
          <w:rStyle w:val="FootnoteReference"/>
          <w:rFonts w:ascii="Times New Roman" w:hAnsi="Times New Roman"/>
        </w:rPr>
        <w:footnoteRef/>
      </w:r>
      <w:r w:rsidRPr="00013823">
        <w:rPr>
          <w:rFonts w:ascii="Times New Roman" w:hAnsi="Times New Roman"/>
        </w:rPr>
        <w:t xml:space="preserve"> Пълният текст на Хартата може да се намери на следния адрес: </w:t>
      </w:r>
      <w:hyperlink r:id="rId2" w:history="1">
        <w:r w:rsidRPr="00013823">
          <w:rPr>
            <w:rStyle w:val="Hyperlink"/>
            <w:rFonts w:ascii="Times New Roman" w:hAnsi="Times New Roman"/>
          </w:rPr>
          <w:t>https://eur-lex.europa.eu/legal-content/BG/TXT/?uri=celex%3A12012P%2FTXT</w:t>
        </w:r>
      </w:hyperlink>
      <w:r w:rsidRPr="00013823">
        <w:rPr>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490"/>
      <w:gridCol w:w="4582"/>
    </w:tblGrid>
    <w:tr w:rsidR="007A1A81" w:rsidRPr="007A1A81" w14:paraId="31532482" w14:textId="77777777" w:rsidTr="00D438C0">
      <w:tc>
        <w:tcPr>
          <w:tcW w:w="4748" w:type="dxa"/>
        </w:tcPr>
        <w:p w14:paraId="085AC994" w14:textId="77777777" w:rsidR="007A1A81" w:rsidRPr="007A1A81" w:rsidRDefault="007A1A81" w:rsidP="007A1A81">
          <w:pPr>
            <w:tabs>
              <w:tab w:val="center" w:pos="4536"/>
              <w:tab w:val="right" w:pos="9072"/>
            </w:tabs>
            <w:rPr>
              <w:rFonts w:ascii="Calibri" w:eastAsia="Calibri" w:hAnsi="Calibri" w:cs="Times New Roman"/>
            </w:rPr>
          </w:pPr>
          <w:r w:rsidRPr="007A1A81">
            <w:rPr>
              <w:rFonts w:ascii="Calibri" w:eastAsia="Calibri" w:hAnsi="Calibri" w:cs="Times New Roman"/>
              <w:i/>
              <w:noProof/>
              <w:lang w:val="en-US"/>
            </w:rPr>
            <w:drawing>
              <wp:inline distT="0" distB="0" distL="0" distR="0" wp14:anchorId="5DAC4CBE" wp14:editId="3608F3BC">
                <wp:extent cx="2009775" cy="46609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p>
      </w:tc>
      <w:tc>
        <w:tcPr>
          <w:tcW w:w="4748" w:type="dxa"/>
        </w:tcPr>
        <w:p w14:paraId="1DF3E98A" w14:textId="77777777" w:rsidR="007A1A81" w:rsidRPr="007A1A81" w:rsidRDefault="007A1A81" w:rsidP="007A1A81">
          <w:pPr>
            <w:tabs>
              <w:tab w:val="center" w:pos="4536"/>
              <w:tab w:val="right" w:pos="9072"/>
            </w:tabs>
            <w:rPr>
              <w:rFonts w:ascii="Calibri" w:eastAsia="Calibri" w:hAnsi="Calibri" w:cs="Times New Roman"/>
            </w:rPr>
          </w:pPr>
          <w:r w:rsidRPr="007A1A81">
            <w:rPr>
              <w:rFonts w:ascii="Calibri" w:eastAsia="Calibri" w:hAnsi="Calibri" w:cs="Times New Roman"/>
              <w:noProof/>
              <w:lang w:val="en-US"/>
            </w:rPr>
            <w:drawing>
              <wp:inline distT="0" distB="0" distL="0" distR="0" wp14:anchorId="107B3D8E" wp14:editId="62F52449">
                <wp:extent cx="2314575" cy="6572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14575" cy="657225"/>
                        </a:xfrm>
                        <a:prstGeom prst="rect">
                          <a:avLst/>
                        </a:prstGeom>
                        <a:noFill/>
                      </pic:spPr>
                    </pic:pic>
                  </a:graphicData>
                </a:graphic>
              </wp:inline>
            </w:drawing>
          </w:r>
        </w:p>
      </w:tc>
    </w:tr>
  </w:tbl>
  <w:p w14:paraId="23F9EEC9" w14:textId="4CC96760" w:rsidR="005D5C12" w:rsidRPr="0086716B" w:rsidRDefault="005D5C12" w:rsidP="007A1A8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 w15:restartNumberingAfterBreak="0">
    <w:nsid w:val="2AB8221E"/>
    <w:multiLevelType w:val="hybridMultilevel"/>
    <w:tmpl w:val="F5F67F34"/>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4C6626AA"/>
    <w:multiLevelType w:val="hybridMultilevel"/>
    <w:tmpl w:val="9F00509A"/>
    <w:lvl w:ilvl="0" w:tplc="05B430AC">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22305E8"/>
    <w:multiLevelType w:val="multilevel"/>
    <w:tmpl w:val="722305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oNotTrackFormatting/>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144B"/>
    <w:rsid w:val="000010DD"/>
    <w:rsid w:val="0000173C"/>
    <w:rsid w:val="00002456"/>
    <w:rsid w:val="00002D0D"/>
    <w:rsid w:val="0000386A"/>
    <w:rsid w:val="00003B43"/>
    <w:rsid w:val="00012502"/>
    <w:rsid w:val="0001482C"/>
    <w:rsid w:val="00015702"/>
    <w:rsid w:val="00016837"/>
    <w:rsid w:val="000169CC"/>
    <w:rsid w:val="00020868"/>
    <w:rsid w:val="00020E0B"/>
    <w:rsid w:val="00021DCF"/>
    <w:rsid w:val="00023FFA"/>
    <w:rsid w:val="000315B5"/>
    <w:rsid w:val="00034209"/>
    <w:rsid w:val="0003699C"/>
    <w:rsid w:val="0004005C"/>
    <w:rsid w:val="00044D0F"/>
    <w:rsid w:val="00045584"/>
    <w:rsid w:val="000522DF"/>
    <w:rsid w:val="00054EAC"/>
    <w:rsid w:val="000568E4"/>
    <w:rsid w:val="00062143"/>
    <w:rsid w:val="000636EF"/>
    <w:rsid w:val="00067C3A"/>
    <w:rsid w:val="00070B42"/>
    <w:rsid w:val="00070E3F"/>
    <w:rsid w:val="00071FD5"/>
    <w:rsid w:val="00082A66"/>
    <w:rsid w:val="00085F51"/>
    <w:rsid w:val="000972C6"/>
    <w:rsid w:val="000A0132"/>
    <w:rsid w:val="000A1114"/>
    <w:rsid w:val="000A3471"/>
    <w:rsid w:val="000A44E5"/>
    <w:rsid w:val="000A4E76"/>
    <w:rsid w:val="000B38AD"/>
    <w:rsid w:val="000B4A2D"/>
    <w:rsid w:val="000B6360"/>
    <w:rsid w:val="000C2624"/>
    <w:rsid w:val="000C2A46"/>
    <w:rsid w:val="000C6413"/>
    <w:rsid w:val="000C731A"/>
    <w:rsid w:val="000C7701"/>
    <w:rsid w:val="000D040C"/>
    <w:rsid w:val="000D418B"/>
    <w:rsid w:val="000D7F0D"/>
    <w:rsid w:val="000E43C4"/>
    <w:rsid w:val="000E4FFF"/>
    <w:rsid w:val="000E58F1"/>
    <w:rsid w:val="000F48C5"/>
    <w:rsid w:val="000F5A47"/>
    <w:rsid w:val="0011077A"/>
    <w:rsid w:val="001123F2"/>
    <w:rsid w:val="00112DD2"/>
    <w:rsid w:val="001172F3"/>
    <w:rsid w:val="00121FFF"/>
    <w:rsid w:val="0012614C"/>
    <w:rsid w:val="00133436"/>
    <w:rsid w:val="00134A4B"/>
    <w:rsid w:val="00135888"/>
    <w:rsid w:val="00135C9D"/>
    <w:rsid w:val="001375DA"/>
    <w:rsid w:val="0014131C"/>
    <w:rsid w:val="00141474"/>
    <w:rsid w:val="00146219"/>
    <w:rsid w:val="00146A12"/>
    <w:rsid w:val="001472E2"/>
    <w:rsid w:val="00147A80"/>
    <w:rsid w:val="001503F3"/>
    <w:rsid w:val="001505AE"/>
    <w:rsid w:val="00151004"/>
    <w:rsid w:val="00151B68"/>
    <w:rsid w:val="001553A6"/>
    <w:rsid w:val="001566B9"/>
    <w:rsid w:val="00160AEC"/>
    <w:rsid w:val="0016138B"/>
    <w:rsid w:val="00163752"/>
    <w:rsid w:val="001637DA"/>
    <w:rsid w:val="00166B6A"/>
    <w:rsid w:val="001675DC"/>
    <w:rsid w:val="00176AD2"/>
    <w:rsid w:val="00177A75"/>
    <w:rsid w:val="00177AF4"/>
    <w:rsid w:val="001814C4"/>
    <w:rsid w:val="001826B1"/>
    <w:rsid w:val="00190190"/>
    <w:rsid w:val="0019069B"/>
    <w:rsid w:val="00194C58"/>
    <w:rsid w:val="00196D20"/>
    <w:rsid w:val="001A6C43"/>
    <w:rsid w:val="001B133A"/>
    <w:rsid w:val="001B13CE"/>
    <w:rsid w:val="001B21F3"/>
    <w:rsid w:val="001B3181"/>
    <w:rsid w:val="001B57E3"/>
    <w:rsid w:val="001B61A7"/>
    <w:rsid w:val="001B6CC2"/>
    <w:rsid w:val="001C2977"/>
    <w:rsid w:val="001C2D21"/>
    <w:rsid w:val="001D505E"/>
    <w:rsid w:val="001F0E0A"/>
    <w:rsid w:val="001F54E6"/>
    <w:rsid w:val="001F61B8"/>
    <w:rsid w:val="002068A7"/>
    <w:rsid w:val="00207A2E"/>
    <w:rsid w:val="002101D1"/>
    <w:rsid w:val="0021679D"/>
    <w:rsid w:val="00226AD4"/>
    <w:rsid w:val="00235A35"/>
    <w:rsid w:val="002407B4"/>
    <w:rsid w:val="0024350C"/>
    <w:rsid w:val="0024419F"/>
    <w:rsid w:val="00244EF0"/>
    <w:rsid w:val="00255E88"/>
    <w:rsid w:val="00257A2C"/>
    <w:rsid w:val="00262C14"/>
    <w:rsid w:val="00270C35"/>
    <w:rsid w:val="00270FA9"/>
    <w:rsid w:val="00275A2F"/>
    <w:rsid w:val="002779FF"/>
    <w:rsid w:val="0028583C"/>
    <w:rsid w:val="002938F6"/>
    <w:rsid w:val="00294A6E"/>
    <w:rsid w:val="002A3CEF"/>
    <w:rsid w:val="002A4747"/>
    <w:rsid w:val="002A512B"/>
    <w:rsid w:val="002A570D"/>
    <w:rsid w:val="002A6026"/>
    <w:rsid w:val="002A6221"/>
    <w:rsid w:val="002B03EC"/>
    <w:rsid w:val="002B0905"/>
    <w:rsid w:val="002B20F2"/>
    <w:rsid w:val="002B31B0"/>
    <w:rsid w:val="002B3E57"/>
    <w:rsid w:val="002C72C6"/>
    <w:rsid w:val="002D0B4D"/>
    <w:rsid w:val="002D20A8"/>
    <w:rsid w:val="002D39FC"/>
    <w:rsid w:val="002E23A3"/>
    <w:rsid w:val="002F31DF"/>
    <w:rsid w:val="002F59B2"/>
    <w:rsid w:val="00301649"/>
    <w:rsid w:val="0030180E"/>
    <w:rsid w:val="00305BE5"/>
    <w:rsid w:val="00306628"/>
    <w:rsid w:val="00311B06"/>
    <w:rsid w:val="00311D57"/>
    <w:rsid w:val="00315E8A"/>
    <w:rsid w:val="0031775D"/>
    <w:rsid w:val="003204C2"/>
    <w:rsid w:val="003206A1"/>
    <w:rsid w:val="00322E2E"/>
    <w:rsid w:val="003234D8"/>
    <w:rsid w:val="00323B4A"/>
    <w:rsid w:val="00323E63"/>
    <w:rsid w:val="0032781F"/>
    <w:rsid w:val="00333512"/>
    <w:rsid w:val="00342683"/>
    <w:rsid w:val="00350080"/>
    <w:rsid w:val="0035013B"/>
    <w:rsid w:val="00350A75"/>
    <w:rsid w:val="0035527E"/>
    <w:rsid w:val="003601E3"/>
    <w:rsid w:val="00363FB2"/>
    <w:rsid w:val="00364204"/>
    <w:rsid w:val="00364C8A"/>
    <w:rsid w:val="00372A83"/>
    <w:rsid w:val="00377AF7"/>
    <w:rsid w:val="0038024A"/>
    <w:rsid w:val="00380C77"/>
    <w:rsid w:val="003875EB"/>
    <w:rsid w:val="003913AA"/>
    <w:rsid w:val="00392471"/>
    <w:rsid w:val="00392A15"/>
    <w:rsid w:val="0039519A"/>
    <w:rsid w:val="003C0135"/>
    <w:rsid w:val="003C0505"/>
    <w:rsid w:val="003C0A9A"/>
    <w:rsid w:val="003C0F45"/>
    <w:rsid w:val="003C29ED"/>
    <w:rsid w:val="003C370C"/>
    <w:rsid w:val="003D1460"/>
    <w:rsid w:val="003D47EC"/>
    <w:rsid w:val="003D5F84"/>
    <w:rsid w:val="003E2225"/>
    <w:rsid w:val="003E7DFA"/>
    <w:rsid w:val="003F42BA"/>
    <w:rsid w:val="003F63FF"/>
    <w:rsid w:val="003F74C3"/>
    <w:rsid w:val="00403D6C"/>
    <w:rsid w:val="00413F4A"/>
    <w:rsid w:val="0041624B"/>
    <w:rsid w:val="00424C2D"/>
    <w:rsid w:val="00425D7E"/>
    <w:rsid w:val="00434D2A"/>
    <w:rsid w:val="004376E5"/>
    <w:rsid w:val="00443FF4"/>
    <w:rsid w:val="00444395"/>
    <w:rsid w:val="00450719"/>
    <w:rsid w:val="00453858"/>
    <w:rsid w:val="00457584"/>
    <w:rsid w:val="00467B0D"/>
    <w:rsid w:val="004711FB"/>
    <w:rsid w:val="00477A53"/>
    <w:rsid w:val="00477F5F"/>
    <w:rsid w:val="004802B5"/>
    <w:rsid w:val="004811EE"/>
    <w:rsid w:val="0048153E"/>
    <w:rsid w:val="00482E5A"/>
    <w:rsid w:val="004843EE"/>
    <w:rsid w:val="0048471A"/>
    <w:rsid w:val="00486046"/>
    <w:rsid w:val="00487B87"/>
    <w:rsid w:val="00494CB1"/>
    <w:rsid w:val="004A15B3"/>
    <w:rsid w:val="004A2098"/>
    <w:rsid w:val="004B177E"/>
    <w:rsid w:val="004B3485"/>
    <w:rsid w:val="004B677A"/>
    <w:rsid w:val="004C6D46"/>
    <w:rsid w:val="004D5241"/>
    <w:rsid w:val="004D59DD"/>
    <w:rsid w:val="004D6CE7"/>
    <w:rsid w:val="004E0B74"/>
    <w:rsid w:val="004E15B4"/>
    <w:rsid w:val="004E6D9F"/>
    <w:rsid w:val="00502F9C"/>
    <w:rsid w:val="00506983"/>
    <w:rsid w:val="00507AB6"/>
    <w:rsid w:val="005155E4"/>
    <w:rsid w:val="00521819"/>
    <w:rsid w:val="00527C13"/>
    <w:rsid w:val="00533EFA"/>
    <w:rsid w:val="005346FD"/>
    <w:rsid w:val="00544385"/>
    <w:rsid w:val="00562463"/>
    <w:rsid w:val="00562CDD"/>
    <w:rsid w:val="005646F9"/>
    <w:rsid w:val="0057352F"/>
    <w:rsid w:val="00590097"/>
    <w:rsid w:val="0059354F"/>
    <w:rsid w:val="00594DF4"/>
    <w:rsid w:val="00597183"/>
    <w:rsid w:val="005B109C"/>
    <w:rsid w:val="005B1470"/>
    <w:rsid w:val="005B33FE"/>
    <w:rsid w:val="005B66E8"/>
    <w:rsid w:val="005B7691"/>
    <w:rsid w:val="005C3A6A"/>
    <w:rsid w:val="005C7631"/>
    <w:rsid w:val="005D31D2"/>
    <w:rsid w:val="005D5C12"/>
    <w:rsid w:val="005D5D2C"/>
    <w:rsid w:val="005D7DBC"/>
    <w:rsid w:val="005E04B9"/>
    <w:rsid w:val="005E0513"/>
    <w:rsid w:val="005E3ADC"/>
    <w:rsid w:val="005F3542"/>
    <w:rsid w:val="005F5A43"/>
    <w:rsid w:val="005F7830"/>
    <w:rsid w:val="006235CE"/>
    <w:rsid w:val="00624B99"/>
    <w:rsid w:val="0062729B"/>
    <w:rsid w:val="00630908"/>
    <w:rsid w:val="00642ED2"/>
    <w:rsid w:val="00647A60"/>
    <w:rsid w:val="00650331"/>
    <w:rsid w:val="00655140"/>
    <w:rsid w:val="00655AB9"/>
    <w:rsid w:val="00666480"/>
    <w:rsid w:val="00666644"/>
    <w:rsid w:val="006667AD"/>
    <w:rsid w:val="006675E7"/>
    <w:rsid w:val="00677E30"/>
    <w:rsid w:val="0068167D"/>
    <w:rsid w:val="00686332"/>
    <w:rsid w:val="00690B04"/>
    <w:rsid w:val="00692AAC"/>
    <w:rsid w:val="006932EA"/>
    <w:rsid w:val="006A66DF"/>
    <w:rsid w:val="006B35B9"/>
    <w:rsid w:val="006B3EF3"/>
    <w:rsid w:val="006C0465"/>
    <w:rsid w:val="006C7B36"/>
    <w:rsid w:val="006D0801"/>
    <w:rsid w:val="006D243B"/>
    <w:rsid w:val="006D2D81"/>
    <w:rsid w:val="006D5204"/>
    <w:rsid w:val="006D56CD"/>
    <w:rsid w:val="006E266D"/>
    <w:rsid w:val="006E3606"/>
    <w:rsid w:val="006E55B8"/>
    <w:rsid w:val="006E74DD"/>
    <w:rsid w:val="006F5552"/>
    <w:rsid w:val="007110EB"/>
    <w:rsid w:val="0071256E"/>
    <w:rsid w:val="007228E6"/>
    <w:rsid w:val="0072643D"/>
    <w:rsid w:val="007268F0"/>
    <w:rsid w:val="00734B42"/>
    <w:rsid w:val="00741F45"/>
    <w:rsid w:val="007433EA"/>
    <w:rsid w:val="0074385D"/>
    <w:rsid w:val="0074665C"/>
    <w:rsid w:val="00750D4C"/>
    <w:rsid w:val="00756B45"/>
    <w:rsid w:val="00761D80"/>
    <w:rsid w:val="00764CC7"/>
    <w:rsid w:val="0076760F"/>
    <w:rsid w:val="00767968"/>
    <w:rsid w:val="007708C4"/>
    <w:rsid w:val="00775161"/>
    <w:rsid w:val="007759E7"/>
    <w:rsid w:val="0078029D"/>
    <w:rsid w:val="00781585"/>
    <w:rsid w:val="007830DC"/>
    <w:rsid w:val="00784610"/>
    <w:rsid w:val="00785637"/>
    <w:rsid w:val="00792531"/>
    <w:rsid w:val="007A1A81"/>
    <w:rsid w:val="007A349E"/>
    <w:rsid w:val="007A6782"/>
    <w:rsid w:val="007B2C0A"/>
    <w:rsid w:val="007B5FF0"/>
    <w:rsid w:val="007B60CB"/>
    <w:rsid w:val="007D00F2"/>
    <w:rsid w:val="007E18D5"/>
    <w:rsid w:val="007E2301"/>
    <w:rsid w:val="007E4C7D"/>
    <w:rsid w:val="007F047F"/>
    <w:rsid w:val="007F4874"/>
    <w:rsid w:val="007F4E6D"/>
    <w:rsid w:val="007F75CF"/>
    <w:rsid w:val="00800A99"/>
    <w:rsid w:val="00804F54"/>
    <w:rsid w:val="00805079"/>
    <w:rsid w:val="0080517F"/>
    <w:rsid w:val="00811FBA"/>
    <w:rsid w:val="00821649"/>
    <w:rsid w:val="0082616B"/>
    <w:rsid w:val="00830B4E"/>
    <w:rsid w:val="00831362"/>
    <w:rsid w:val="00835439"/>
    <w:rsid w:val="008423D6"/>
    <w:rsid w:val="00844602"/>
    <w:rsid w:val="00844A97"/>
    <w:rsid w:val="008541FA"/>
    <w:rsid w:val="00857CD1"/>
    <w:rsid w:val="00862EEE"/>
    <w:rsid w:val="0086716B"/>
    <w:rsid w:val="00870D1D"/>
    <w:rsid w:val="00875315"/>
    <w:rsid w:val="00876B7B"/>
    <w:rsid w:val="00880021"/>
    <w:rsid w:val="00884591"/>
    <w:rsid w:val="008A3B65"/>
    <w:rsid w:val="008A4FAB"/>
    <w:rsid w:val="008A7455"/>
    <w:rsid w:val="008B34EF"/>
    <w:rsid w:val="008B4517"/>
    <w:rsid w:val="008B59D6"/>
    <w:rsid w:val="008C0322"/>
    <w:rsid w:val="008C5169"/>
    <w:rsid w:val="008D22C2"/>
    <w:rsid w:val="008D51DE"/>
    <w:rsid w:val="008E2E2B"/>
    <w:rsid w:val="008E2FA2"/>
    <w:rsid w:val="008E4C68"/>
    <w:rsid w:val="008E4D35"/>
    <w:rsid w:val="008E72B2"/>
    <w:rsid w:val="008F29AD"/>
    <w:rsid w:val="008F2DBC"/>
    <w:rsid w:val="00901DB9"/>
    <w:rsid w:val="00907DA1"/>
    <w:rsid w:val="0091098E"/>
    <w:rsid w:val="00911F09"/>
    <w:rsid w:val="0091574F"/>
    <w:rsid w:val="009200B0"/>
    <w:rsid w:val="009228BD"/>
    <w:rsid w:val="00922D50"/>
    <w:rsid w:val="00924D9B"/>
    <w:rsid w:val="0093063E"/>
    <w:rsid w:val="00934B28"/>
    <w:rsid w:val="009350D8"/>
    <w:rsid w:val="00935650"/>
    <w:rsid w:val="00936946"/>
    <w:rsid w:val="00950DAB"/>
    <w:rsid w:val="00952826"/>
    <w:rsid w:val="0095447F"/>
    <w:rsid w:val="00955AEC"/>
    <w:rsid w:val="009578F7"/>
    <w:rsid w:val="00960116"/>
    <w:rsid w:val="00963992"/>
    <w:rsid w:val="0099371B"/>
    <w:rsid w:val="009944A0"/>
    <w:rsid w:val="00995611"/>
    <w:rsid w:val="009972D5"/>
    <w:rsid w:val="009A2721"/>
    <w:rsid w:val="009B0FAC"/>
    <w:rsid w:val="009B112E"/>
    <w:rsid w:val="009C6305"/>
    <w:rsid w:val="009D0973"/>
    <w:rsid w:val="009D632B"/>
    <w:rsid w:val="009F3B82"/>
    <w:rsid w:val="009F6C1F"/>
    <w:rsid w:val="009F7BB2"/>
    <w:rsid w:val="00A00FBE"/>
    <w:rsid w:val="00A0285B"/>
    <w:rsid w:val="00A07D6D"/>
    <w:rsid w:val="00A14845"/>
    <w:rsid w:val="00A16BE2"/>
    <w:rsid w:val="00A1789B"/>
    <w:rsid w:val="00A24C36"/>
    <w:rsid w:val="00A26995"/>
    <w:rsid w:val="00A3057D"/>
    <w:rsid w:val="00A32D97"/>
    <w:rsid w:val="00A33C33"/>
    <w:rsid w:val="00A455D5"/>
    <w:rsid w:val="00A50921"/>
    <w:rsid w:val="00A52C19"/>
    <w:rsid w:val="00A641AE"/>
    <w:rsid w:val="00A64487"/>
    <w:rsid w:val="00A704B4"/>
    <w:rsid w:val="00A763B8"/>
    <w:rsid w:val="00A8715F"/>
    <w:rsid w:val="00A87ED4"/>
    <w:rsid w:val="00A90EA8"/>
    <w:rsid w:val="00AA45A9"/>
    <w:rsid w:val="00AA5F85"/>
    <w:rsid w:val="00AB2A3A"/>
    <w:rsid w:val="00AB66B3"/>
    <w:rsid w:val="00AC0C92"/>
    <w:rsid w:val="00AC4184"/>
    <w:rsid w:val="00AC5A69"/>
    <w:rsid w:val="00AC6F3F"/>
    <w:rsid w:val="00AD10E6"/>
    <w:rsid w:val="00AD16F4"/>
    <w:rsid w:val="00AD2903"/>
    <w:rsid w:val="00AD39DA"/>
    <w:rsid w:val="00AE06FF"/>
    <w:rsid w:val="00AE2167"/>
    <w:rsid w:val="00AE3148"/>
    <w:rsid w:val="00B02319"/>
    <w:rsid w:val="00B03600"/>
    <w:rsid w:val="00B05D63"/>
    <w:rsid w:val="00B06BBD"/>
    <w:rsid w:val="00B11830"/>
    <w:rsid w:val="00B126A5"/>
    <w:rsid w:val="00B14E85"/>
    <w:rsid w:val="00B20E11"/>
    <w:rsid w:val="00B219EC"/>
    <w:rsid w:val="00B23A78"/>
    <w:rsid w:val="00B27834"/>
    <w:rsid w:val="00B30DF7"/>
    <w:rsid w:val="00B42CB6"/>
    <w:rsid w:val="00B43106"/>
    <w:rsid w:val="00B47A1F"/>
    <w:rsid w:val="00B5094F"/>
    <w:rsid w:val="00B50A28"/>
    <w:rsid w:val="00B54D6C"/>
    <w:rsid w:val="00B56182"/>
    <w:rsid w:val="00B570F3"/>
    <w:rsid w:val="00B57FEA"/>
    <w:rsid w:val="00B71DD6"/>
    <w:rsid w:val="00B72A66"/>
    <w:rsid w:val="00B96F15"/>
    <w:rsid w:val="00BA0725"/>
    <w:rsid w:val="00BA0C03"/>
    <w:rsid w:val="00BB50C6"/>
    <w:rsid w:val="00BC06E5"/>
    <w:rsid w:val="00BC7293"/>
    <w:rsid w:val="00BD6E52"/>
    <w:rsid w:val="00BE5E65"/>
    <w:rsid w:val="00BE64B4"/>
    <w:rsid w:val="00BF171D"/>
    <w:rsid w:val="00BF468E"/>
    <w:rsid w:val="00C1144B"/>
    <w:rsid w:val="00C1285C"/>
    <w:rsid w:val="00C1463B"/>
    <w:rsid w:val="00C161BD"/>
    <w:rsid w:val="00C21CC0"/>
    <w:rsid w:val="00C22321"/>
    <w:rsid w:val="00C227AA"/>
    <w:rsid w:val="00C2416F"/>
    <w:rsid w:val="00C31ADB"/>
    <w:rsid w:val="00C34E93"/>
    <w:rsid w:val="00C35B51"/>
    <w:rsid w:val="00C40790"/>
    <w:rsid w:val="00C43BA0"/>
    <w:rsid w:val="00C470C9"/>
    <w:rsid w:val="00C5289A"/>
    <w:rsid w:val="00C60101"/>
    <w:rsid w:val="00C6236D"/>
    <w:rsid w:val="00C628A4"/>
    <w:rsid w:val="00C64722"/>
    <w:rsid w:val="00C65323"/>
    <w:rsid w:val="00C66498"/>
    <w:rsid w:val="00C671B3"/>
    <w:rsid w:val="00C676C5"/>
    <w:rsid w:val="00C67B6D"/>
    <w:rsid w:val="00C73FF0"/>
    <w:rsid w:val="00C764B5"/>
    <w:rsid w:val="00C77AA5"/>
    <w:rsid w:val="00C81AC3"/>
    <w:rsid w:val="00C81C9D"/>
    <w:rsid w:val="00C83BE5"/>
    <w:rsid w:val="00C84D8B"/>
    <w:rsid w:val="00C86681"/>
    <w:rsid w:val="00C918D5"/>
    <w:rsid w:val="00C97263"/>
    <w:rsid w:val="00CA13C9"/>
    <w:rsid w:val="00CA653D"/>
    <w:rsid w:val="00CB0C05"/>
    <w:rsid w:val="00CB12DF"/>
    <w:rsid w:val="00CB383A"/>
    <w:rsid w:val="00CD4E7B"/>
    <w:rsid w:val="00CE2EFD"/>
    <w:rsid w:val="00CF0900"/>
    <w:rsid w:val="00CF381D"/>
    <w:rsid w:val="00CF60CE"/>
    <w:rsid w:val="00D012AB"/>
    <w:rsid w:val="00D013C8"/>
    <w:rsid w:val="00D077BE"/>
    <w:rsid w:val="00D135FE"/>
    <w:rsid w:val="00D307CA"/>
    <w:rsid w:val="00D31E18"/>
    <w:rsid w:val="00D34868"/>
    <w:rsid w:val="00D36727"/>
    <w:rsid w:val="00D37325"/>
    <w:rsid w:val="00D43BD4"/>
    <w:rsid w:val="00D43E3C"/>
    <w:rsid w:val="00D44314"/>
    <w:rsid w:val="00D45A1C"/>
    <w:rsid w:val="00D45B42"/>
    <w:rsid w:val="00D54E1F"/>
    <w:rsid w:val="00D55A28"/>
    <w:rsid w:val="00D55DC2"/>
    <w:rsid w:val="00D72655"/>
    <w:rsid w:val="00D73B92"/>
    <w:rsid w:val="00D772ED"/>
    <w:rsid w:val="00D8148C"/>
    <w:rsid w:val="00D84D4D"/>
    <w:rsid w:val="00D86DC2"/>
    <w:rsid w:val="00D94C39"/>
    <w:rsid w:val="00D95B7A"/>
    <w:rsid w:val="00D97129"/>
    <w:rsid w:val="00DA3619"/>
    <w:rsid w:val="00DA77B9"/>
    <w:rsid w:val="00DA7AAF"/>
    <w:rsid w:val="00DB3130"/>
    <w:rsid w:val="00DB3608"/>
    <w:rsid w:val="00DC4693"/>
    <w:rsid w:val="00DD1DE4"/>
    <w:rsid w:val="00DD38D3"/>
    <w:rsid w:val="00DF0819"/>
    <w:rsid w:val="00DF094A"/>
    <w:rsid w:val="00DF2DF7"/>
    <w:rsid w:val="00DF5409"/>
    <w:rsid w:val="00DF71C8"/>
    <w:rsid w:val="00DF7E05"/>
    <w:rsid w:val="00E020D3"/>
    <w:rsid w:val="00E03C0C"/>
    <w:rsid w:val="00E0744A"/>
    <w:rsid w:val="00E12165"/>
    <w:rsid w:val="00E1337B"/>
    <w:rsid w:val="00E1594C"/>
    <w:rsid w:val="00E17783"/>
    <w:rsid w:val="00E20EE5"/>
    <w:rsid w:val="00E22F48"/>
    <w:rsid w:val="00E2578D"/>
    <w:rsid w:val="00E304D8"/>
    <w:rsid w:val="00E3259B"/>
    <w:rsid w:val="00E32E04"/>
    <w:rsid w:val="00E3682E"/>
    <w:rsid w:val="00E40454"/>
    <w:rsid w:val="00E42994"/>
    <w:rsid w:val="00E43262"/>
    <w:rsid w:val="00E435BF"/>
    <w:rsid w:val="00E544AF"/>
    <w:rsid w:val="00E61138"/>
    <w:rsid w:val="00E61A4F"/>
    <w:rsid w:val="00E6244E"/>
    <w:rsid w:val="00E6542B"/>
    <w:rsid w:val="00E721EF"/>
    <w:rsid w:val="00E80306"/>
    <w:rsid w:val="00E836C2"/>
    <w:rsid w:val="00E83EEB"/>
    <w:rsid w:val="00E86682"/>
    <w:rsid w:val="00E93050"/>
    <w:rsid w:val="00E94580"/>
    <w:rsid w:val="00EA1E54"/>
    <w:rsid w:val="00EA4313"/>
    <w:rsid w:val="00EA4E4D"/>
    <w:rsid w:val="00EA64C2"/>
    <w:rsid w:val="00EB0D94"/>
    <w:rsid w:val="00EB6598"/>
    <w:rsid w:val="00EC2304"/>
    <w:rsid w:val="00EC6570"/>
    <w:rsid w:val="00ED4FE8"/>
    <w:rsid w:val="00EE101E"/>
    <w:rsid w:val="00EE1F5C"/>
    <w:rsid w:val="00EE7F6C"/>
    <w:rsid w:val="00EF2B15"/>
    <w:rsid w:val="00EF62C6"/>
    <w:rsid w:val="00F001FE"/>
    <w:rsid w:val="00F008CC"/>
    <w:rsid w:val="00F01208"/>
    <w:rsid w:val="00F05855"/>
    <w:rsid w:val="00F06A3C"/>
    <w:rsid w:val="00F14642"/>
    <w:rsid w:val="00F15327"/>
    <w:rsid w:val="00F15645"/>
    <w:rsid w:val="00F15A96"/>
    <w:rsid w:val="00F25879"/>
    <w:rsid w:val="00F25E96"/>
    <w:rsid w:val="00F27621"/>
    <w:rsid w:val="00F41D4C"/>
    <w:rsid w:val="00F46AA0"/>
    <w:rsid w:val="00F54E65"/>
    <w:rsid w:val="00F56BC0"/>
    <w:rsid w:val="00F6168F"/>
    <w:rsid w:val="00F61DA5"/>
    <w:rsid w:val="00F6569B"/>
    <w:rsid w:val="00F702F0"/>
    <w:rsid w:val="00F73D81"/>
    <w:rsid w:val="00F73ECF"/>
    <w:rsid w:val="00F74603"/>
    <w:rsid w:val="00F83726"/>
    <w:rsid w:val="00F85D95"/>
    <w:rsid w:val="00FD2BCA"/>
    <w:rsid w:val="00FE5D62"/>
    <w:rsid w:val="00FE60F7"/>
    <w:rsid w:val="00FF6B3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5DB44BC"/>
  <w15:docId w15:val="{FA0E0D9B-3DDF-42FC-A4A1-0938A2522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64204"/>
  </w:style>
  <w:style w:type="paragraph" w:styleId="Footer">
    <w:name w:val="footer"/>
    <w:basedOn w:val="Normal"/>
    <w:link w:val="FooterChar"/>
    <w:uiPriority w:val="99"/>
    <w:unhideWhenUsed/>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64204"/>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82616B"/>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82616B"/>
    <w:rPr>
      <w:sz w:val="20"/>
      <w:szCs w:val="20"/>
    </w:rPr>
  </w:style>
  <w:style w:type="paragraph" w:styleId="BalloonText">
    <w:name w:val="Balloon Text"/>
    <w:basedOn w:val="Normal"/>
    <w:link w:val="BalloonTextChar"/>
    <w:uiPriority w:val="99"/>
    <w:semiHidden/>
    <w:unhideWhenUsed/>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4E6D"/>
    <w:rPr>
      <w:rFonts w:ascii="Tahoma" w:hAnsi="Tahoma" w:cs="Tahoma"/>
      <w:sz w:val="16"/>
      <w:szCs w:val="16"/>
    </w:rPr>
  </w:style>
  <w:style w:type="paragraph" w:styleId="ListParagraph">
    <w:name w:val="List Paragraph"/>
    <w:basedOn w:val="Normal"/>
    <w:uiPriority w:val="34"/>
    <w:qFormat/>
    <w:rsid w:val="007F4E6D"/>
    <w:pPr>
      <w:ind w:left="720"/>
      <w:contextualSpacing/>
    </w:p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basedOn w:val="DefaultParagraphFont"/>
    <w:uiPriority w:val="99"/>
    <w:unhideWhenUsed/>
    <w:qFormat/>
    <w:rsid w:val="000568E4"/>
    <w:rPr>
      <w:vertAlign w:val="superscript"/>
    </w:rPr>
  </w:style>
  <w:style w:type="character" w:styleId="CommentReference">
    <w:name w:val="annotation reference"/>
    <w:basedOn w:val="DefaultParagraphFont"/>
    <w:uiPriority w:val="99"/>
    <w:semiHidden/>
    <w:unhideWhenUsed/>
    <w:rsid w:val="006D243B"/>
    <w:rPr>
      <w:sz w:val="16"/>
      <w:szCs w:val="16"/>
    </w:rPr>
  </w:style>
  <w:style w:type="paragraph" w:styleId="CommentText">
    <w:name w:val="annotation text"/>
    <w:basedOn w:val="Normal"/>
    <w:link w:val="CommentTextChar"/>
    <w:uiPriority w:val="99"/>
    <w:semiHidden/>
    <w:unhideWhenUsed/>
    <w:rsid w:val="006D243B"/>
    <w:pPr>
      <w:spacing w:line="240" w:lineRule="auto"/>
    </w:pPr>
    <w:rPr>
      <w:sz w:val="20"/>
      <w:szCs w:val="20"/>
    </w:rPr>
  </w:style>
  <w:style w:type="character" w:customStyle="1" w:styleId="CommentTextChar">
    <w:name w:val="Comment Text Char"/>
    <w:basedOn w:val="DefaultParagraphFont"/>
    <w:link w:val="CommentText"/>
    <w:uiPriority w:val="99"/>
    <w:semiHidden/>
    <w:rsid w:val="006D243B"/>
    <w:rPr>
      <w:sz w:val="20"/>
      <w:szCs w:val="20"/>
    </w:rPr>
  </w:style>
  <w:style w:type="paragraph" w:styleId="CommentSubject">
    <w:name w:val="annotation subject"/>
    <w:basedOn w:val="CommentText"/>
    <w:next w:val="CommentText"/>
    <w:link w:val="CommentSubjectChar"/>
    <w:uiPriority w:val="99"/>
    <w:semiHidden/>
    <w:unhideWhenUsed/>
    <w:rsid w:val="006D243B"/>
    <w:rPr>
      <w:b/>
      <w:bCs/>
    </w:rPr>
  </w:style>
  <w:style w:type="character" w:customStyle="1" w:styleId="CommentSubjectChar">
    <w:name w:val="Comment Subject Char"/>
    <w:basedOn w:val="CommentTextChar"/>
    <w:link w:val="CommentSubject"/>
    <w:uiPriority w:val="99"/>
    <w:semiHidden/>
    <w:rsid w:val="006D243B"/>
    <w:rPr>
      <w:b/>
      <w:bCs/>
      <w:sz w:val="20"/>
      <w:szCs w:val="20"/>
    </w:rPr>
  </w:style>
  <w:style w:type="paragraph" w:styleId="Revision">
    <w:name w:val="Revision"/>
    <w:hidden/>
    <w:uiPriority w:val="99"/>
    <w:semiHidden/>
    <w:rsid w:val="0039519A"/>
    <w:pPr>
      <w:spacing w:after="0" w:line="240" w:lineRule="auto"/>
    </w:pPr>
  </w:style>
  <w:style w:type="table" w:styleId="TableGrid">
    <w:name w:val="Table Grid"/>
    <w:basedOn w:val="TableNormal"/>
    <w:uiPriority w:val="59"/>
    <w:rsid w:val="007A1A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F60C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642678">
      <w:bodyDiv w:val="1"/>
      <w:marLeft w:val="0"/>
      <w:marRight w:val="0"/>
      <w:marTop w:val="0"/>
      <w:marBottom w:val="0"/>
      <w:divBdr>
        <w:top w:val="none" w:sz="0" w:space="0" w:color="auto"/>
        <w:left w:val="none" w:sz="0" w:space="0" w:color="auto"/>
        <w:bottom w:val="none" w:sz="0" w:space="0" w:color="auto"/>
        <w:right w:val="none" w:sz="0" w:space="0" w:color="auto"/>
      </w:divBdr>
      <w:divsChild>
        <w:div w:id="1903515285">
          <w:marLeft w:val="0"/>
          <w:marRight w:val="0"/>
          <w:marTop w:val="0"/>
          <w:marBottom w:val="0"/>
          <w:divBdr>
            <w:top w:val="none" w:sz="0" w:space="0" w:color="auto"/>
            <w:left w:val="none" w:sz="0" w:space="0" w:color="auto"/>
            <w:bottom w:val="none" w:sz="0" w:space="0" w:color="auto"/>
            <w:right w:val="none" w:sz="0" w:space="0" w:color="auto"/>
          </w:divBdr>
        </w:div>
        <w:div w:id="937908240">
          <w:marLeft w:val="0"/>
          <w:marRight w:val="0"/>
          <w:marTop w:val="0"/>
          <w:marBottom w:val="0"/>
          <w:divBdr>
            <w:top w:val="none" w:sz="0" w:space="0" w:color="auto"/>
            <w:left w:val="none" w:sz="0" w:space="0" w:color="auto"/>
            <w:bottom w:val="none" w:sz="0" w:space="0" w:color="auto"/>
            <w:right w:val="none" w:sz="0" w:space="0" w:color="auto"/>
          </w:divBdr>
        </w:div>
        <w:div w:id="286857325">
          <w:marLeft w:val="0"/>
          <w:marRight w:val="0"/>
          <w:marTop w:val="0"/>
          <w:marBottom w:val="0"/>
          <w:divBdr>
            <w:top w:val="none" w:sz="0" w:space="0" w:color="auto"/>
            <w:left w:val="none" w:sz="0" w:space="0" w:color="auto"/>
            <w:bottom w:val="none" w:sz="0" w:space="0" w:color="auto"/>
            <w:right w:val="none" w:sz="0" w:space="0" w:color="auto"/>
          </w:divBdr>
        </w:div>
        <w:div w:id="688332640">
          <w:marLeft w:val="0"/>
          <w:marRight w:val="0"/>
          <w:marTop w:val="0"/>
          <w:marBottom w:val="0"/>
          <w:divBdr>
            <w:top w:val="none" w:sz="0" w:space="0" w:color="auto"/>
            <w:left w:val="none" w:sz="0" w:space="0" w:color="auto"/>
            <w:bottom w:val="none" w:sz="0" w:space="0" w:color="auto"/>
            <w:right w:val="none" w:sz="0" w:space="0" w:color="auto"/>
          </w:divBdr>
        </w:div>
        <w:div w:id="668602160">
          <w:marLeft w:val="0"/>
          <w:marRight w:val="0"/>
          <w:marTop w:val="0"/>
          <w:marBottom w:val="0"/>
          <w:divBdr>
            <w:top w:val="none" w:sz="0" w:space="0" w:color="auto"/>
            <w:left w:val="none" w:sz="0" w:space="0" w:color="auto"/>
            <w:bottom w:val="none" w:sz="0" w:space="0" w:color="auto"/>
            <w:right w:val="none" w:sz="0" w:space="0" w:color="auto"/>
          </w:divBdr>
        </w:div>
        <w:div w:id="537279012">
          <w:marLeft w:val="0"/>
          <w:marRight w:val="0"/>
          <w:marTop w:val="0"/>
          <w:marBottom w:val="0"/>
          <w:divBdr>
            <w:top w:val="none" w:sz="0" w:space="0" w:color="auto"/>
            <w:left w:val="none" w:sz="0" w:space="0" w:color="auto"/>
            <w:bottom w:val="none" w:sz="0" w:space="0" w:color="auto"/>
            <w:right w:val="none" w:sz="0" w:space="0" w:color="auto"/>
          </w:divBdr>
        </w:div>
        <w:div w:id="229772004">
          <w:marLeft w:val="0"/>
          <w:marRight w:val="0"/>
          <w:marTop w:val="0"/>
          <w:marBottom w:val="0"/>
          <w:divBdr>
            <w:top w:val="none" w:sz="0" w:space="0" w:color="auto"/>
            <w:left w:val="none" w:sz="0" w:space="0" w:color="auto"/>
            <w:bottom w:val="none" w:sz="0" w:space="0" w:color="auto"/>
            <w:right w:val="none" w:sz="0" w:space="0" w:color="auto"/>
          </w:divBdr>
        </w:div>
        <w:div w:id="1362900809">
          <w:marLeft w:val="0"/>
          <w:marRight w:val="0"/>
          <w:marTop w:val="0"/>
          <w:marBottom w:val="0"/>
          <w:divBdr>
            <w:top w:val="none" w:sz="0" w:space="0" w:color="auto"/>
            <w:left w:val="none" w:sz="0" w:space="0" w:color="auto"/>
            <w:bottom w:val="none" w:sz="0" w:space="0" w:color="auto"/>
            <w:right w:val="none" w:sz="0" w:space="0" w:color="auto"/>
          </w:divBdr>
        </w:div>
        <w:div w:id="99640809">
          <w:marLeft w:val="0"/>
          <w:marRight w:val="0"/>
          <w:marTop w:val="0"/>
          <w:marBottom w:val="0"/>
          <w:divBdr>
            <w:top w:val="none" w:sz="0" w:space="0" w:color="auto"/>
            <w:left w:val="none" w:sz="0" w:space="0" w:color="auto"/>
            <w:bottom w:val="none" w:sz="0" w:space="0" w:color="auto"/>
            <w:right w:val="none" w:sz="0" w:space="0" w:color="auto"/>
          </w:divBdr>
        </w:div>
        <w:div w:id="823620529">
          <w:marLeft w:val="0"/>
          <w:marRight w:val="0"/>
          <w:marTop w:val="0"/>
          <w:marBottom w:val="0"/>
          <w:divBdr>
            <w:top w:val="none" w:sz="0" w:space="0" w:color="auto"/>
            <w:left w:val="none" w:sz="0" w:space="0" w:color="auto"/>
            <w:bottom w:val="none" w:sz="0" w:space="0" w:color="auto"/>
            <w:right w:val="none" w:sz="0" w:space="0" w:color="auto"/>
          </w:divBdr>
        </w:div>
        <w:div w:id="104204302">
          <w:marLeft w:val="0"/>
          <w:marRight w:val="0"/>
          <w:marTop w:val="0"/>
          <w:marBottom w:val="0"/>
          <w:divBdr>
            <w:top w:val="none" w:sz="0" w:space="0" w:color="auto"/>
            <w:left w:val="none" w:sz="0" w:space="0" w:color="auto"/>
            <w:bottom w:val="none" w:sz="0" w:space="0" w:color="auto"/>
            <w:right w:val="none" w:sz="0" w:space="0" w:color="auto"/>
          </w:divBdr>
        </w:div>
      </w:divsChild>
    </w:div>
    <w:div w:id="571041254">
      <w:bodyDiv w:val="1"/>
      <w:marLeft w:val="0"/>
      <w:marRight w:val="0"/>
      <w:marTop w:val="0"/>
      <w:marBottom w:val="0"/>
      <w:divBdr>
        <w:top w:val="none" w:sz="0" w:space="0" w:color="auto"/>
        <w:left w:val="none" w:sz="0" w:space="0" w:color="auto"/>
        <w:bottom w:val="none" w:sz="0" w:space="0" w:color="auto"/>
        <w:right w:val="none" w:sz="0" w:space="0" w:color="auto"/>
      </w:divBdr>
      <w:divsChild>
        <w:div w:id="206575533">
          <w:marLeft w:val="0"/>
          <w:marRight w:val="0"/>
          <w:marTop w:val="0"/>
          <w:marBottom w:val="0"/>
          <w:divBdr>
            <w:top w:val="none" w:sz="0" w:space="0" w:color="auto"/>
            <w:left w:val="none" w:sz="0" w:space="0" w:color="auto"/>
            <w:bottom w:val="none" w:sz="0" w:space="0" w:color="auto"/>
            <w:right w:val="none" w:sz="0" w:space="0" w:color="auto"/>
          </w:divBdr>
        </w:div>
        <w:div w:id="1466922081">
          <w:marLeft w:val="0"/>
          <w:marRight w:val="0"/>
          <w:marTop w:val="0"/>
          <w:marBottom w:val="0"/>
          <w:divBdr>
            <w:top w:val="none" w:sz="0" w:space="0" w:color="auto"/>
            <w:left w:val="none" w:sz="0" w:space="0" w:color="auto"/>
            <w:bottom w:val="none" w:sz="0" w:space="0" w:color="auto"/>
            <w:right w:val="none" w:sz="0" w:space="0" w:color="auto"/>
          </w:divBdr>
        </w:div>
        <w:div w:id="1610814285">
          <w:marLeft w:val="0"/>
          <w:marRight w:val="0"/>
          <w:marTop w:val="0"/>
          <w:marBottom w:val="0"/>
          <w:divBdr>
            <w:top w:val="none" w:sz="0" w:space="0" w:color="auto"/>
            <w:left w:val="none" w:sz="0" w:space="0" w:color="auto"/>
            <w:bottom w:val="none" w:sz="0" w:space="0" w:color="auto"/>
            <w:right w:val="none" w:sz="0" w:space="0" w:color="auto"/>
          </w:divBdr>
        </w:div>
        <w:div w:id="1866820602">
          <w:marLeft w:val="0"/>
          <w:marRight w:val="0"/>
          <w:marTop w:val="0"/>
          <w:marBottom w:val="0"/>
          <w:divBdr>
            <w:top w:val="none" w:sz="0" w:space="0" w:color="auto"/>
            <w:left w:val="none" w:sz="0" w:space="0" w:color="auto"/>
            <w:bottom w:val="none" w:sz="0" w:space="0" w:color="auto"/>
            <w:right w:val="none" w:sz="0" w:space="0" w:color="auto"/>
          </w:divBdr>
        </w:div>
        <w:div w:id="1920020770">
          <w:marLeft w:val="0"/>
          <w:marRight w:val="0"/>
          <w:marTop w:val="0"/>
          <w:marBottom w:val="0"/>
          <w:divBdr>
            <w:top w:val="none" w:sz="0" w:space="0" w:color="auto"/>
            <w:left w:val="none" w:sz="0" w:space="0" w:color="auto"/>
            <w:bottom w:val="none" w:sz="0" w:space="0" w:color="auto"/>
            <w:right w:val="none" w:sz="0" w:space="0" w:color="auto"/>
          </w:divBdr>
        </w:div>
        <w:div w:id="960458964">
          <w:marLeft w:val="0"/>
          <w:marRight w:val="0"/>
          <w:marTop w:val="0"/>
          <w:marBottom w:val="0"/>
          <w:divBdr>
            <w:top w:val="none" w:sz="0" w:space="0" w:color="auto"/>
            <w:left w:val="none" w:sz="0" w:space="0" w:color="auto"/>
            <w:bottom w:val="none" w:sz="0" w:space="0" w:color="auto"/>
            <w:right w:val="none" w:sz="0" w:space="0" w:color="auto"/>
          </w:divBdr>
        </w:div>
        <w:div w:id="333074029">
          <w:marLeft w:val="0"/>
          <w:marRight w:val="0"/>
          <w:marTop w:val="0"/>
          <w:marBottom w:val="0"/>
          <w:divBdr>
            <w:top w:val="none" w:sz="0" w:space="0" w:color="auto"/>
            <w:left w:val="none" w:sz="0" w:space="0" w:color="auto"/>
            <w:bottom w:val="none" w:sz="0" w:space="0" w:color="auto"/>
            <w:right w:val="none" w:sz="0" w:space="0" w:color="auto"/>
          </w:divBdr>
        </w:div>
        <w:div w:id="1108621646">
          <w:marLeft w:val="0"/>
          <w:marRight w:val="0"/>
          <w:marTop w:val="0"/>
          <w:marBottom w:val="0"/>
          <w:divBdr>
            <w:top w:val="none" w:sz="0" w:space="0" w:color="auto"/>
            <w:left w:val="none" w:sz="0" w:space="0" w:color="auto"/>
            <w:bottom w:val="none" w:sz="0" w:space="0" w:color="auto"/>
            <w:right w:val="none" w:sz="0" w:space="0" w:color="auto"/>
          </w:divBdr>
        </w:div>
        <w:div w:id="1985500106">
          <w:marLeft w:val="0"/>
          <w:marRight w:val="0"/>
          <w:marTop w:val="0"/>
          <w:marBottom w:val="0"/>
          <w:divBdr>
            <w:top w:val="none" w:sz="0" w:space="0" w:color="auto"/>
            <w:left w:val="none" w:sz="0" w:space="0" w:color="auto"/>
            <w:bottom w:val="none" w:sz="0" w:space="0" w:color="auto"/>
            <w:right w:val="none" w:sz="0" w:space="0" w:color="auto"/>
          </w:divBdr>
        </w:div>
        <w:div w:id="348408658">
          <w:marLeft w:val="0"/>
          <w:marRight w:val="0"/>
          <w:marTop w:val="0"/>
          <w:marBottom w:val="0"/>
          <w:divBdr>
            <w:top w:val="none" w:sz="0" w:space="0" w:color="auto"/>
            <w:left w:val="none" w:sz="0" w:space="0" w:color="auto"/>
            <w:bottom w:val="none" w:sz="0" w:space="0" w:color="auto"/>
            <w:right w:val="none" w:sz="0" w:space="0" w:color="auto"/>
          </w:divBdr>
        </w:div>
      </w:divsChild>
    </w:div>
    <w:div w:id="724960297">
      <w:bodyDiv w:val="1"/>
      <w:marLeft w:val="0"/>
      <w:marRight w:val="0"/>
      <w:marTop w:val="0"/>
      <w:marBottom w:val="0"/>
      <w:divBdr>
        <w:top w:val="none" w:sz="0" w:space="0" w:color="auto"/>
        <w:left w:val="none" w:sz="0" w:space="0" w:color="auto"/>
        <w:bottom w:val="none" w:sz="0" w:space="0" w:color="auto"/>
        <w:right w:val="none" w:sz="0" w:space="0" w:color="auto"/>
      </w:divBdr>
    </w:div>
    <w:div w:id="1174419907">
      <w:bodyDiv w:val="1"/>
      <w:marLeft w:val="0"/>
      <w:marRight w:val="0"/>
      <w:marTop w:val="0"/>
      <w:marBottom w:val="0"/>
      <w:divBdr>
        <w:top w:val="none" w:sz="0" w:space="0" w:color="auto"/>
        <w:left w:val="none" w:sz="0" w:space="0" w:color="auto"/>
        <w:bottom w:val="none" w:sz="0" w:space="0" w:color="auto"/>
        <w:right w:val="none" w:sz="0" w:space="0" w:color="auto"/>
      </w:divBdr>
      <w:divsChild>
        <w:div w:id="203144275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50257999">
      <w:bodyDiv w:val="1"/>
      <w:marLeft w:val="0"/>
      <w:marRight w:val="0"/>
      <w:marTop w:val="0"/>
      <w:marBottom w:val="0"/>
      <w:divBdr>
        <w:top w:val="none" w:sz="0" w:space="0" w:color="auto"/>
        <w:left w:val="none" w:sz="0" w:space="0" w:color="auto"/>
        <w:bottom w:val="none" w:sz="0" w:space="0" w:color="auto"/>
        <w:right w:val="none" w:sz="0" w:space="0" w:color="auto"/>
      </w:divBdr>
    </w:div>
    <w:div w:id="1437825411">
      <w:bodyDiv w:val="1"/>
      <w:marLeft w:val="0"/>
      <w:marRight w:val="0"/>
      <w:marTop w:val="0"/>
      <w:marBottom w:val="0"/>
      <w:divBdr>
        <w:top w:val="none" w:sz="0" w:space="0" w:color="auto"/>
        <w:left w:val="none" w:sz="0" w:space="0" w:color="auto"/>
        <w:bottom w:val="none" w:sz="0" w:space="0" w:color="auto"/>
        <w:right w:val="none" w:sz="0" w:space="0" w:color="auto"/>
      </w:divBdr>
    </w:div>
    <w:div w:id="1617516853">
      <w:bodyDiv w:val="1"/>
      <w:marLeft w:val="0"/>
      <w:marRight w:val="0"/>
      <w:marTop w:val="0"/>
      <w:marBottom w:val="0"/>
      <w:divBdr>
        <w:top w:val="none" w:sz="0" w:space="0" w:color="auto"/>
        <w:left w:val="none" w:sz="0" w:space="0" w:color="auto"/>
        <w:bottom w:val="none" w:sz="0" w:space="0" w:color="auto"/>
        <w:right w:val="none" w:sz="0" w:space="0" w:color="auto"/>
      </w:divBdr>
    </w:div>
    <w:div w:id="1676685590">
      <w:bodyDiv w:val="1"/>
      <w:marLeft w:val="0"/>
      <w:marRight w:val="0"/>
      <w:marTop w:val="0"/>
      <w:marBottom w:val="0"/>
      <w:divBdr>
        <w:top w:val="none" w:sz="0" w:space="0" w:color="auto"/>
        <w:left w:val="none" w:sz="0" w:space="0" w:color="auto"/>
        <w:bottom w:val="none" w:sz="0" w:space="0" w:color="auto"/>
        <w:right w:val="none" w:sz="0" w:space="0" w:color="auto"/>
      </w:divBdr>
      <w:divsChild>
        <w:div w:id="1111048325">
          <w:marLeft w:val="0"/>
          <w:marRight w:val="0"/>
          <w:marTop w:val="0"/>
          <w:marBottom w:val="0"/>
          <w:divBdr>
            <w:top w:val="none" w:sz="0" w:space="0" w:color="auto"/>
            <w:left w:val="none" w:sz="0" w:space="0" w:color="auto"/>
            <w:bottom w:val="none" w:sz="0" w:space="0" w:color="auto"/>
            <w:right w:val="none" w:sz="0" w:space="0" w:color="auto"/>
          </w:divBdr>
        </w:div>
        <w:div w:id="1983002123">
          <w:marLeft w:val="0"/>
          <w:marRight w:val="0"/>
          <w:marTop w:val="0"/>
          <w:marBottom w:val="0"/>
          <w:divBdr>
            <w:top w:val="none" w:sz="0" w:space="0" w:color="auto"/>
            <w:left w:val="none" w:sz="0" w:space="0" w:color="auto"/>
            <w:bottom w:val="none" w:sz="0" w:space="0" w:color="auto"/>
            <w:right w:val="none" w:sz="0" w:space="0" w:color="auto"/>
          </w:divBdr>
        </w:div>
        <w:div w:id="1660382300">
          <w:marLeft w:val="0"/>
          <w:marRight w:val="0"/>
          <w:marTop w:val="0"/>
          <w:marBottom w:val="0"/>
          <w:divBdr>
            <w:top w:val="none" w:sz="0" w:space="0" w:color="auto"/>
            <w:left w:val="none" w:sz="0" w:space="0" w:color="auto"/>
            <w:bottom w:val="none" w:sz="0" w:space="0" w:color="auto"/>
            <w:right w:val="none" w:sz="0" w:space="0" w:color="auto"/>
          </w:divBdr>
        </w:div>
        <w:div w:id="503472928">
          <w:marLeft w:val="0"/>
          <w:marRight w:val="0"/>
          <w:marTop w:val="0"/>
          <w:marBottom w:val="0"/>
          <w:divBdr>
            <w:top w:val="none" w:sz="0" w:space="0" w:color="auto"/>
            <w:left w:val="none" w:sz="0" w:space="0" w:color="auto"/>
            <w:bottom w:val="none" w:sz="0" w:space="0" w:color="auto"/>
            <w:right w:val="none" w:sz="0" w:space="0" w:color="auto"/>
          </w:divBdr>
        </w:div>
        <w:div w:id="2057924653">
          <w:marLeft w:val="0"/>
          <w:marRight w:val="0"/>
          <w:marTop w:val="0"/>
          <w:marBottom w:val="0"/>
          <w:divBdr>
            <w:top w:val="none" w:sz="0" w:space="0" w:color="auto"/>
            <w:left w:val="none" w:sz="0" w:space="0" w:color="auto"/>
            <w:bottom w:val="none" w:sz="0" w:space="0" w:color="auto"/>
            <w:right w:val="none" w:sz="0" w:space="0" w:color="auto"/>
          </w:divBdr>
        </w:div>
        <w:div w:id="1049843859">
          <w:marLeft w:val="0"/>
          <w:marRight w:val="0"/>
          <w:marTop w:val="0"/>
          <w:marBottom w:val="0"/>
          <w:divBdr>
            <w:top w:val="none" w:sz="0" w:space="0" w:color="auto"/>
            <w:left w:val="none" w:sz="0" w:space="0" w:color="auto"/>
            <w:bottom w:val="none" w:sz="0" w:space="0" w:color="auto"/>
            <w:right w:val="none" w:sz="0" w:space="0" w:color="auto"/>
          </w:divBdr>
        </w:div>
        <w:div w:id="527989320">
          <w:marLeft w:val="0"/>
          <w:marRight w:val="0"/>
          <w:marTop w:val="0"/>
          <w:marBottom w:val="0"/>
          <w:divBdr>
            <w:top w:val="none" w:sz="0" w:space="0" w:color="auto"/>
            <w:left w:val="none" w:sz="0" w:space="0" w:color="auto"/>
            <w:bottom w:val="none" w:sz="0" w:space="0" w:color="auto"/>
            <w:right w:val="none" w:sz="0" w:space="0" w:color="auto"/>
          </w:divBdr>
        </w:div>
        <w:div w:id="1306885689">
          <w:marLeft w:val="0"/>
          <w:marRight w:val="0"/>
          <w:marTop w:val="0"/>
          <w:marBottom w:val="0"/>
          <w:divBdr>
            <w:top w:val="none" w:sz="0" w:space="0" w:color="auto"/>
            <w:left w:val="none" w:sz="0" w:space="0" w:color="auto"/>
            <w:bottom w:val="none" w:sz="0" w:space="0" w:color="auto"/>
            <w:right w:val="none" w:sz="0" w:space="0" w:color="auto"/>
          </w:divBdr>
        </w:div>
        <w:div w:id="1990019166">
          <w:marLeft w:val="0"/>
          <w:marRight w:val="0"/>
          <w:marTop w:val="0"/>
          <w:marBottom w:val="0"/>
          <w:divBdr>
            <w:top w:val="none" w:sz="0" w:space="0" w:color="auto"/>
            <w:left w:val="none" w:sz="0" w:space="0" w:color="auto"/>
            <w:bottom w:val="none" w:sz="0" w:space="0" w:color="auto"/>
            <w:right w:val="none" w:sz="0" w:space="0" w:color="auto"/>
          </w:divBdr>
        </w:div>
        <w:div w:id="14614128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BG/TXT/?uri=celex:32021R105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BG/TXT/?uri=celex%3A12012P%2FTXT" TargetMode="External"/><Relationship Id="rId1" Type="http://schemas.openxmlformats.org/officeDocument/2006/relationships/hyperlink" Target="https://www.ohchr.org/EN/HRBodies/CRPD/Pages/ConventionRightsPersonsWithDisabilities.aspx"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F8EDC4-BCCE-4569-894A-DFB86F55A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12</Pages>
  <Words>4269</Words>
  <Characters>24334</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Стела</dc:creator>
  <cp:lastModifiedBy>Hristo Yordanov</cp:lastModifiedBy>
  <cp:revision>18</cp:revision>
  <cp:lastPrinted>2022-07-12T14:57:00Z</cp:lastPrinted>
  <dcterms:created xsi:type="dcterms:W3CDTF">2022-11-17T09:47:00Z</dcterms:created>
  <dcterms:modified xsi:type="dcterms:W3CDTF">2025-03-28T11:05:00Z</dcterms:modified>
</cp:coreProperties>
</file>