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DDC" w:rsidRPr="00063352" w:rsidRDefault="00221DDC" w:rsidP="00221DD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63352">
        <w:rPr>
          <w:rFonts w:ascii="Verdana" w:hAnsi="Verdana"/>
          <w:sz w:val="20"/>
          <w:szCs w:val="20"/>
        </w:rPr>
        <w:t xml:space="preserve">Конкретните промени в актуализираното „Ръководство за изпълнение и отчитане на инвестициите, изпълнявани от крайните получатели на средства по Плана за възстановяване със СНД Главна дирекция „Европейски фондове за конкурентоспособност“ от </w:t>
      </w:r>
      <w:r w:rsidR="00141C1B">
        <w:rPr>
          <w:rFonts w:ascii="Verdana" w:hAnsi="Verdana"/>
          <w:sz w:val="20"/>
          <w:szCs w:val="20"/>
        </w:rPr>
        <w:t>март</w:t>
      </w:r>
      <w:bookmarkStart w:id="0" w:name="_GoBack"/>
      <w:bookmarkEnd w:id="0"/>
      <w:r w:rsidRPr="00063352">
        <w:rPr>
          <w:rFonts w:ascii="Verdana" w:hAnsi="Verdana"/>
          <w:sz w:val="20"/>
          <w:szCs w:val="20"/>
        </w:rPr>
        <w:t xml:space="preserve"> 2024 г. се изразяват в следното:</w:t>
      </w:r>
    </w:p>
    <w:p w:rsidR="00345096" w:rsidRPr="00063352" w:rsidRDefault="00345096" w:rsidP="00345096">
      <w:pPr>
        <w:overflowPunct w:val="0"/>
        <w:autoSpaceDE w:val="0"/>
        <w:autoSpaceDN w:val="0"/>
        <w:adjustRightInd w:val="0"/>
        <w:spacing w:after="240" w:line="360" w:lineRule="auto"/>
        <w:jc w:val="both"/>
        <w:textAlignment w:val="baseline"/>
        <w:rPr>
          <w:rFonts w:ascii="Verdana" w:eastAsia="Times New Roman" w:hAnsi="Verdana" w:cs="Times New Roman"/>
          <w:bCs/>
          <w:sz w:val="20"/>
          <w:szCs w:val="20"/>
        </w:rPr>
      </w:pPr>
    </w:p>
    <w:p w:rsidR="00345096" w:rsidRPr="00063352" w:rsidRDefault="00345096" w:rsidP="003450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4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063352">
        <w:rPr>
          <w:rFonts w:ascii="Verdana" w:eastAsia="Times New Roman" w:hAnsi="Verdana" w:cs="Times New Roman"/>
          <w:sz w:val="20"/>
          <w:szCs w:val="20"/>
        </w:rPr>
        <w:t>В „Глава 4. ОПРЕДЕЛЯНЕ НА ИЗПЪЛНИТЕЛ ЧРЕЗ ИЗБОР С ПУБЛИЧНА ПОКАНА ПО ПМС № 80/2022 Г.“ - текстът на 6-ти абзац към частта „Стъпка 5. Сключване на договор за възлагане на изпълнението“ от т. „3. Детайлно описание на стъпките на провеждане“ е променен, като е посочена правилна препратка към Общите условия на договора за финансиране (референция към чл. 1.7, вместо към чл. 1.9) и е премахнато непълно позоваване на текст от Общите условия.</w:t>
      </w:r>
    </w:p>
    <w:p w:rsidR="00345096" w:rsidRPr="00063352" w:rsidRDefault="00345096" w:rsidP="003450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4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063352">
        <w:rPr>
          <w:rFonts w:ascii="Verdana" w:eastAsia="Times New Roman" w:hAnsi="Verdana" w:cs="Times New Roman"/>
          <w:sz w:val="20"/>
          <w:szCs w:val="20"/>
        </w:rPr>
        <w:t>Текстът на „Глава 5. ИЗБОР НА ИЗПЪЛНИТЕЛ В СПЕЦИФИЧНИ СЛУЧАИ“ се заменя изцяло, като включително се добавя и ново приложение (Декларация за нередности и за липса на конфликт на интереси и свързаност).</w:t>
      </w:r>
    </w:p>
    <w:p w:rsidR="00345096" w:rsidRPr="00063352" w:rsidRDefault="00345096" w:rsidP="003450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4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063352">
        <w:rPr>
          <w:rFonts w:ascii="Verdana" w:eastAsia="Times New Roman" w:hAnsi="Verdana" w:cs="Times New Roman"/>
          <w:sz w:val="20"/>
          <w:szCs w:val="20"/>
        </w:rPr>
        <w:t>В „Глава 8. ФИНАНСОВО ИЗПЪЛНЕНИЕ НА ДОГОВОРА ЗА ФИНАНСИРАНЕ“, в т. 3. „Третиране на ДДС при изпълнението на инвестиции по МВУ“ и т. 4. „Плащания от СНД към крайния получател“ са вписани допълнения с цел улесняване на крайните получатели при изготвяне на междинните и финални отчети по ПВУ.</w:t>
      </w:r>
    </w:p>
    <w:p w:rsidR="00345096" w:rsidRPr="00063352" w:rsidRDefault="00345096" w:rsidP="003450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4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063352">
        <w:rPr>
          <w:rFonts w:ascii="Verdana" w:eastAsia="Times New Roman" w:hAnsi="Verdana" w:cs="Times New Roman"/>
          <w:sz w:val="20"/>
          <w:szCs w:val="20"/>
        </w:rPr>
        <w:t>В „Глава 10. ФИНАНСОВО-ТЕХНИЧЕСКИ ОТЧЕТИ“</w:t>
      </w:r>
    </w:p>
    <w:p w:rsidR="00345096" w:rsidRPr="00063352" w:rsidRDefault="00345096" w:rsidP="00345096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063352">
        <w:rPr>
          <w:rFonts w:ascii="Verdana" w:eastAsia="Times New Roman" w:hAnsi="Verdana" w:cs="Times New Roman"/>
          <w:sz w:val="20"/>
          <w:szCs w:val="20"/>
        </w:rPr>
        <w:t xml:space="preserve">текстът на първи и втори абзац на т. „1. Общи положения“ е променен на: </w:t>
      </w:r>
    </w:p>
    <w:p w:rsidR="00345096" w:rsidRPr="00063352" w:rsidRDefault="00345096" w:rsidP="00345096">
      <w:pPr>
        <w:overflowPunct w:val="0"/>
        <w:autoSpaceDE w:val="0"/>
        <w:autoSpaceDN w:val="0"/>
        <w:adjustRightInd w:val="0"/>
        <w:spacing w:after="240" w:line="360" w:lineRule="auto"/>
        <w:ind w:left="1418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063352">
        <w:rPr>
          <w:rFonts w:ascii="Verdana" w:eastAsia="Times New Roman" w:hAnsi="Verdana" w:cs="Times New Roman"/>
          <w:sz w:val="20"/>
          <w:szCs w:val="20"/>
        </w:rPr>
        <w:t>„Крайният получател се задължава да изготвя и представя на СНД чрез ИС на МВУ междинни и окончателни финансово-технически отчети (ФТО) във вида, със съдържанието и в сроковете, предвидени в договора за финансиране, условията за кандидатстване и условията за изпълнение по съответната процедура, в настоящото Ръководството за изпълнение на инвестициите по чл. 31, ал. 1 от ПМС № 114/2022 г. и/или в текущи оперативни указания на СНД.</w:t>
      </w:r>
    </w:p>
    <w:p w:rsidR="00345096" w:rsidRPr="00063352" w:rsidRDefault="00345096" w:rsidP="00345096">
      <w:pPr>
        <w:overflowPunct w:val="0"/>
        <w:autoSpaceDE w:val="0"/>
        <w:autoSpaceDN w:val="0"/>
        <w:adjustRightInd w:val="0"/>
        <w:spacing w:after="240" w:line="360" w:lineRule="auto"/>
        <w:ind w:left="1418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063352">
        <w:rPr>
          <w:rFonts w:ascii="Verdana" w:eastAsia="Times New Roman" w:hAnsi="Verdana" w:cs="Times New Roman"/>
          <w:sz w:val="20"/>
          <w:szCs w:val="20"/>
        </w:rPr>
        <w:t>Крайният получател подава ФТО задължително с всяко искане за плащане, както и съгласно изискваната на условията за кандидатстване или условията за изпълнение по съответната процедура или текущи оперативни указания на СНД.“</w:t>
      </w:r>
    </w:p>
    <w:p w:rsidR="00345096" w:rsidRPr="00063352" w:rsidRDefault="00345096" w:rsidP="00345096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76" w:lineRule="auto"/>
        <w:ind w:left="1418" w:hanging="567"/>
        <w:contextualSpacing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063352">
        <w:rPr>
          <w:rFonts w:ascii="Verdana" w:eastAsia="Times New Roman" w:hAnsi="Verdana" w:cs="Times New Roman"/>
          <w:sz w:val="20"/>
          <w:szCs w:val="20"/>
        </w:rPr>
        <w:lastRenderedPageBreak/>
        <w:t>текстът на първи абзац на т. „3. Междинен/финален ФТО и междинно/окончателно искане за плащане“ е променен на:</w:t>
      </w:r>
    </w:p>
    <w:p w:rsidR="00345096" w:rsidRPr="00063352" w:rsidRDefault="00345096" w:rsidP="00345096">
      <w:pPr>
        <w:overflowPunct w:val="0"/>
        <w:autoSpaceDE w:val="0"/>
        <w:autoSpaceDN w:val="0"/>
        <w:adjustRightInd w:val="0"/>
        <w:spacing w:after="240" w:line="360" w:lineRule="auto"/>
        <w:ind w:left="1418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063352">
        <w:rPr>
          <w:rFonts w:ascii="Verdana" w:eastAsia="Times New Roman" w:hAnsi="Verdana" w:cs="Times New Roman"/>
          <w:sz w:val="20"/>
          <w:szCs w:val="20"/>
        </w:rPr>
        <w:t>„Крайният получател е длъжен да представя междинни и окончателни финансово-технически отчети (ФТО) в сроковете, определени от СНД. ФТО се представя посредством ИС на МВУ от КП на СНД при съобразяване с предвидените начини на плащане по отделните процедури, както и заложеното в Условията за кандидатстване и изпълнение и в договорите за финансиране на инвестиции. Всеки следващ междинен отчет обхваща отчетния период, следващ периода на последния одобрен междинен отчет (пример: 1-ви междинен отчет 01.01.2023 г. – 30.04.2023 г.; 2-ри междинен отчет 01.05.2023 г.- 31.07.2023 г.).“</w:t>
      </w:r>
    </w:p>
    <w:p w:rsidR="00345096" w:rsidRPr="00063352" w:rsidRDefault="00345096" w:rsidP="003450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4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063352">
        <w:rPr>
          <w:rFonts w:ascii="Verdana" w:eastAsia="Times New Roman" w:hAnsi="Verdana" w:cs="Times New Roman"/>
          <w:sz w:val="20"/>
          <w:szCs w:val="20"/>
        </w:rPr>
        <w:t>В „ГЛАВА 11. УДОСТОВЕРЯВАНЕ НА ИЗПЪЛНЕНИЕТО НА ДЕЙНОСТИТЕ И ИЗВЪРШВАНЕТО НА РАЗХОДИТЕ“</w:t>
      </w:r>
    </w:p>
    <w:p w:rsidR="00345096" w:rsidRPr="00063352" w:rsidRDefault="00345096" w:rsidP="00345096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20" w:line="360" w:lineRule="auto"/>
        <w:ind w:left="1418" w:hanging="567"/>
        <w:contextualSpacing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063352">
        <w:rPr>
          <w:rFonts w:ascii="Verdana" w:eastAsia="Times New Roman" w:hAnsi="Verdana" w:cs="Times New Roman"/>
          <w:sz w:val="20"/>
          <w:szCs w:val="20"/>
        </w:rPr>
        <w:t>В частта „Наемане на персонал по трудов договор“ от Таблица 4 „Документи, прилагани към междинен/финален отчет, потвърждаващи изпълнението на дейностите по одобрената инвестиция“ е добавен текста „Попълнена и подписана декларация за нередности и за липса на конфликт на интереси и свързаност (Приложение Декларация за нередности и за липса на конфликт на интереси и свързаност).“</w:t>
      </w:r>
    </w:p>
    <w:p w:rsidR="00345096" w:rsidRPr="00063352" w:rsidRDefault="00345096" w:rsidP="003450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360" w:lineRule="auto"/>
        <w:ind w:left="1418" w:hanging="567"/>
        <w:contextualSpacing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063352">
        <w:rPr>
          <w:rFonts w:ascii="Verdana" w:eastAsia="Times New Roman" w:hAnsi="Verdana" w:cs="Times New Roman"/>
          <w:sz w:val="20"/>
          <w:szCs w:val="20"/>
        </w:rPr>
        <w:t>В т. „2. Документи към междинен/финален ФТО, доказващи извършването на допустимите разходи по изпълнение на инвестицията“ са отразени допълненията направени в „Глава 8. ФИНАНСОВО ИЗПЪЛНЕНИЕ НА ДОГОВОРА ЗА ФИНАНСИРАНЕ“.</w:t>
      </w:r>
    </w:p>
    <w:p w:rsidR="00345096" w:rsidRPr="00063352" w:rsidRDefault="00345096" w:rsidP="00345096">
      <w:pPr>
        <w:autoSpaceDE w:val="0"/>
        <w:autoSpaceDN w:val="0"/>
        <w:adjustRightInd w:val="0"/>
        <w:spacing w:before="120" w:after="0" w:line="360" w:lineRule="auto"/>
        <w:ind w:left="1225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345096" w:rsidRPr="00063352" w:rsidRDefault="00345096" w:rsidP="003450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4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063352">
        <w:rPr>
          <w:rFonts w:ascii="Verdana" w:eastAsia="Times New Roman" w:hAnsi="Verdana" w:cs="Times New Roman"/>
          <w:sz w:val="20"/>
          <w:szCs w:val="20"/>
        </w:rPr>
        <w:t>В „ГЛАВА 13. ПРОВЕРКИ НА МЯСТО“ текстът на 4-ти абзац е променен на: „Констатации и препоръки от проверката на място се предоставят на КП при проверката за предприемане на съответни мерки в определен срок при наличие на установени пропуски или за информация при липса на такива. КП се запознава на място и с направения снимков материал.“</w:t>
      </w:r>
    </w:p>
    <w:p w:rsidR="009B2451" w:rsidRPr="00063352" w:rsidRDefault="00345096" w:rsidP="009238D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4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063352">
        <w:rPr>
          <w:rFonts w:ascii="Verdana" w:eastAsia="Times New Roman" w:hAnsi="Verdana" w:cs="Times New Roman"/>
          <w:sz w:val="20"/>
          <w:szCs w:val="20"/>
        </w:rPr>
        <w:t>В „</w:t>
      </w:r>
      <w:proofErr w:type="spellStart"/>
      <w:r w:rsidRPr="00063352">
        <w:rPr>
          <w:rFonts w:ascii="Verdana" w:eastAsia="Times New Roman" w:hAnsi="Verdana" w:cs="Times New Roman"/>
          <w:sz w:val="20"/>
          <w:szCs w:val="20"/>
        </w:rPr>
        <w:t>Приложение_Банкова</w:t>
      </w:r>
      <w:proofErr w:type="spellEnd"/>
      <w:r w:rsidRPr="00063352">
        <w:rPr>
          <w:rFonts w:ascii="Verdana" w:eastAsia="Times New Roman" w:hAnsi="Verdana" w:cs="Times New Roman"/>
          <w:sz w:val="20"/>
          <w:szCs w:val="20"/>
        </w:rPr>
        <w:t xml:space="preserve"> гаранция“ е посочен коректен срок на валидност от 3 месеца в съответствие с посоченото в текстовете на „Ръководство за изпълнение и отчитане на инвестициите, изпълнявани от крайните получатели на средства по Плана за възстановяване със СНД Главна дирекция „Европейски фондове за конкурентоспособност“ към Министерство на иновациите и растежа“.</w:t>
      </w:r>
    </w:p>
    <w:sectPr w:rsidR="009B2451" w:rsidRPr="00063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61AAF"/>
    <w:multiLevelType w:val="multilevel"/>
    <w:tmpl w:val="7D72F40C"/>
    <w:lvl w:ilvl="0">
      <w:start w:val="1"/>
      <w:numFmt w:val="none"/>
      <w:lvlText w:val="5.2."/>
      <w:lvlJc w:val="left"/>
      <w:pPr>
        <w:ind w:left="33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1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8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5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2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9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7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4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145" w:hanging="180"/>
      </w:pPr>
      <w:rPr>
        <w:rFonts w:hint="default"/>
      </w:rPr>
    </w:lvl>
  </w:abstractNum>
  <w:abstractNum w:abstractNumId="1" w15:restartNumberingAfterBreak="0">
    <w:nsid w:val="23D443EE"/>
    <w:multiLevelType w:val="multilevel"/>
    <w:tmpl w:val="35C094B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51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0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2" w15:restartNumberingAfterBreak="0">
    <w:nsid w:val="63921F8E"/>
    <w:multiLevelType w:val="multilevel"/>
    <w:tmpl w:val="E3A029FA"/>
    <w:lvl w:ilvl="0">
      <w:start w:val="1"/>
      <w:numFmt w:val="decimal"/>
      <w:lvlText w:val="%1."/>
      <w:lvlJc w:val="left"/>
      <w:pPr>
        <w:ind w:left="1945" w:hanging="360"/>
      </w:pPr>
      <w:rPr>
        <w:rFonts w:hint="default"/>
      </w:rPr>
    </w:lvl>
    <w:lvl w:ilvl="1">
      <w:start w:val="1"/>
      <w:numFmt w:val="none"/>
      <w:lvlText w:val="5.1"/>
      <w:lvlJc w:val="left"/>
      <w:pPr>
        <w:ind w:left="266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38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05" w:hanging="180"/>
      </w:pPr>
      <w:rPr>
        <w:rFonts w:hint="default"/>
      </w:rPr>
    </w:lvl>
  </w:abstractNum>
  <w:abstractNum w:abstractNumId="3" w15:restartNumberingAfterBreak="0">
    <w:nsid w:val="6B794342"/>
    <w:multiLevelType w:val="multilevel"/>
    <w:tmpl w:val="96D01E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2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5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4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7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81"/>
    <w:rsid w:val="000118D1"/>
    <w:rsid w:val="00063352"/>
    <w:rsid w:val="000674CF"/>
    <w:rsid w:val="00087446"/>
    <w:rsid w:val="000D22E3"/>
    <w:rsid w:val="00141C1B"/>
    <w:rsid w:val="001C20E2"/>
    <w:rsid w:val="00221DDC"/>
    <w:rsid w:val="00233656"/>
    <w:rsid w:val="0023542E"/>
    <w:rsid w:val="00255B5E"/>
    <w:rsid w:val="002C2818"/>
    <w:rsid w:val="00323790"/>
    <w:rsid w:val="0033121A"/>
    <w:rsid w:val="00345096"/>
    <w:rsid w:val="003C30BA"/>
    <w:rsid w:val="003D7F3C"/>
    <w:rsid w:val="00564395"/>
    <w:rsid w:val="0057086D"/>
    <w:rsid w:val="00586908"/>
    <w:rsid w:val="005D1148"/>
    <w:rsid w:val="007B5440"/>
    <w:rsid w:val="008024B8"/>
    <w:rsid w:val="00863BCD"/>
    <w:rsid w:val="009238D2"/>
    <w:rsid w:val="009A486A"/>
    <w:rsid w:val="009B2451"/>
    <w:rsid w:val="00A328EE"/>
    <w:rsid w:val="00A81A56"/>
    <w:rsid w:val="00A97B2C"/>
    <w:rsid w:val="00AC6386"/>
    <w:rsid w:val="00AF4AB3"/>
    <w:rsid w:val="00C564A0"/>
    <w:rsid w:val="00D23AF2"/>
    <w:rsid w:val="00DF7368"/>
    <w:rsid w:val="00E15F81"/>
    <w:rsid w:val="00E6018C"/>
    <w:rsid w:val="00F00A5D"/>
    <w:rsid w:val="00FB39EF"/>
    <w:rsid w:val="00FC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E07E"/>
  <w15:chartTrackingRefBased/>
  <w15:docId w15:val="{6E3F4F68-A91C-492A-800C-53D10F5B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7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Chilov</dc:creator>
  <cp:keywords/>
  <dc:description/>
  <cp:lastModifiedBy>Todor Chilov</cp:lastModifiedBy>
  <cp:revision>6</cp:revision>
  <dcterms:created xsi:type="dcterms:W3CDTF">2024-02-22T11:27:00Z</dcterms:created>
  <dcterms:modified xsi:type="dcterms:W3CDTF">2024-03-08T12:46:00Z</dcterms:modified>
</cp:coreProperties>
</file>