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D0E0AD" w14:textId="77777777" w:rsidR="00C1144B" w:rsidRPr="00764CC7" w:rsidRDefault="00F06A3C" w:rsidP="007F4E6D">
      <w:pPr>
        <w:tabs>
          <w:tab w:val="center" w:pos="4536"/>
          <w:tab w:val="right" w:pos="9072"/>
        </w:tabs>
        <w:spacing w:after="0" w:line="240" w:lineRule="auto"/>
        <w:jc w:val="right"/>
        <w:rPr>
          <w:rFonts w:ascii="Calibri" w:eastAsia="Calibri" w:hAnsi="Calibri" w:cs="Times New Roman"/>
          <w:b/>
          <w:i/>
          <w:lang w:val="en-US"/>
        </w:rPr>
      </w:pPr>
      <w:bookmarkStart w:id="0" w:name="_GoBack"/>
      <w:bookmarkEnd w:id="0"/>
      <w:r>
        <w:rPr>
          <w:rFonts w:ascii="Calibri" w:eastAsia="Calibri" w:hAnsi="Calibri" w:cs="Times New Roman"/>
          <w:b/>
          <w:i/>
        </w:rPr>
        <w:t xml:space="preserve">Приложение </w:t>
      </w:r>
      <w:r w:rsidR="00920C83">
        <w:rPr>
          <w:rFonts w:ascii="Calibri" w:eastAsia="Calibri" w:hAnsi="Calibri" w:cs="Times New Roman"/>
          <w:b/>
          <w:i/>
          <w:lang w:val="en-US"/>
        </w:rPr>
        <w:t>14</w:t>
      </w:r>
    </w:p>
    <w:p w14:paraId="1A48257E" w14:textId="77777777" w:rsidR="00045584" w:rsidRDefault="00045584" w:rsidP="00C1144B">
      <w:pPr>
        <w:spacing w:after="0" w:line="240" w:lineRule="auto"/>
        <w:rPr>
          <w:rFonts w:eastAsia="Times New Roman" w:cstheme="minorHAnsi"/>
          <w:b/>
          <w:snapToGrid w:val="0"/>
          <w:kern w:val="28"/>
          <w:sz w:val="24"/>
          <w:szCs w:val="24"/>
        </w:rPr>
      </w:pPr>
    </w:p>
    <w:p w14:paraId="5CD301AD" w14:textId="77777777" w:rsidR="00C1144B" w:rsidRPr="00425A09" w:rsidRDefault="007F4E6D" w:rsidP="00C1144B">
      <w:pPr>
        <w:spacing w:after="0" w:line="240" w:lineRule="auto"/>
        <w:rPr>
          <w:rFonts w:eastAsia="Times New Roman" w:cstheme="minorHAnsi"/>
          <w:b/>
          <w:snapToGrid w:val="0"/>
          <w:kern w:val="28"/>
          <w:sz w:val="24"/>
          <w:szCs w:val="24"/>
        </w:rPr>
      </w:pPr>
      <w:r w:rsidRPr="00425A09">
        <w:rPr>
          <w:rFonts w:eastAsia="Times New Roman" w:cstheme="minorHAnsi"/>
          <w:b/>
          <w:snapToGrid w:val="0"/>
          <w:kern w:val="28"/>
          <w:sz w:val="24"/>
          <w:szCs w:val="24"/>
          <w:lang w:val="en-US"/>
        </w:rPr>
        <w:t xml:space="preserve">I. </w:t>
      </w:r>
      <w:r w:rsidR="00C1144B" w:rsidRPr="00425A09">
        <w:rPr>
          <w:rFonts w:eastAsia="Times New Roman" w:cstheme="minorHAnsi"/>
          <w:b/>
          <w:snapToGrid w:val="0"/>
          <w:kern w:val="28"/>
          <w:sz w:val="24"/>
          <w:szCs w:val="24"/>
        </w:rPr>
        <w:t>ИЗПОЛЗВАНИ СЪКРАЩЕНИЯ</w:t>
      </w:r>
    </w:p>
    <w:p w14:paraId="25F43ED0" w14:textId="77777777" w:rsidR="00C1144B" w:rsidRPr="00425A09" w:rsidRDefault="00C1144B" w:rsidP="00C1144B">
      <w:pPr>
        <w:spacing w:after="0" w:line="240" w:lineRule="auto"/>
        <w:rPr>
          <w:rFonts w:eastAsia="Times New Roman" w:cstheme="minorHAnsi"/>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F25879" w:rsidRPr="00425A09" w14:paraId="23CCD771" w14:textId="77777777" w:rsidTr="00F14642">
        <w:tc>
          <w:tcPr>
            <w:tcW w:w="1124" w:type="pct"/>
            <w:shd w:val="clear" w:color="auto" w:fill="D9D9D9"/>
          </w:tcPr>
          <w:p w14:paraId="261A79CC" w14:textId="77777777" w:rsidR="00F25879" w:rsidRPr="00425A09" w:rsidRDefault="00F25879"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БНБ</w:t>
            </w:r>
          </w:p>
        </w:tc>
        <w:tc>
          <w:tcPr>
            <w:tcW w:w="3876" w:type="pct"/>
            <w:shd w:val="clear" w:color="auto" w:fill="F3F3F3"/>
          </w:tcPr>
          <w:p w14:paraId="60BF3E7B" w14:textId="77777777" w:rsidR="00F25879" w:rsidRPr="00425A09" w:rsidRDefault="00F25879"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Българска народна банка</w:t>
            </w:r>
          </w:p>
        </w:tc>
      </w:tr>
      <w:tr w:rsidR="00C1144B" w:rsidRPr="00425A09" w14:paraId="13713C59" w14:textId="77777777" w:rsidTr="00F14642">
        <w:tc>
          <w:tcPr>
            <w:tcW w:w="1124" w:type="pct"/>
            <w:shd w:val="clear" w:color="auto" w:fill="D9D9D9"/>
          </w:tcPr>
          <w:p w14:paraId="0471CCF7" w14:textId="77777777" w:rsidR="00C1144B" w:rsidRPr="00425A09" w:rsidRDefault="00C1144B"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ГД</w:t>
            </w:r>
          </w:p>
        </w:tc>
        <w:tc>
          <w:tcPr>
            <w:tcW w:w="3876" w:type="pct"/>
            <w:shd w:val="clear" w:color="auto" w:fill="F3F3F3"/>
          </w:tcPr>
          <w:p w14:paraId="1CD0DB13" w14:textId="77777777" w:rsidR="00C1144B" w:rsidRPr="00425A09" w:rsidRDefault="00C1144B"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Главна дирекция</w:t>
            </w:r>
          </w:p>
        </w:tc>
      </w:tr>
      <w:tr w:rsidR="00C1144B" w:rsidRPr="00425A09" w14:paraId="5CE365C9" w14:textId="77777777" w:rsidTr="00F14642">
        <w:tc>
          <w:tcPr>
            <w:tcW w:w="1124" w:type="pct"/>
            <w:shd w:val="clear" w:color="auto" w:fill="D9D9D9"/>
          </w:tcPr>
          <w:p w14:paraId="7A24F101" w14:textId="77777777" w:rsidR="00C1144B" w:rsidRPr="00425A09" w:rsidRDefault="00C1144B"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ДДС</w:t>
            </w:r>
          </w:p>
        </w:tc>
        <w:tc>
          <w:tcPr>
            <w:tcW w:w="3876" w:type="pct"/>
            <w:shd w:val="clear" w:color="auto" w:fill="F3F3F3"/>
          </w:tcPr>
          <w:p w14:paraId="763EA8EC" w14:textId="77777777" w:rsidR="00C1144B" w:rsidRPr="00425A09" w:rsidRDefault="00C1144B"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Данък добавена стойност</w:t>
            </w:r>
          </w:p>
        </w:tc>
      </w:tr>
      <w:tr w:rsidR="00C1144B" w:rsidRPr="00425A09" w14:paraId="7ABF82C5" w14:textId="77777777" w:rsidTr="00F14642">
        <w:tc>
          <w:tcPr>
            <w:tcW w:w="1124" w:type="pct"/>
            <w:shd w:val="clear" w:color="auto" w:fill="D9D9D9"/>
          </w:tcPr>
          <w:p w14:paraId="1AC4BA32" w14:textId="77777777" w:rsidR="00C1144B" w:rsidRPr="00425A09" w:rsidRDefault="00C1144B"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ДМА</w:t>
            </w:r>
          </w:p>
        </w:tc>
        <w:tc>
          <w:tcPr>
            <w:tcW w:w="3876" w:type="pct"/>
            <w:shd w:val="clear" w:color="auto" w:fill="F3F3F3"/>
          </w:tcPr>
          <w:p w14:paraId="0827D268" w14:textId="77777777" w:rsidR="00C1144B" w:rsidRPr="00425A09" w:rsidRDefault="00C1144B"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Дълготрайни материални активи</w:t>
            </w:r>
          </w:p>
        </w:tc>
      </w:tr>
      <w:tr w:rsidR="00C1144B" w:rsidRPr="00425A09" w14:paraId="08CD7F07" w14:textId="77777777" w:rsidTr="00F14642">
        <w:tc>
          <w:tcPr>
            <w:tcW w:w="1124" w:type="pct"/>
            <w:shd w:val="clear" w:color="auto" w:fill="D9D9D9"/>
          </w:tcPr>
          <w:p w14:paraId="2008B91A" w14:textId="77777777" w:rsidR="00C1144B" w:rsidRPr="00425A09" w:rsidRDefault="00C1144B"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ДНА</w:t>
            </w:r>
          </w:p>
        </w:tc>
        <w:tc>
          <w:tcPr>
            <w:tcW w:w="3876" w:type="pct"/>
            <w:shd w:val="clear" w:color="auto" w:fill="F3F3F3"/>
          </w:tcPr>
          <w:p w14:paraId="09B1E5E7" w14:textId="77777777" w:rsidR="00C1144B" w:rsidRPr="00425A09" w:rsidRDefault="00C1144B"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Дълготрайни нематериални активи</w:t>
            </w:r>
          </w:p>
        </w:tc>
      </w:tr>
      <w:tr w:rsidR="00C1144B" w:rsidRPr="00425A09" w14:paraId="4C6C8A8D" w14:textId="77777777" w:rsidTr="00F14642">
        <w:tc>
          <w:tcPr>
            <w:tcW w:w="1124" w:type="pct"/>
            <w:shd w:val="clear" w:color="auto" w:fill="D9D9D9"/>
          </w:tcPr>
          <w:p w14:paraId="4E8ED42F" w14:textId="77777777" w:rsidR="00C1144B" w:rsidRPr="00425A09" w:rsidRDefault="00C1144B"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ДНФ</w:t>
            </w:r>
          </w:p>
        </w:tc>
        <w:tc>
          <w:tcPr>
            <w:tcW w:w="3876" w:type="pct"/>
            <w:shd w:val="clear" w:color="auto" w:fill="F3F3F3"/>
          </w:tcPr>
          <w:p w14:paraId="586EE218" w14:textId="77777777" w:rsidR="00C1144B" w:rsidRPr="00425A09" w:rsidRDefault="00C1144B" w:rsidP="00C1144B">
            <w:pPr>
              <w:spacing w:before="120" w:after="0" w:line="120" w:lineRule="auto"/>
              <w:ind w:left="289" w:right="289"/>
              <w:rPr>
                <w:rFonts w:eastAsia="Times New Roman" w:cstheme="minorHAnsi"/>
                <w:b/>
                <w:snapToGrid w:val="0"/>
                <w:sz w:val="24"/>
                <w:szCs w:val="24"/>
              </w:rPr>
            </w:pPr>
            <w:r w:rsidRPr="00425A09">
              <w:rPr>
                <w:rFonts w:eastAsia="Times New Roman" w:cstheme="minorHAnsi"/>
                <w:b/>
                <w:snapToGrid w:val="0"/>
                <w:sz w:val="24"/>
                <w:szCs w:val="24"/>
              </w:rPr>
              <w:t xml:space="preserve">Дирекция „Национален фонд”, Министерство на </w:t>
            </w:r>
          </w:p>
          <w:p w14:paraId="30E49673" w14:textId="77777777" w:rsidR="00C1144B" w:rsidRPr="00425A09" w:rsidRDefault="00C1144B" w:rsidP="00C1144B">
            <w:pPr>
              <w:spacing w:before="120" w:after="0" w:line="120" w:lineRule="auto"/>
              <w:ind w:left="289" w:right="289"/>
              <w:rPr>
                <w:rFonts w:eastAsia="Times New Roman" w:cstheme="minorHAnsi"/>
                <w:b/>
                <w:snapToGrid w:val="0"/>
                <w:sz w:val="24"/>
                <w:szCs w:val="24"/>
              </w:rPr>
            </w:pPr>
            <w:r w:rsidRPr="00425A09">
              <w:rPr>
                <w:rFonts w:eastAsia="Times New Roman" w:cstheme="minorHAnsi"/>
                <w:b/>
                <w:snapToGrid w:val="0"/>
                <w:sz w:val="24"/>
                <w:szCs w:val="24"/>
              </w:rPr>
              <w:t xml:space="preserve">финансите </w:t>
            </w:r>
          </w:p>
        </w:tc>
      </w:tr>
      <w:tr w:rsidR="00D55DC2" w:rsidRPr="00425A09" w14:paraId="2BC7A527" w14:textId="77777777" w:rsidTr="00F14642">
        <w:tc>
          <w:tcPr>
            <w:tcW w:w="1124" w:type="pct"/>
            <w:shd w:val="clear" w:color="auto" w:fill="D9D9D9"/>
          </w:tcPr>
          <w:p w14:paraId="7B0C15B7" w14:textId="77777777" w:rsidR="00D55DC2" w:rsidRPr="00425A09" w:rsidRDefault="00D55DC2"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ДОПК</w:t>
            </w:r>
          </w:p>
        </w:tc>
        <w:tc>
          <w:tcPr>
            <w:tcW w:w="3876" w:type="pct"/>
            <w:shd w:val="clear" w:color="auto" w:fill="F3F3F3"/>
          </w:tcPr>
          <w:p w14:paraId="19AA0D29" w14:textId="48628BDC" w:rsidR="00D55DC2" w:rsidRPr="00425A09" w:rsidRDefault="000D040C" w:rsidP="00C1144B">
            <w:pPr>
              <w:spacing w:before="120" w:after="0" w:line="120" w:lineRule="auto"/>
              <w:ind w:left="289" w:right="289"/>
              <w:rPr>
                <w:rFonts w:eastAsia="Times New Roman" w:cstheme="minorHAnsi"/>
                <w:b/>
                <w:snapToGrid w:val="0"/>
                <w:sz w:val="24"/>
                <w:szCs w:val="24"/>
              </w:rPr>
            </w:pPr>
            <w:r w:rsidRPr="00425A09">
              <w:rPr>
                <w:rFonts w:eastAsia="Times New Roman" w:cstheme="minorHAnsi"/>
                <w:b/>
                <w:snapToGrid w:val="0"/>
                <w:sz w:val="24"/>
                <w:szCs w:val="24"/>
              </w:rPr>
              <w:t>Данъчно-осигурител</w:t>
            </w:r>
            <w:r w:rsidRPr="00425A09">
              <w:rPr>
                <w:rFonts w:eastAsia="Times New Roman" w:cstheme="minorHAnsi"/>
                <w:b/>
                <w:snapToGrid w:val="0"/>
                <w:sz w:val="24"/>
                <w:szCs w:val="24"/>
                <w:lang w:val="en-US"/>
              </w:rPr>
              <w:t>e</w:t>
            </w:r>
            <w:r w:rsidR="004C5A98" w:rsidRPr="00425A09">
              <w:rPr>
                <w:rFonts w:eastAsia="Times New Roman" w:cstheme="minorHAnsi"/>
                <w:b/>
                <w:snapToGrid w:val="0"/>
                <w:sz w:val="24"/>
                <w:szCs w:val="24"/>
              </w:rPr>
              <w:t>н</w:t>
            </w:r>
            <w:r w:rsidR="00D55DC2" w:rsidRPr="00425A09">
              <w:rPr>
                <w:rFonts w:eastAsia="Times New Roman" w:cstheme="minorHAnsi"/>
                <w:b/>
                <w:snapToGrid w:val="0"/>
                <w:sz w:val="24"/>
                <w:szCs w:val="24"/>
              </w:rPr>
              <w:t xml:space="preserve"> процесуален кодекс</w:t>
            </w:r>
          </w:p>
        </w:tc>
      </w:tr>
      <w:tr w:rsidR="00C1144B" w:rsidRPr="00425A09" w14:paraId="46A4FFFC" w14:textId="77777777" w:rsidTr="00F14642">
        <w:tc>
          <w:tcPr>
            <w:tcW w:w="1124" w:type="pct"/>
            <w:shd w:val="clear" w:color="auto" w:fill="D9D9D9"/>
          </w:tcPr>
          <w:p w14:paraId="2517990B" w14:textId="77777777" w:rsidR="00C1144B" w:rsidRPr="00425A09" w:rsidRDefault="00C1144B"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ЕК</w:t>
            </w:r>
          </w:p>
        </w:tc>
        <w:tc>
          <w:tcPr>
            <w:tcW w:w="3876" w:type="pct"/>
            <w:shd w:val="clear" w:color="auto" w:fill="F3F3F3"/>
          </w:tcPr>
          <w:p w14:paraId="1557069A" w14:textId="77777777" w:rsidR="00C1144B" w:rsidRPr="00425A09" w:rsidRDefault="00C1144B"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Европейска комисия</w:t>
            </w:r>
          </w:p>
        </w:tc>
      </w:tr>
      <w:tr w:rsidR="00C1144B" w:rsidRPr="00425A09" w14:paraId="402E934D" w14:textId="77777777" w:rsidTr="00F14642">
        <w:tc>
          <w:tcPr>
            <w:tcW w:w="1124" w:type="pct"/>
            <w:shd w:val="clear" w:color="auto" w:fill="D9D9D9"/>
          </w:tcPr>
          <w:p w14:paraId="42FD4FAC" w14:textId="77777777" w:rsidR="00C1144B" w:rsidRPr="00425A09" w:rsidRDefault="00C1144B"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ЕО</w:t>
            </w:r>
          </w:p>
        </w:tc>
        <w:tc>
          <w:tcPr>
            <w:tcW w:w="3876" w:type="pct"/>
            <w:shd w:val="clear" w:color="auto" w:fill="F3F3F3"/>
          </w:tcPr>
          <w:p w14:paraId="0AE64D42" w14:textId="77777777" w:rsidR="00C1144B" w:rsidRPr="00425A09" w:rsidRDefault="00C1144B"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Европейска общност</w:t>
            </w:r>
          </w:p>
        </w:tc>
      </w:tr>
      <w:tr w:rsidR="00C1144B" w:rsidRPr="00425A09" w14:paraId="74E09591" w14:textId="77777777" w:rsidTr="00F14642">
        <w:tc>
          <w:tcPr>
            <w:tcW w:w="1124" w:type="pct"/>
            <w:shd w:val="clear" w:color="auto" w:fill="D9D9D9"/>
          </w:tcPr>
          <w:p w14:paraId="55D5BEE6" w14:textId="77777777" w:rsidR="00C1144B" w:rsidRPr="00425A09" w:rsidRDefault="00C1144B"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ЕС</w:t>
            </w:r>
          </w:p>
        </w:tc>
        <w:tc>
          <w:tcPr>
            <w:tcW w:w="3876" w:type="pct"/>
            <w:shd w:val="clear" w:color="auto" w:fill="F3F3F3"/>
          </w:tcPr>
          <w:p w14:paraId="040953CD" w14:textId="77777777" w:rsidR="00C1144B" w:rsidRPr="00425A09" w:rsidRDefault="00C1144B"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Европейски съюз</w:t>
            </w:r>
          </w:p>
        </w:tc>
      </w:tr>
      <w:tr w:rsidR="00924D9B" w:rsidRPr="00425A09" w14:paraId="0718C951" w14:textId="77777777" w:rsidTr="00F14642">
        <w:tc>
          <w:tcPr>
            <w:tcW w:w="1124" w:type="pct"/>
            <w:shd w:val="clear" w:color="auto" w:fill="D9D9D9"/>
          </w:tcPr>
          <w:p w14:paraId="66D6E16C" w14:textId="77777777" w:rsidR="00924D9B" w:rsidRPr="00425A09" w:rsidRDefault="00924D9B"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Е</w:t>
            </w:r>
            <w:r w:rsidR="00920C83" w:rsidRPr="00425A09">
              <w:rPr>
                <w:rFonts w:eastAsia="Times New Roman" w:cstheme="minorHAnsi"/>
                <w:b/>
                <w:snapToGrid w:val="0"/>
                <w:sz w:val="24"/>
                <w:szCs w:val="24"/>
              </w:rPr>
              <w:t>ФСУ</w:t>
            </w:r>
          </w:p>
        </w:tc>
        <w:tc>
          <w:tcPr>
            <w:tcW w:w="3876" w:type="pct"/>
            <w:shd w:val="clear" w:color="auto" w:fill="F3F3F3"/>
          </w:tcPr>
          <w:p w14:paraId="5C92CEEA" w14:textId="77777777" w:rsidR="00924D9B" w:rsidRPr="00425A09" w:rsidRDefault="00924D9B" w:rsidP="00920C83">
            <w:pPr>
              <w:spacing w:before="120" w:after="120" w:line="24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Европейски фондове</w:t>
            </w:r>
            <w:r w:rsidR="00016E0B" w:rsidRPr="00425A09">
              <w:rPr>
                <w:rFonts w:eastAsia="Times New Roman" w:cstheme="minorHAnsi"/>
                <w:b/>
                <w:snapToGrid w:val="0"/>
                <w:sz w:val="24"/>
                <w:szCs w:val="24"/>
              </w:rPr>
              <w:t xml:space="preserve">  при </w:t>
            </w:r>
            <w:r w:rsidR="00920C83" w:rsidRPr="00425A09">
              <w:rPr>
                <w:rFonts w:eastAsia="Times New Roman" w:cstheme="minorHAnsi"/>
                <w:b/>
                <w:snapToGrid w:val="0"/>
                <w:sz w:val="24"/>
                <w:szCs w:val="24"/>
              </w:rPr>
              <w:t>споделено управление</w:t>
            </w:r>
          </w:p>
        </w:tc>
      </w:tr>
      <w:tr w:rsidR="00B50A28" w:rsidRPr="00425A09" w14:paraId="63DCEEC0" w14:textId="77777777" w:rsidTr="00F14642">
        <w:tc>
          <w:tcPr>
            <w:tcW w:w="1124" w:type="pct"/>
            <w:shd w:val="clear" w:color="auto" w:fill="D9D9D9"/>
          </w:tcPr>
          <w:p w14:paraId="5CEFE7E3" w14:textId="77777777" w:rsidR="00B50A28" w:rsidRPr="00425A09" w:rsidRDefault="00B50A28"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ЕСФ</w:t>
            </w:r>
          </w:p>
        </w:tc>
        <w:tc>
          <w:tcPr>
            <w:tcW w:w="3876" w:type="pct"/>
            <w:shd w:val="clear" w:color="auto" w:fill="F3F3F3"/>
          </w:tcPr>
          <w:p w14:paraId="7A9FE9E5" w14:textId="77777777" w:rsidR="00B50A28" w:rsidRPr="00425A09" w:rsidRDefault="00B50A28"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Европейски социален фонд</w:t>
            </w:r>
          </w:p>
        </w:tc>
      </w:tr>
      <w:tr w:rsidR="00741F45" w:rsidRPr="00425A09" w14:paraId="591A68C8" w14:textId="77777777" w:rsidTr="00F14642">
        <w:tc>
          <w:tcPr>
            <w:tcW w:w="1124" w:type="pct"/>
            <w:shd w:val="clear" w:color="auto" w:fill="D9D9D9"/>
          </w:tcPr>
          <w:p w14:paraId="2DC01FA1" w14:textId="77777777" w:rsidR="00741F45" w:rsidRPr="00425A09" w:rsidRDefault="00741F45"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ЕФРР</w:t>
            </w:r>
          </w:p>
        </w:tc>
        <w:tc>
          <w:tcPr>
            <w:tcW w:w="3876" w:type="pct"/>
            <w:shd w:val="clear" w:color="auto" w:fill="F3F3F3"/>
          </w:tcPr>
          <w:p w14:paraId="3E8A4233" w14:textId="77777777" w:rsidR="00741F45" w:rsidRPr="00425A09" w:rsidRDefault="00741F45"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Европейски фонд за регионално развитие</w:t>
            </w:r>
          </w:p>
        </w:tc>
      </w:tr>
      <w:tr w:rsidR="00015702" w:rsidRPr="00425A09" w14:paraId="3133DB43" w14:textId="77777777" w:rsidTr="00F14642">
        <w:tc>
          <w:tcPr>
            <w:tcW w:w="1124" w:type="pct"/>
            <w:shd w:val="clear" w:color="auto" w:fill="D9D9D9"/>
          </w:tcPr>
          <w:p w14:paraId="65329AB8" w14:textId="77777777" w:rsidR="00015702" w:rsidRPr="00425A09" w:rsidRDefault="00015702"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ЗКПО</w:t>
            </w:r>
          </w:p>
        </w:tc>
        <w:tc>
          <w:tcPr>
            <w:tcW w:w="3876" w:type="pct"/>
            <w:shd w:val="clear" w:color="auto" w:fill="F3F3F3"/>
          </w:tcPr>
          <w:p w14:paraId="61666B6B" w14:textId="77777777" w:rsidR="00015702" w:rsidRPr="00425A09" w:rsidRDefault="00015702"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Закон за корпоративното</w:t>
            </w:r>
            <w:r w:rsidR="004E15B4" w:rsidRPr="00425A09">
              <w:rPr>
                <w:rFonts w:eastAsia="Times New Roman" w:cstheme="minorHAnsi"/>
                <w:b/>
                <w:snapToGrid w:val="0"/>
                <w:sz w:val="24"/>
                <w:szCs w:val="24"/>
              </w:rPr>
              <w:t xml:space="preserve"> подоходно облагане</w:t>
            </w:r>
          </w:p>
        </w:tc>
      </w:tr>
      <w:tr w:rsidR="00C1144B" w:rsidRPr="00425A09" w14:paraId="512F094C" w14:textId="77777777" w:rsidTr="00F14642">
        <w:tc>
          <w:tcPr>
            <w:tcW w:w="1124" w:type="pct"/>
            <w:shd w:val="clear" w:color="auto" w:fill="D9D9D9"/>
          </w:tcPr>
          <w:p w14:paraId="2D6F68B1" w14:textId="77777777" w:rsidR="00C1144B" w:rsidRPr="00425A09" w:rsidRDefault="00C1144B"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ЗМСП</w:t>
            </w:r>
          </w:p>
        </w:tc>
        <w:tc>
          <w:tcPr>
            <w:tcW w:w="3876" w:type="pct"/>
            <w:shd w:val="clear" w:color="auto" w:fill="F3F3F3"/>
          </w:tcPr>
          <w:p w14:paraId="26100F7E" w14:textId="77777777" w:rsidR="00C1144B" w:rsidRPr="00425A09" w:rsidRDefault="00C1144B"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Закон за малките и средните предприятия</w:t>
            </w:r>
          </w:p>
        </w:tc>
      </w:tr>
      <w:tr w:rsidR="00C1144B" w:rsidRPr="00425A09" w14:paraId="2576C7B1" w14:textId="77777777" w:rsidTr="00F14642">
        <w:tc>
          <w:tcPr>
            <w:tcW w:w="1124" w:type="pct"/>
            <w:shd w:val="clear" w:color="auto" w:fill="D9D9D9"/>
          </w:tcPr>
          <w:p w14:paraId="14848F1D" w14:textId="77777777" w:rsidR="00C1144B" w:rsidRPr="00425A09" w:rsidRDefault="00C1144B"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ЗОП</w:t>
            </w:r>
          </w:p>
        </w:tc>
        <w:tc>
          <w:tcPr>
            <w:tcW w:w="3876" w:type="pct"/>
            <w:shd w:val="clear" w:color="auto" w:fill="F3F3F3"/>
          </w:tcPr>
          <w:p w14:paraId="3C731198" w14:textId="77777777" w:rsidR="00C1144B" w:rsidRPr="00425A09" w:rsidRDefault="00C1144B"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Закон за обществените поръчки</w:t>
            </w:r>
          </w:p>
        </w:tc>
      </w:tr>
      <w:tr w:rsidR="00C1144B" w:rsidRPr="00425A09" w14:paraId="548158A8" w14:textId="77777777" w:rsidTr="00F14642">
        <w:tc>
          <w:tcPr>
            <w:tcW w:w="1124" w:type="pct"/>
            <w:shd w:val="clear" w:color="auto" w:fill="D9D9D9"/>
          </w:tcPr>
          <w:p w14:paraId="58D7921D" w14:textId="77777777" w:rsidR="00C1144B" w:rsidRPr="00425A09" w:rsidRDefault="00C1144B"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ЗТР</w:t>
            </w:r>
          </w:p>
        </w:tc>
        <w:tc>
          <w:tcPr>
            <w:tcW w:w="3876" w:type="pct"/>
            <w:shd w:val="clear" w:color="auto" w:fill="F3F3F3"/>
          </w:tcPr>
          <w:p w14:paraId="610D40F1" w14:textId="77777777" w:rsidR="00C1144B" w:rsidRPr="00425A09" w:rsidRDefault="00C1144B"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Закон за търговския регистър</w:t>
            </w:r>
          </w:p>
        </w:tc>
      </w:tr>
      <w:tr w:rsidR="00764CC7" w:rsidRPr="00425A09" w14:paraId="7FC08A94" w14:textId="77777777" w:rsidTr="00F14642">
        <w:tc>
          <w:tcPr>
            <w:tcW w:w="1124" w:type="pct"/>
            <w:shd w:val="clear" w:color="auto" w:fill="D9D9D9"/>
          </w:tcPr>
          <w:p w14:paraId="01330F95" w14:textId="77777777" w:rsidR="00764CC7" w:rsidRPr="00425A09" w:rsidRDefault="00764CC7"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ЗУСЕ</w:t>
            </w:r>
            <w:r w:rsidR="00920C83" w:rsidRPr="00425A09">
              <w:rPr>
                <w:rFonts w:eastAsia="Times New Roman" w:cstheme="minorHAnsi"/>
                <w:b/>
                <w:snapToGrid w:val="0"/>
                <w:sz w:val="24"/>
                <w:szCs w:val="24"/>
              </w:rPr>
              <w:t>ФСУ</w:t>
            </w:r>
          </w:p>
        </w:tc>
        <w:tc>
          <w:tcPr>
            <w:tcW w:w="3876" w:type="pct"/>
            <w:shd w:val="clear" w:color="auto" w:fill="F3F3F3"/>
          </w:tcPr>
          <w:p w14:paraId="1EE985D9" w14:textId="77777777" w:rsidR="00764CC7" w:rsidRPr="00425A09" w:rsidRDefault="00764CC7" w:rsidP="00920C83">
            <w:pPr>
              <w:spacing w:before="120" w:after="120" w:line="24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 xml:space="preserve">Закон </w:t>
            </w:r>
            <w:r w:rsidR="00E3682E" w:rsidRPr="00425A09">
              <w:rPr>
                <w:rFonts w:eastAsia="Times New Roman" w:cstheme="minorHAnsi"/>
                <w:b/>
                <w:snapToGrid w:val="0"/>
                <w:sz w:val="24"/>
                <w:szCs w:val="24"/>
              </w:rPr>
              <w:t>за управление на средствата от Е</w:t>
            </w:r>
            <w:r w:rsidRPr="00425A09">
              <w:rPr>
                <w:rFonts w:eastAsia="Times New Roman" w:cstheme="minorHAnsi"/>
                <w:b/>
                <w:snapToGrid w:val="0"/>
                <w:sz w:val="24"/>
                <w:szCs w:val="24"/>
              </w:rPr>
              <w:t xml:space="preserve">вропейските </w:t>
            </w:r>
            <w:r w:rsidR="00016E0B" w:rsidRPr="00425A09">
              <w:rPr>
                <w:rFonts w:eastAsia="Times New Roman" w:cstheme="minorHAnsi"/>
                <w:b/>
                <w:snapToGrid w:val="0"/>
                <w:sz w:val="24"/>
                <w:szCs w:val="24"/>
              </w:rPr>
              <w:t xml:space="preserve">фондовете при </w:t>
            </w:r>
            <w:r w:rsidR="00920C83" w:rsidRPr="00425A09">
              <w:rPr>
                <w:rFonts w:eastAsia="Times New Roman" w:cstheme="minorHAnsi"/>
                <w:b/>
                <w:snapToGrid w:val="0"/>
                <w:sz w:val="24"/>
                <w:szCs w:val="24"/>
              </w:rPr>
              <w:t>споделено управление</w:t>
            </w:r>
          </w:p>
        </w:tc>
      </w:tr>
      <w:tr w:rsidR="00C83BE5" w:rsidRPr="00425A09" w14:paraId="77A0C39C" w14:textId="77777777" w:rsidTr="00F14642">
        <w:tc>
          <w:tcPr>
            <w:tcW w:w="1124" w:type="pct"/>
            <w:shd w:val="clear" w:color="auto" w:fill="D9D9D9"/>
          </w:tcPr>
          <w:p w14:paraId="189156AD" w14:textId="77777777" w:rsidR="00C83BE5" w:rsidRPr="00425A09" w:rsidRDefault="00C83BE5"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ИСУН</w:t>
            </w:r>
          </w:p>
        </w:tc>
        <w:tc>
          <w:tcPr>
            <w:tcW w:w="3876" w:type="pct"/>
            <w:shd w:val="clear" w:color="auto" w:fill="F3F3F3"/>
          </w:tcPr>
          <w:p w14:paraId="1AB6F34E" w14:textId="77777777" w:rsidR="00C83BE5" w:rsidRPr="00425A09" w:rsidRDefault="00C83BE5"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Информационна система за управление и наблюдение</w:t>
            </w:r>
          </w:p>
        </w:tc>
      </w:tr>
      <w:tr w:rsidR="009228BD" w:rsidRPr="00425A09" w14:paraId="7EE1A4B8" w14:textId="77777777" w:rsidTr="00F14642">
        <w:tc>
          <w:tcPr>
            <w:tcW w:w="1124" w:type="pct"/>
            <w:shd w:val="clear" w:color="auto" w:fill="D9D9D9"/>
          </w:tcPr>
          <w:p w14:paraId="6D7D346D" w14:textId="77777777" w:rsidR="009228BD" w:rsidRPr="00425A09" w:rsidRDefault="009228BD"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КЕП</w:t>
            </w:r>
          </w:p>
        </w:tc>
        <w:tc>
          <w:tcPr>
            <w:tcW w:w="3876" w:type="pct"/>
            <w:shd w:val="clear" w:color="auto" w:fill="F3F3F3"/>
          </w:tcPr>
          <w:p w14:paraId="77512411" w14:textId="77777777" w:rsidR="009228BD" w:rsidRPr="00425A09" w:rsidRDefault="009228BD"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Квалифициран електронен подпис</w:t>
            </w:r>
          </w:p>
        </w:tc>
      </w:tr>
      <w:tr w:rsidR="00C1144B" w:rsidRPr="00425A09" w14:paraId="7F679B03" w14:textId="77777777" w:rsidTr="00F14642">
        <w:tc>
          <w:tcPr>
            <w:tcW w:w="1124" w:type="pct"/>
            <w:shd w:val="clear" w:color="auto" w:fill="D9D9D9"/>
          </w:tcPr>
          <w:p w14:paraId="3179337C" w14:textId="77777777" w:rsidR="00C1144B" w:rsidRPr="00425A09" w:rsidRDefault="00C1144B"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КН</w:t>
            </w:r>
          </w:p>
        </w:tc>
        <w:tc>
          <w:tcPr>
            <w:tcW w:w="3876" w:type="pct"/>
            <w:shd w:val="clear" w:color="auto" w:fill="F3F3F3"/>
          </w:tcPr>
          <w:p w14:paraId="11B8F3A4" w14:textId="77777777" w:rsidR="00C1144B" w:rsidRPr="00425A09" w:rsidRDefault="00C1144B"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Комитет за наблюдение</w:t>
            </w:r>
          </w:p>
        </w:tc>
      </w:tr>
      <w:tr w:rsidR="00C1144B" w:rsidRPr="00425A09" w14:paraId="324D04D3" w14:textId="77777777" w:rsidTr="00F14642">
        <w:tc>
          <w:tcPr>
            <w:tcW w:w="1124" w:type="pct"/>
            <w:shd w:val="clear" w:color="auto" w:fill="D9D9D9"/>
          </w:tcPr>
          <w:p w14:paraId="44B2CA62" w14:textId="77777777" w:rsidR="00C1144B" w:rsidRPr="00425A09" w:rsidRDefault="00C1144B"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КИД 2008</w:t>
            </w:r>
          </w:p>
        </w:tc>
        <w:tc>
          <w:tcPr>
            <w:tcW w:w="3876" w:type="pct"/>
            <w:shd w:val="clear" w:color="auto" w:fill="F3F3F3"/>
          </w:tcPr>
          <w:p w14:paraId="1A0AFB07" w14:textId="77777777" w:rsidR="00C1144B" w:rsidRPr="00425A09" w:rsidRDefault="00C1144B"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Класификация на икономическите дейности 2008</w:t>
            </w:r>
          </w:p>
        </w:tc>
      </w:tr>
      <w:tr w:rsidR="00C1144B" w:rsidRPr="00425A09" w14:paraId="6947F9B3" w14:textId="77777777" w:rsidTr="00F14642">
        <w:tc>
          <w:tcPr>
            <w:tcW w:w="1124" w:type="pct"/>
            <w:shd w:val="clear" w:color="auto" w:fill="D9D9D9"/>
          </w:tcPr>
          <w:p w14:paraId="4FBEDEDB" w14:textId="77777777" w:rsidR="00C1144B" w:rsidRPr="00425A09" w:rsidRDefault="00C1144B"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МИ</w:t>
            </w:r>
            <w:r w:rsidR="00920C83" w:rsidRPr="00425A09">
              <w:rPr>
                <w:rFonts w:eastAsia="Times New Roman" w:cstheme="minorHAnsi"/>
                <w:b/>
                <w:snapToGrid w:val="0"/>
                <w:sz w:val="24"/>
                <w:szCs w:val="24"/>
              </w:rPr>
              <w:t>Р</w:t>
            </w:r>
          </w:p>
        </w:tc>
        <w:tc>
          <w:tcPr>
            <w:tcW w:w="3876" w:type="pct"/>
            <w:shd w:val="clear" w:color="auto" w:fill="F3F3F3"/>
          </w:tcPr>
          <w:p w14:paraId="687846FB" w14:textId="77777777" w:rsidR="00C1144B" w:rsidRPr="00425A09" w:rsidRDefault="00C1144B"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 xml:space="preserve">Министерство на </w:t>
            </w:r>
            <w:r w:rsidR="00920C83" w:rsidRPr="00425A09">
              <w:rPr>
                <w:rFonts w:eastAsia="Times New Roman" w:cstheme="minorHAnsi"/>
                <w:b/>
                <w:snapToGrid w:val="0"/>
                <w:sz w:val="24"/>
                <w:szCs w:val="24"/>
              </w:rPr>
              <w:t xml:space="preserve">иновациите и </w:t>
            </w:r>
            <w:r w:rsidR="0035095C" w:rsidRPr="00425A09">
              <w:rPr>
                <w:rFonts w:eastAsia="Times New Roman" w:cstheme="minorHAnsi"/>
                <w:b/>
                <w:snapToGrid w:val="0"/>
                <w:sz w:val="24"/>
                <w:szCs w:val="24"/>
              </w:rPr>
              <w:t>растежа</w:t>
            </w:r>
          </w:p>
        </w:tc>
      </w:tr>
      <w:tr w:rsidR="00C1144B" w:rsidRPr="00425A09" w14:paraId="29B9DCAF" w14:textId="77777777" w:rsidTr="00F14642">
        <w:tc>
          <w:tcPr>
            <w:tcW w:w="1124" w:type="pct"/>
            <w:shd w:val="clear" w:color="auto" w:fill="D9D9D9"/>
          </w:tcPr>
          <w:p w14:paraId="09434529" w14:textId="77777777" w:rsidR="00C1144B" w:rsidRPr="00425A09" w:rsidRDefault="00C1144B"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МС</w:t>
            </w:r>
          </w:p>
        </w:tc>
        <w:tc>
          <w:tcPr>
            <w:tcW w:w="3876" w:type="pct"/>
            <w:shd w:val="clear" w:color="auto" w:fill="F3F3F3"/>
          </w:tcPr>
          <w:p w14:paraId="74C0F668" w14:textId="77777777" w:rsidR="00C1144B" w:rsidRPr="00425A09" w:rsidRDefault="00C1144B"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Министерски съвет</w:t>
            </w:r>
          </w:p>
        </w:tc>
      </w:tr>
      <w:tr w:rsidR="00C1144B" w:rsidRPr="00425A09" w14:paraId="546A7076" w14:textId="77777777" w:rsidTr="00F14642">
        <w:tc>
          <w:tcPr>
            <w:tcW w:w="1124" w:type="pct"/>
            <w:shd w:val="clear" w:color="auto" w:fill="D9D9D9"/>
          </w:tcPr>
          <w:p w14:paraId="5A53E470" w14:textId="77777777" w:rsidR="00C1144B" w:rsidRPr="00425A09" w:rsidRDefault="00C1144B"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МСП</w:t>
            </w:r>
          </w:p>
        </w:tc>
        <w:tc>
          <w:tcPr>
            <w:tcW w:w="3876" w:type="pct"/>
            <w:shd w:val="clear" w:color="auto" w:fill="F3F3F3"/>
          </w:tcPr>
          <w:p w14:paraId="5F6F85BC" w14:textId="77777777" w:rsidR="00C1144B" w:rsidRPr="00425A09" w:rsidRDefault="00C1144B"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Малки и средни предприятия</w:t>
            </w:r>
          </w:p>
        </w:tc>
      </w:tr>
      <w:tr w:rsidR="00C1144B" w:rsidRPr="00425A09" w14:paraId="60EF2BD1" w14:textId="77777777" w:rsidTr="00F14642">
        <w:tc>
          <w:tcPr>
            <w:tcW w:w="1124" w:type="pct"/>
            <w:shd w:val="clear" w:color="auto" w:fill="D9D9D9"/>
          </w:tcPr>
          <w:p w14:paraId="12693FAD" w14:textId="77777777" w:rsidR="00C1144B" w:rsidRPr="00425A09" w:rsidRDefault="00C1144B"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НСИ</w:t>
            </w:r>
          </w:p>
        </w:tc>
        <w:tc>
          <w:tcPr>
            <w:tcW w:w="3876" w:type="pct"/>
            <w:shd w:val="clear" w:color="auto" w:fill="F3F3F3"/>
          </w:tcPr>
          <w:p w14:paraId="6ABC9D65" w14:textId="77777777" w:rsidR="00C1144B" w:rsidRPr="00425A09" w:rsidRDefault="00C1144B"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Национален статистически институт</w:t>
            </w:r>
          </w:p>
        </w:tc>
      </w:tr>
      <w:tr w:rsidR="00C1144B" w:rsidRPr="00425A09" w14:paraId="7B96AEDE" w14:textId="77777777" w:rsidTr="00F14642">
        <w:tc>
          <w:tcPr>
            <w:tcW w:w="1124" w:type="pct"/>
            <w:shd w:val="clear" w:color="auto" w:fill="D9D9D9"/>
          </w:tcPr>
          <w:p w14:paraId="5270E1FE" w14:textId="77777777" w:rsidR="00C1144B" w:rsidRPr="00425A09" w:rsidRDefault="00C1144B" w:rsidP="00C1144B">
            <w:pPr>
              <w:spacing w:before="120" w:after="120" w:line="120" w:lineRule="auto"/>
              <w:ind w:left="288" w:right="288"/>
              <w:rPr>
                <w:rFonts w:eastAsia="Times New Roman" w:cstheme="minorHAnsi"/>
                <w:b/>
                <w:snapToGrid w:val="0"/>
                <w:sz w:val="24"/>
                <w:szCs w:val="24"/>
              </w:rPr>
            </w:pPr>
          </w:p>
        </w:tc>
        <w:tc>
          <w:tcPr>
            <w:tcW w:w="3876" w:type="pct"/>
            <w:shd w:val="clear" w:color="auto" w:fill="F3F3F3"/>
          </w:tcPr>
          <w:p w14:paraId="4F9AAAC9" w14:textId="77777777" w:rsidR="00C1144B" w:rsidRPr="00425A09" w:rsidRDefault="00C1144B" w:rsidP="00C1144B">
            <w:pPr>
              <w:spacing w:before="120" w:after="120" w:line="120" w:lineRule="auto"/>
              <w:ind w:left="288" w:right="288"/>
              <w:rPr>
                <w:rFonts w:eastAsia="Times New Roman" w:cstheme="minorHAnsi"/>
                <w:b/>
                <w:snapToGrid w:val="0"/>
                <w:sz w:val="24"/>
                <w:szCs w:val="24"/>
              </w:rPr>
            </w:pPr>
          </w:p>
        </w:tc>
      </w:tr>
      <w:tr w:rsidR="00734B42" w:rsidRPr="00425A09" w14:paraId="45C26132" w14:textId="77777777" w:rsidTr="00F14642">
        <w:tc>
          <w:tcPr>
            <w:tcW w:w="1124" w:type="pct"/>
            <w:shd w:val="clear" w:color="auto" w:fill="D9D9D9"/>
          </w:tcPr>
          <w:p w14:paraId="5EBF7049" w14:textId="77777777" w:rsidR="00734B42" w:rsidRPr="00425A09" w:rsidRDefault="00920C83"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ПКИП</w:t>
            </w:r>
          </w:p>
        </w:tc>
        <w:tc>
          <w:tcPr>
            <w:tcW w:w="3876" w:type="pct"/>
            <w:shd w:val="clear" w:color="auto" w:fill="F3F3F3"/>
          </w:tcPr>
          <w:p w14:paraId="71438140" w14:textId="77777777" w:rsidR="00734B42" w:rsidRPr="00425A09" w:rsidRDefault="00920C83" w:rsidP="00920C83">
            <w:pPr>
              <w:spacing w:before="120" w:after="120" w:line="24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Програма „Конкурентоспособност и иновации в предприятията“ 2021-2027</w:t>
            </w:r>
          </w:p>
        </w:tc>
      </w:tr>
      <w:tr w:rsidR="00C1144B" w:rsidRPr="00425A09" w14:paraId="6BAA45B0" w14:textId="77777777" w:rsidTr="00F14642">
        <w:tc>
          <w:tcPr>
            <w:tcW w:w="1124" w:type="pct"/>
            <w:shd w:val="clear" w:color="auto" w:fill="D9D9D9"/>
          </w:tcPr>
          <w:p w14:paraId="589077F9" w14:textId="77777777" w:rsidR="00C1144B" w:rsidRPr="00425A09" w:rsidRDefault="00C1144B"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ПМС</w:t>
            </w:r>
          </w:p>
        </w:tc>
        <w:tc>
          <w:tcPr>
            <w:tcW w:w="3876" w:type="pct"/>
            <w:shd w:val="clear" w:color="auto" w:fill="F3F3F3"/>
          </w:tcPr>
          <w:p w14:paraId="3957782E" w14:textId="77777777" w:rsidR="00C1144B" w:rsidRPr="00425A09" w:rsidRDefault="00C1144B"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Постановление на Министерски съвет</w:t>
            </w:r>
          </w:p>
        </w:tc>
      </w:tr>
      <w:tr w:rsidR="00C1144B" w:rsidRPr="00425A09" w14:paraId="104676AE" w14:textId="77777777" w:rsidTr="00F14642">
        <w:tc>
          <w:tcPr>
            <w:tcW w:w="1124" w:type="pct"/>
            <w:shd w:val="clear" w:color="auto" w:fill="D9D9D9"/>
          </w:tcPr>
          <w:p w14:paraId="7E406DFD" w14:textId="77777777" w:rsidR="00C1144B" w:rsidRPr="00425A09" w:rsidRDefault="00C1144B"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СМР</w:t>
            </w:r>
          </w:p>
        </w:tc>
        <w:tc>
          <w:tcPr>
            <w:tcW w:w="3876" w:type="pct"/>
            <w:shd w:val="clear" w:color="auto" w:fill="F3F3F3"/>
          </w:tcPr>
          <w:p w14:paraId="08C88943" w14:textId="77777777" w:rsidR="00C1144B" w:rsidRPr="00425A09" w:rsidRDefault="00C1144B"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Строително-монтажни работи</w:t>
            </w:r>
          </w:p>
        </w:tc>
      </w:tr>
      <w:tr w:rsidR="00C1144B" w:rsidRPr="00425A09" w14:paraId="45B950E9" w14:textId="77777777" w:rsidTr="00F14642">
        <w:tc>
          <w:tcPr>
            <w:tcW w:w="1124" w:type="pct"/>
            <w:shd w:val="clear" w:color="auto" w:fill="D9D9D9"/>
          </w:tcPr>
          <w:p w14:paraId="7A43B28C" w14:textId="77777777" w:rsidR="00C1144B" w:rsidRPr="00425A09" w:rsidRDefault="00C1144B"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УО</w:t>
            </w:r>
          </w:p>
        </w:tc>
        <w:tc>
          <w:tcPr>
            <w:tcW w:w="3876" w:type="pct"/>
            <w:shd w:val="clear" w:color="auto" w:fill="F3F3F3"/>
          </w:tcPr>
          <w:p w14:paraId="12258DB0" w14:textId="77777777" w:rsidR="00C1144B" w:rsidRPr="00425A09" w:rsidRDefault="00C1144B"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Управляващ орган</w:t>
            </w:r>
          </w:p>
        </w:tc>
      </w:tr>
      <w:tr w:rsidR="00413F4A" w:rsidRPr="00425A09" w14:paraId="2FBF55EA" w14:textId="77777777" w:rsidTr="00F14642">
        <w:tc>
          <w:tcPr>
            <w:tcW w:w="1124" w:type="pct"/>
            <w:shd w:val="clear" w:color="auto" w:fill="D9D9D9"/>
          </w:tcPr>
          <w:p w14:paraId="7161C86B" w14:textId="77777777" w:rsidR="00413F4A" w:rsidRPr="00425A09" w:rsidRDefault="00413F4A"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ФК</w:t>
            </w:r>
          </w:p>
        </w:tc>
        <w:tc>
          <w:tcPr>
            <w:tcW w:w="3876" w:type="pct"/>
            <w:shd w:val="clear" w:color="auto" w:fill="F3F3F3"/>
          </w:tcPr>
          <w:p w14:paraId="4F529F8A" w14:textId="77777777" w:rsidR="00413F4A" w:rsidRPr="00425A09" w:rsidRDefault="00413F4A" w:rsidP="00C1144B">
            <w:pPr>
              <w:spacing w:before="120" w:after="120" w:line="120" w:lineRule="auto"/>
              <w:ind w:left="288" w:right="288"/>
              <w:rPr>
                <w:rFonts w:eastAsia="Times New Roman" w:cstheme="minorHAnsi"/>
                <w:b/>
                <w:snapToGrid w:val="0"/>
                <w:sz w:val="24"/>
                <w:szCs w:val="24"/>
              </w:rPr>
            </w:pPr>
            <w:r w:rsidRPr="00425A09">
              <w:rPr>
                <w:rFonts w:eastAsia="Times New Roman" w:cstheme="minorHAnsi"/>
                <w:b/>
                <w:snapToGrid w:val="0"/>
                <w:sz w:val="24"/>
                <w:szCs w:val="24"/>
              </w:rPr>
              <w:t>Формуляр за кандидатстване</w:t>
            </w:r>
          </w:p>
        </w:tc>
      </w:tr>
    </w:tbl>
    <w:p w14:paraId="5A4FB13F" w14:textId="77777777" w:rsidR="00DA3619" w:rsidRPr="00425A09" w:rsidRDefault="00DA3619">
      <w:pPr>
        <w:rPr>
          <w:rFonts w:cstheme="minorHAnsi"/>
          <w:sz w:val="24"/>
          <w:szCs w:val="24"/>
        </w:rPr>
      </w:pPr>
    </w:p>
    <w:p w14:paraId="3E4FA36A" w14:textId="77777777" w:rsidR="00F56BC0" w:rsidRPr="00425A09" w:rsidRDefault="007F4E6D" w:rsidP="00F56BC0">
      <w:pPr>
        <w:spacing w:after="0" w:line="240" w:lineRule="auto"/>
        <w:rPr>
          <w:rFonts w:eastAsia="Times New Roman" w:cstheme="minorHAnsi"/>
          <w:b/>
          <w:snapToGrid w:val="0"/>
          <w:kern w:val="28"/>
          <w:sz w:val="24"/>
          <w:szCs w:val="24"/>
        </w:rPr>
      </w:pPr>
      <w:r w:rsidRPr="00425A09">
        <w:rPr>
          <w:rFonts w:eastAsia="Times New Roman" w:cstheme="minorHAnsi"/>
          <w:b/>
          <w:snapToGrid w:val="0"/>
          <w:kern w:val="28"/>
          <w:sz w:val="24"/>
          <w:szCs w:val="24"/>
          <w:lang w:val="en-US"/>
        </w:rPr>
        <w:t xml:space="preserve">II. </w:t>
      </w:r>
      <w:r w:rsidR="00DF094A" w:rsidRPr="00425A09">
        <w:rPr>
          <w:rFonts w:eastAsia="Times New Roman" w:cstheme="minorHAnsi"/>
          <w:b/>
          <w:snapToGrid w:val="0"/>
          <w:kern w:val="28"/>
          <w:sz w:val="24"/>
          <w:szCs w:val="24"/>
        </w:rPr>
        <w:t>ОСНОВНИ ДЕФИНИЦИИ</w:t>
      </w:r>
    </w:p>
    <w:p w14:paraId="103CF812" w14:textId="77777777" w:rsidR="00E12165" w:rsidRPr="00425A09" w:rsidRDefault="00E12165" w:rsidP="00F56BC0">
      <w:pPr>
        <w:spacing w:after="0" w:line="240" w:lineRule="auto"/>
        <w:rPr>
          <w:rFonts w:eastAsia="Times New Roman" w:cstheme="minorHAnsi"/>
          <w:b/>
          <w:snapToGrid w:val="0"/>
          <w:kern w:val="28"/>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6628"/>
      </w:tblGrid>
      <w:tr w:rsidR="001172F3" w:rsidRPr="00425A09" w14:paraId="539E411D" w14:textId="77777777" w:rsidTr="00ED0D72">
        <w:tc>
          <w:tcPr>
            <w:tcW w:w="2660" w:type="dxa"/>
            <w:shd w:val="clear" w:color="auto" w:fill="E6E6E6"/>
          </w:tcPr>
          <w:p w14:paraId="0E0586DC" w14:textId="77777777" w:rsidR="001172F3" w:rsidRPr="00425A09" w:rsidRDefault="001172F3" w:rsidP="001172F3">
            <w:pPr>
              <w:spacing w:before="100" w:beforeAutospacing="1" w:after="100" w:afterAutospacing="1" w:line="240" w:lineRule="auto"/>
              <w:rPr>
                <w:rFonts w:eastAsia="Times New Roman" w:cstheme="minorHAnsi"/>
                <w:b/>
                <w:snapToGrid w:val="0"/>
                <w:sz w:val="24"/>
                <w:szCs w:val="24"/>
              </w:rPr>
            </w:pPr>
            <w:r w:rsidRPr="00425A09">
              <w:rPr>
                <w:rFonts w:eastAsia="Times New Roman" w:cstheme="minorHAnsi"/>
                <w:b/>
                <w:snapToGrid w:val="0"/>
                <w:sz w:val="24"/>
                <w:szCs w:val="24"/>
              </w:rPr>
              <w:t>Административен договор за безвъзмездна финансова помощ</w:t>
            </w:r>
          </w:p>
        </w:tc>
        <w:tc>
          <w:tcPr>
            <w:tcW w:w="6628" w:type="dxa"/>
            <w:shd w:val="clear" w:color="auto" w:fill="F3F3F3"/>
          </w:tcPr>
          <w:p w14:paraId="051361DE" w14:textId="77777777" w:rsidR="001172F3" w:rsidRPr="00425A09" w:rsidRDefault="001172F3" w:rsidP="001172F3">
            <w:pPr>
              <w:spacing w:before="100" w:beforeAutospacing="1" w:after="100" w:afterAutospacing="1" w:line="240" w:lineRule="auto"/>
              <w:jc w:val="both"/>
              <w:rPr>
                <w:rFonts w:eastAsia="Times New Roman" w:cstheme="minorHAnsi"/>
                <w:snapToGrid w:val="0"/>
                <w:sz w:val="24"/>
                <w:szCs w:val="24"/>
              </w:rPr>
            </w:pPr>
            <w:r w:rsidRPr="00425A09">
              <w:rPr>
                <w:rFonts w:eastAsia="Times New Roman" w:cstheme="minorHAnsi"/>
                <w:snapToGrid w:val="0"/>
                <w:sz w:val="24"/>
                <w:szCs w:val="24"/>
              </w:rPr>
              <w:t xml:space="preserve">Административен договор </w:t>
            </w:r>
            <w:r w:rsidRPr="00425A09">
              <w:rPr>
                <w:rFonts w:eastAsia="Times New Roman" w:cstheme="minorHAnsi"/>
                <w:snapToGrid w:val="0"/>
                <w:sz w:val="24"/>
                <w:szCs w:val="24"/>
                <w:lang w:val="x-none"/>
              </w:rPr>
              <w:t xml:space="preserve">е изрично волеизявление на ръководителя на </w:t>
            </w:r>
            <w:r w:rsidRPr="00425A09">
              <w:rPr>
                <w:rFonts w:eastAsia="Times New Roman" w:cstheme="minorHAnsi"/>
                <w:snapToGrid w:val="0"/>
                <w:sz w:val="24"/>
                <w:szCs w:val="24"/>
              </w:rPr>
              <w:t>У</w:t>
            </w:r>
            <w:proofErr w:type="spellStart"/>
            <w:r w:rsidRPr="00425A09">
              <w:rPr>
                <w:rFonts w:eastAsia="Times New Roman" w:cstheme="minorHAnsi"/>
                <w:snapToGrid w:val="0"/>
                <w:sz w:val="24"/>
                <w:szCs w:val="24"/>
                <w:lang w:val="x-none"/>
              </w:rPr>
              <w:t>правляващия</w:t>
            </w:r>
            <w:proofErr w:type="spellEnd"/>
            <w:r w:rsidRPr="00425A09">
              <w:rPr>
                <w:rFonts w:eastAsia="Times New Roman" w:cstheme="minorHAnsi"/>
                <w:snapToGrid w:val="0"/>
                <w:sz w:val="24"/>
                <w:szCs w:val="24"/>
                <w:lang w:val="x-none"/>
              </w:rPr>
              <w:t xml:space="preserve"> орган за предоставяне на финансова подкрепа със средства от Е</w:t>
            </w:r>
            <w:r w:rsidR="00013B0F" w:rsidRPr="00425A09">
              <w:rPr>
                <w:rFonts w:eastAsia="Times New Roman" w:cstheme="minorHAnsi"/>
                <w:snapToGrid w:val="0"/>
                <w:sz w:val="24"/>
                <w:szCs w:val="24"/>
              </w:rPr>
              <w:t>ФСУ</w:t>
            </w:r>
            <w:r w:rsidRPr="00425A09">
              <w:rPr>
                <w:rFonts w:eastAsia="Times New Roman" w:cstheme="minorHAnsi"/>
                <w:snapToGrid w:val="0"/>
                <w:sz w:val="24"/>
                <w:szCs w:val="24"/>
                <w:lang w:val="x-none"/>
              </w:rPr>
              <w:t xml:space="preserve">,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w:t>
            </w:r>
            <w:r w:rsidRPr="00425A09">
              <w:rPr>
                <w:rFonts w:eastAsia="Times New Roman" w:cstheme="minorHAnsi"/>
                <w:snapToGrid w:val="0"/>
                <w:sz w:val="24"/>
                <w:szCs w:val="24"/>
              </w:rPr>
              <w:t>У</w:t>
            </w:r>
            <w:proofErr w:type="spellStart"/>
            <w:r w:rsidRPr="00425A09">
              <w:rPr>
                <w:rFonts w:eastAsia="Times New Roman" w:cstheme="minorHAnsi"/>
                <w:snapToGrid w:val="0"/>
                <w:sz w:val="24"/>
                <w:szCs w:val="24"/>
                <w:lang w:val="x-none"/>
              </w:rPr>
              <w:t>правляващия</w:t>
            </w:r>
            <w:proofErr w:type="spellEnd"/>
            <w:r w:rsidRPr="00425A09">
              <w:rPr>
                <w:rFonts w:eastAsia="Times New Roman" w:cstheme="minorHAnsi"/>
                <w:snapToGrid w:val="0"/>
                <w:sz w:val="24"/>
                <w:szCs w:val="24"/>
                <w:lang w:val="x-none"/>
              </w:rPr>
              <w:t xml:space="preserve"> орган и бенефициента, заместващо издаването на административен акт.</w:t>
            </w:r>
          </w:p>
        </w:tc>
      </w:tr>
      <w:tr w:rsidR="001172F3" w:rsidRPr="00425A09" w14:paraId="6AD765BE" w14:textId="77777777" w:rsidTr="00ED0D72">
        <w:tc>
          <w:tcPr>
            <w:tcW w:w="2660" w:type="dxa"/>
            <w:shd w:val="clear" w:color="auto" w:fill="E6E6E6"/>
          </w:tcPr>
          <w:p w14:paraId="7934C99A" w14:textId="77777777" w:rsidR="001172F3" w:rsidRPr="00425A09" w:rsidRDefault="001172F3" w:rsidP="001172F3">
            <w:pPr>
              <w:spacing w:before="100" w:beforeAutospacing="1" w:after="100" w:afterAutospacing="1" w:line="240" w:lineRule="auto"/>
              <w:rPr>
                <w:rFonts w:eastAsia="Times New Roman" w:cstheme="minorHAnsi"/>
                <w:b/>
                <w:snapToGrid w:val="0"/>
                <w:sz w:val="24"/>
                <w:szCs w:val="24"/>
              </w:rPr>
            </w:pPr>
            <w:r w:rsidRPr="00425A09">
              <w:rPr>
                <w:rFonts w:eastAsia="Times New Roman" w:cstheme="minorHAnsi"/>
                <w:b/>
                <w:snapToGrid w:val="0"/>
                <w:sz w:val="24"/>
                <w:szCs w:val="24"/>
              </w:rPr>
              <w:t>Безвъзмездна финансова помощ</w:t>
            </w:r>
          </w:p>
        </w:tc>
        <w:tc>
          <w:tcPr>
            <w:tcW w:w="6628" w:type="dxa"/>
            <w:shd w:val="clear" w:color="auto" w:fill="F3F3F3"/>
          </w:tcPr>
          <w:p w14:paraId="79271180" w14:textId="77777777" w:rsidR="001172F3" w:rsidRPr="00425A09" w:rsidRDefault="001172F3" w:rsidP="001172F3">
            <w:pPr>
              <w:spacing w:before="100" w:beforeAutospacing="1" w:after="100" w:afterAutospacing="1" w:line="240" w:lineRule="auto"/>
              <w:jc w:val="both"/>
              <w:rPr>
                <w:rFonts w:eastAsia="Times New Roman" w:cstheme="minorHAnsi"/>
                <w:snapToGrid w:val="0"/>
                <w:sz w:val="24"/>
                <w:szCs w:val="24"/>
              </w:rPr>
            </w:pPr>
            <w:r w:rsidRPr="00425A09">
              <w:rPr>
                <w:rFonts w:eastAsia="Times New Roman" w:cstheme="minorHAnsi"/>
                <w:snapToGrid w:val="0"/>
                <w:sz w:val="24"/>
                <w:szCs w:val="24"/>
              </w:rPr>
              <w:t xml:space="preserve">Средства, предоставени от </w:t>
            </w:r>
            <w:r w:rsidR="00013B0F" w:rsidRPr="00425A09">
              <w:rPr>
                <w:rFonts w:eastAsia="Times New Roman" w:cstheme="minorHAnsi"/>
                <w:snapToGrid w:val="0"/>
                <w:sz w:val="24"/>
                <w:szCs w:val="24"/>
              </w:rPr>
              <w:t>ПКИП</w:t>
            </w:r>
            <w:r w:rsidRPr="00425A09">
              <w:rPr>
                <w:rFonts w:eastAsia="Times New Roman" w:cstheme="minorHAnsi"/>
                <w:snapToGrid w:val="0"/>
                <w:sz w:val="24"/>
                <w:szCs w:val="24"/>
              </w:rPr>
              <w:t>, включително съответното национално съфинансиране, с цел изпълнението на одобрен проект, насочен към постигане на определени резултати</w:t>
            </w:r>
            <w:r w:rsidR="00013B0F" w:rsidRPr="00425A09">
              <w:rPr>
                <w:rFonts w:eastAsia="Times New Roman" w:cstheme="minorHAnsi"/>
                <w:snapToGrid w:val="0"/>
                <w:sz w:val="24"/>
                <w:szCs w:val="24"/>
              </w:rPr>
              <w:t>/цели</w:t>
            </w:r>
            <w:r w:rsidRPr="00425A09">
              <w:rPr>
                <w:rFonts w:eastAsia="Times New Roman" w:cstheme="minorHAnsi"/>
                <w:snapToGrid w:val="0"/>
                <w:sz w:val="24"/>
                <w:szCs w:val="24"/>
              </w:rPr>
              <w:t>.</w:t>
            </w:r>
          </w:p>
        </w:tc>
      </w:tr>
      <w:tr w:rsidR="00F56BC0" w:rsidRPr="00425A09" w14:paraId="599DEB0C" w14:textId="77777777" w:rsidTr="00ED0D72">
        <w:tc>
          <w:tcPr>
            <w:tcW w:w="2660" w:type="dxa"/>
            <w:shd w:val="clear" w:color="auto" w:fill="E6E6E6"/>
          </w:tcPr>
          <w:p w14:paraId="646708CE" w14:textId="77777777" w:rsidR="00F56BC0" w:rsidRPr="00425A09" w:rsidRDefault="00F56BC0" w:rsidP="00021DCF">
            <w:pPr>
              <w:spacing w:before="100" w:beforeAutospacing="1" w:after="100" w:afterAutospacing="1" w:line="240" w:lineRule="auto"/>
              <w:rPr>
                <w:rFonts w:eastAsia="Times New Roman" w:cstheme="minorHAnsi"/>
                <w:b/>
                <w:snapToGrid w:val="0"/>
                <w:sz w:val="24"/>
                <w:szCs w:val="24"/>
              </w:rPr>
            </w:pPr>
            <w:r w:rsidRPr="00425A09">
              <w:rPr>
                <w:rFonts w:eastAsia="Times New Roman" w:cstheme="minorHAnsi"/>
                <w:b/>
                <w:snapToGrid w:val="0"/>
                <w:sz w:val="24"/>
                <w:szCs w:val="24"/>
              </w:rPr>
              <w:t>Бенефициент на безвъзмездна финансова помощ</w:t>
            </w:r>
          </w:p>
        </w:tc>
        <w:tc>
          <w:tcPr>
            <w:tcW w:w="6628" w:type="dxa"/>
            <w:shd w:val="clear" w:color="auto" w:fill="F3F3F3"/>
          </w:tcPr>
          <w:p w14:paraId="4A268874" w14:textId="5D704171" w:rsidR="00333624" w:rsidRPr="00425A09" w:rsidRDefault="00177AF4" w:rsidP="00277725">
            <w:pPr>
              <w:spacing w:before="100" w:beforeAutospacing="1" w:after="100" w:afterAutospacing="1" w:line="240" w:lineRule="auto"/>
              <w:jc w:val="both"/>
              <w:rPr>
                <w:rFonts w:eastAsia="Times New Roman" w:cstheme="minorHAnsi"/>
                <w:snapToGrid w:val="0"/>
                <w:sz w:val="24"/>
                <w:szCs w:val="24"/>
              </w:rPr>
            </w:pPr>
            <w:r w:rsidRPr="00425A09">
              <w:rPr>
                <w:rFonts w:eastAsia="Times New Roman" w:cstheme="minorHAnsi"/>
                <w:snapToGrid w:val="0"/>
                <w:sz w:val="24"/>
                <w:szCs w:val="24"/>
              </w:rPr>
              <w:t xml:space="preserve">Лицата, посочени в чл. 2, пар. </w:t>
            </w:r>
            <w:r w:rsidR="00016E0B" w:rsidRPr="00425A09">
              <w:rPr>
                <w:rFonts w:eastAsia="Times New Roman" w:cstheme="minorHAnsi"/>
                <w:snapToGrid w:val="0"/>
                <w:sz w:val="24"/>
                <w:szCs w:val="24"/>
              </w:rPr>
              <w:t>9</w:t>
            </w:r>
            <w:r w:rsidRPr="00425A09">
              <w:rPr>
                <w:rFonts w:eastAsia="Times New Roman" w:cstheme="minorHAnsi"/>
                <w:snapToGrid w:val="0"/>
                <w:sz w:val="24"/>
                <w:szCs w:val="24"/>
              </w:rPr>
              <w:t xml:space="preserve"> от </w:t>
            </w:r>
            <w:r w:rsidR="00016E0B" w:rsidRPr="00425A09">
              <w:rPr>
                <w:rFonts w:eastAsia="Times New Roman" w:cstheme="minorHAnsi"/>
                <w:snapToGrid w:val="0"/>
                <w:sz w:val="24"/>
                <w:szCs w:val="24"/>
              </w:rPr>
              <w:t>Регламент (ЕС) 2021/1060</w:t>
            </w:r>
            <w:r w:rsidR="00655CC9" w:rsidRPr="00425A09">
              <w:rPr>
                <w:rFonts w:eastAsia="Times New Roman" w:cstheme="minorHAnsi"/>
                <w:snapToGrid w:val="0"/>
                <w:sz w:val="24"/>
                <w:szCs w:val="24"/>
              </w:rPr>
              <w:t xml:space="preserve">, съгласно който </w:t>
            </w:r>
            <w:r w:rsidR="00F56BC0" w:rsidRPr="00425A09">
              <w:rPr>
                <w:rFonts w:eastAsia="Times New Roman" w:cstheme="minorHAnsi"/>
                <w:snapToGrid w:val="0"/>
                <w:sz w:val="24"/>
                <w:szCs w:val="24"/>
              </w:rPr>
              <w:t xml:space="preserve">бенефициентите са </w:t>
            </w:r>
            <w:r w:rsidR="00655CC9" w:rsidRPr="00425A09">
              <w:rPr>
                <w:rFonts w:eastAsia="Times New Roman" w:cstheme="minorHAnsi"/>
                <w:snapToGrid w:val="0"/>
                <w:sz w:val="24"/>
                <w:szCs w:val="24"/>
              </w:rPr>
              <w:t>публични или частни субекти, образувания със или без правосубектност или физически лица, които отговарят за започването на операциите или за започването и изпълнението им.</w:t>
            </w:r>
            <w:r w:rsidR="00277725" w:rsidRPr="00425A09">
              <w:rPr>
                <w:rFonts w:eastAsia="Times New Roman" w:cstheme="minorHAnsi"/>
                <w:snapToGrid w:val="0"/>
                <w:sz w:val="24"/>
                <w:szCs w:val="24"/>
              </w:rPr>
              <w:t xml:space="preserve"> </w:t>
            </w:r>
            <w:r w:rsidR="00F56BC0" w:rsidRPr="00425A09">
              <w:rPr>
                <w:rFonts w:eastAsia="Times New Roman" w:cstheme="minorHAnsi"/>
                <w:snapToGrid w:val="0"/>
                <w:sz w:val="24"/>
                <w:szCs w:val="24"/>
              </w:rPr>
              <w:t xml:space="preserve"> </w:t>
            </w:r>
          </w:p>
          <w:p w14:paraId="5FC9BE7F" w14:textId="505461AD" w:rsidR="00F56BC0" w:rsidRPr="00425A09" w:rsidRDefault="00D64D8A" w:rsidP="00277725">
            <w:pPr>
              <w:spacing w:before="100" w:beforeAutospacing="1" w:after="100" w:afterAutospacing="1" w:line="240" w:lineRule="auto"/>
              <w:jc w:val="both"/>
              <w:rPr>
                <w:rFonts w:eastAsia="Times New Roman" w:cstheme="minorHAnsi"/>
                <w:snapToGrid w:val="0"/>
                <w:sz w:val="24"/>
                <w:szCs w:val="24"/>
              </w:rPr>
            </w:pPr>
            <w:r w:rsidRPr="00425A09">
              <w:rPr>
                <w:rFonts w:eastAsia="Times New Roman" w:cstheme="minorHAnsi"/>
                <w:snapToGrid w:val="0"/>
                <w:sz w:val="24"/>
                <w:szCs w:val="24"/>
              </w:rPr>
              <w:t>За целите на процедурата под б</w:t>
            </w:r>
            <w:r w:rsidR="00277725" w:rsidRPr="00425A09">
              <w:rPr>
                <w:rFonts w:eastAsia="Times New Roman" w:cstheme="minorHAnsi"/>
                <w:snapToGrid w:val="0"/>
                <w:sz w:val="24"/>
                <w:szCs w:val="24"/>
              </w:rPr>
              <w:t xml:space="preserve">енефициент </w:t>
            </w:r>
            <w:r w:rsidRPr="00425A09">
              <w:rPr>
                <w:rFonts w:eastAsia="Times New Roman" w:cstheme="minorHAnsi"/>
                <w:snapToGrid w:val="0"/>
                <w:sz w:val="24"/>
                <w:szCs w:val="24"/>
              </w:rPr>
              <w:t>с</w:t>
            </w:r>
            <w:r w:rsidR="00277725" w:rsidRPr="00425A09">
              <w:rPr>
                <w:rFonts w:eastAsia="Times New Roman" w:cstheme="minorHAnsi"/>
                <w:snapToGrid w:val="0"/>
                <w:sz w:val="24"/>
                <w:szCs w:val="24"/>
              </w:rPr>
              <w:t xml:space="preserve">е </w:t>
            </w:r>
            <w:r w:rsidRPr="00425A09">
              <w:rPr>
                <w:rFonts w:eastAsia="Times New Roman" w:cstheme="minorHAnsi"/>
                <w:snapToGrid w:val="0"/>
                <w:sz w:val="24"/>
                <w:szCs w:val="24"/>
              </w:rPr>
              <w:t xml:space="preserve">разбира </w:t>
            </w:r>
            <w:r w:rsidR="00277725" w:rsidRPr="00425A09">
              <w:rPr>
                <w:rFonts w:eastAsia="Times New Roman" w:cstheme="minorHAnsi"/>
                <w:snapToGrid w:val="0"/>
                <w:sz w:val="24"/>
                <w:szCs w:val="24"/>
              </w:rPr>
              <w:t>предприятието, което получава</w:t>
            </w:r>
            <w:r w:rsidR="00546517" w:rsidRPr="00425A09">
              <w:rPr>
                <w:rFonts w:eastAsia="Times New Roman" w:cstheme="minorHAnsi"/>
                <w:snapToGrid w:val="0"/>
                <w:sz w:val="24"/>
                <w:szCs w:val="24"/>
              </w:rPr>
              <w:t>/разходва</w:t>
            </w:r>
            <w:r w:rsidR="00277725" w:rsidRPr="00425A09">
              <w:rPr>
                <w:rFonts w:eastAsia="Times New Roman" w:cstheme="minorHAnsi"/>
                <w:snapToGrid w:val="0"/>
                <w:sz w:val="24"/>
                <w:szCs w:val="24"/>
              </w:rPr>
              <w:t xml:space="preserve"> помощта </w:t>
            </w:r>
            <w:r w:rsidR="00333624" w:rsidRPr="00425A09">
              <w:rPr>
                <w:rFonts w:eastAsia="Times New Roman" w:cstheme="minorHAnsi"/>
                <w:snapToGrid w:val="0"/>
                <w:sz w:val="24"/>
                <w:szCs w:val="24"/>
              </w:rPr>
              <w:t>(бенефициента-кандидат и когато е приложимо бенефициента-партньор)</w:t>
            </w:r>
          </w:p>
        </w:tc>
      </w:tr>
      <w:tr w:rsidR="006932EA" w:rsidRPr="00425A09" w14:paraId="3B42FFA1" w14:textId="77777777" w:rsidTr="00ED0D72">
        <w:tc>
          <w:tcPr>
            <w:tcW w:w="2660" w:type="dxa"/>
            <w:shd w:val="clear" w:color="auto" w:fill="E6E6E6"/>
          </w:tcPr>
          <w:p w14:paraId="1A4F0E31" w14:textId="77777777" w:rsidR="006932EA" w:rsidRPr="00425A09" w:rsidRDefault="006932EA" w:rsidP="00F14642">
            <w:pPr>
              <w:spacing w:before="100" w:beforeAutospacing="1" w:after="100" w:afterAutospacing="1" w:line="240" w:lineRule="auto"/>
              <w:rPr>
                <w:rFonts w:eastAsia="Times New Roman" w:cstheme="minorHAnsi"/>
                <w:b/>
                <w:snapToGrid w:val="0"/>
                <w:sz w:val="24"/>
                <w:szCs w:val="24"/>
              </w:rPr>
            </w:pPr>
            <w:r w:rsidRPr="00425A09">
              <w:rPr>
                <w:rFonts w:eastAsia="Times New Roman" w:cstheme="minorHAnsi"/>
                <w:b/>
                <w:snapToGrid w:val="0"/>
                <w:sz w:val="24"/>
                <w:szCs w:val="24"/>
              </w:rPr>
              <w:t>Горски продукт</w:t>
            </w:r>
          </w:p>
        </w:tc>
        <w:tc>
          <w:tcPr>
            <w:tcW w:w="6628" w:type="dxa"/>
            <w:shd w:val="clear" w:color="auto" w:fill="F3F3F3"/>
          </w:tcPr>
          <w:p w14:paraId="65E037AE" w14:textId="77777777" w:rsidR="006932EA" w:rsidRPr="00425A09" w:rsidRDefault="006932EA" w:rsidP="00F14642">
            <w:pPr>
              <w:spacing w:line="240" w:lineRule="auto"/>
              <w:jc w:val="both"/>
              <w:rPr>
                <w:rFonts w:eastAsia="Times New Roman" w:cstheme="minorHAnsi"/>
                <w:snapToGrid w:val="0"/>
                <w:sz w:val="24"/>
                <w:szCs w:val="24"/>
              </w:rPr>
            </w:pPr>
            <w:r w:rsidRPr="00425A09">
              <w:rPr>
                <w:rFonts w:eastAsia="Times New Roman" w:cstheme="minorHAnsi"/>
                <w:snapToGrid w:val="0"/>
                <w:sz w:val="24"/>
                <w:szCs w:val="24"/>
              </w:rPr>
              <w:t xml:space="preserve">Дървесина и недървесни горски продукти. „Недървесни горски продукти" са смола, борина, сено, кори, лико, семена, гъби, лечебни и ароматни растения или части от тях, лишеи, мъхове, горски плодове, зеленина, коледни елхи, </w:t>
            </w:r>
            <w:proofErr w:type="spellStart"/>
            <w:r w:rsidRPr="00425A09">
              <w:rPr>
                <w:rFonts w:eastAsia="Times New Roman" w:cstheme="minorHAnsi"/>
                <w:snapToGrid w:val="0"/>
                <w:sz w:val="24"/>
                <w:szCs w:val="24"/>
              </w:rPr>
              <w:t>листников</w:t>
            </w:r>
            <w:proofErr w:type="spellEnd"/>
            <w:r w:rsidRPr="00425A09">
              <w:rPr>
                <w:rFonts w:eastAsia="Times New Roman" w:cstheme="minorHAnsi"/>
                <w:snapToGrid w:val="0"/>
                <w:sz w:val="24"/>
                <w:szCs w:val="24"/>
              </w:rPr>
              <w:t xml:space="preserve"> фураж, животни, които не са дивеч.</w:t>
            </w:r>
          </w:p>
          <w:p w14:paraId="65C4EBCB" w14:textId="77777777" w:rsidR="006932EA" w:rsidRPr="00425A09" w:rsidRDefault="006932EA" w:rsidP="00647A60">
            <w:pPr>
              <w:spacing w:after="240"/>
              <w:jc w:val="both"/>
              <w:rPr>
                <w:rFonts w:eastAsia="Times New Roman" w:cstheme="minorHAnsi"/>
                <w:snapToGrid w:val="0"/>
                <w:sz w:val="24"/>
                <w:szCs w:val="24"/>
              </w:rPr>
            </w:pPr>
            <w:r w:rsidRPr="00425A09">
              <w:rPr>
                <w:rFonts w:eastAsia="Times New Roman" w:cstheme="minorHAnsi"/>
                <w:snapToGrid w:val="0"/>
                <w:sz w:val="24"/>
                <w:szCs w:val="24"/>
              </w:rPr>
              <w:lastRenderedPageBreak/>
              <w:t>Дефиницията включва и продукти от следните производства преди индустриалн</w:t>
            </w:r>
            <w:r w:rsidR="00647A60" w:rsidRPr="00425A09">
              <w:rPr>
                <w:rFonts w:eastAsia="Times New Roman" w:cstheme="minorHAnsi"/>
                <w:snapToGrid w:val="0"/>
                <w:sz w:val="24"/>
                <w:szCs w:val="24"/>
              </w:rPr>
              <w:t>ата преработка на дървесината:</w:t>
            </w:r>
          </w:p>
          <w:p w14:paraId="4E96C5ED" w14:textId="77777777" w:rsidR="006932EA" w:rsidRPr="00425A09" w:rsidRDefault="006932EA" w:rsidP="0048471A">
            <w:pPr>
              <w:numPr>
                <w:ilvl w:val="0"/>
                <w:numId w:val="2"/>
              </w:numPr>
              <w:spacing w:before="240" w:after="0" w:line="240" w:lineRule="auto"/>
              <w:ind w:left="317" w:hanging="317"/>
              <w:jc w:val="both"/>
              <w:rPr>
                <w:rFonts w:eastAsia="Times New Roman" w:cstheme="minorHAnsi"/>
                <w:snapToGrid w:val="0"/>
                <w:sz w:val="24"/>
                <w:szCs w:val="24"/>
              </w:rPr>
            </w:pPr>
            <w:r w:rsidRPr="00425A09">
              <w:rPr>
                <w:rFonts w:eastAsia="Times New Roman" w:cstheme="minorHAnsi"/>
                <w:snapToGrid w:val="0"/>
                <w:sz w:val="24"/>
                <w:szCs w:val="24"/>
              </w:rPr>
              <w:t xml:space="preserve">Машинно обработване на дървен материал чрез бичене, </w:t>
            </w:r>
            <w:proofErr w:type="spellStart"/>
            <w:r w:rsidRPr="00425A09">
              <w:rPr>
                <w:rFonts w:eastAsia="Times New Roman" w:cstheme="minorHAnsi"/>
                <w:snapToGrid w:val="0"/>
                <w:sz w:val="24"/>
                <w:szCs w:val="24"/>
              </w:rPr>
              <w:t>фрезоване</w:t>
            </w:r>
            <w:proofErr w:type="spellEnd"/>
            <w:r w:rsidRPr="00425A09">
              <w:rPr>
                <w:rFonts w:eastAsia="Times New Roman" w:cstheme="minorHAnsi"/>
                <w:snapToGrid w:val="0"/>
                <w:sz w:val="24"/>
                <w:szCs w:val="24"/>
              </w:rPr>
              <w:t xml:space="preserve">, комбинирано или рязане или развиване; </w:t>
            </w:r>
          </w:p>
          <w:p w14:paraId="0934069E" w14:textId="77777777" w:rsidR="006932EA" w:rsidRPr="00425A09"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425A09">
              <w:rPr>
                <w:rFonts w:eastAsia="Times New Roman" w:cstheme="minorHAnsi"/>
                <w:snapToGrid w:val="0"/>
                <w:sz w:val="24"/>
                <w:szCs w:val="24"/>
              </w:rPr>
              <w:t xml:space="preserve">Нарязване, сортиране, рендосване, профилиране, </w:t>
            </w:r>
            <w:proofErr w:type="spellStart"/>
            <w:r w:rsidRPr="00425A09">
              <w:rPr>
                <w:rFonts w:eastAsia="Times New Roman" w:cstheme="minorHAnsi"/>
                <w:snapToGrid w:val="0"/>
                <w:sz w:val="24"/>
                <w:szCs w:val="24"/>
              </w:rPr>
              <w:t>окрайчване</w:t>
            </w:r>
            <w:proofErr w:type="spellEnd"/>
            <w:r w:rsidRPr="00425A09">
              <w:rPr>
                <w:rFonts w:eastAsia="Times New Roman" w:cstheme="minorHAnsi"/>
                <w:snapToGrid w:val="0"/>
                <w:sz w:val="24"/>
                <w:szCs w:val="24"/>
              </w:rPr>
              <w:t xml:space="preserve">, фасониране и шлайфане; </w:t>
            </w:r>
          </w:p>
          <w:p w14:paraId="2BEE95FE" w14:textId="77777777" w:rsidR="006932EA" w:rsidRPr="00425A09"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425A09">
              <w:rPr>
                <w:rFonts w:eastAsia="Times New Roman" w:cstheme="minorHAnsi"/>
                <w:snapToGrid w:val="0"/>
                <w:sz w:val="24"/>
                <w:szCs w:val="24"/>
              </w:rPr>
              <w:t xml:space="preserve">Сушене и импрегниране на дървен материал; </w:t>
            </w:r>
          </w:p>
          <w:p w14:paraId="7AFD0CC2" w14:textId="77777777" w:rsidR="006932EA" w:rsidRPr="00425A09"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425A09">
              <w:rPr>
                <w:rFonts w:eastAsia="Times New Roman" w:cstheme="minorHAnsi"/>
                <w:snapToGrid w:val="0"/>
                <w:sz w:val="24"/>
                <w:szCs w:val="24"/>
              </w:rPr>
              <w:t>Производство</w:t>
            </w:r>
            <w:r w:rsidRPr="00425A09">
              <w:rPr>
                <w:rFonts w:eastAsia="Times New Roman" w:cstheme="minorHAnsi"/>
                <w:i/>
                <w:iCs/>
                <w:sz w:val="24"/>
                <w:szCs w:val="24"/>
              </w:rPr>
              <w:t xml:space="preserve"> </w:t>
            </w:r>
            <w:r w:rsidRPr="00425A09">
              <w:rPr>
                <w:rFonts w:eastAsia="Times New Roman" w:cstheme="minorHAnsi"/>
                <w:snapToGrid w:val="0"/>
                <w:sz w:val="24"/>
                <w:szCs w:val="24"/>
              </w:rPr>
              <w:t xml:space="preserve">на дървесен талаш, дървесно брашно, технологични трески, дървесни </w:t>
            </w:r>
            <w:proofErr w:type="spellStart"/>
            <w:r w:rsidRPr="00425A09">
              <w:rPr>
                <w:rFonts w:eastAsia="Times New Roman" w:cstheme="minorHAnsi"/>
                <w:snapToGrid w:val="0"/>
                <w:sz w:val="24"/>
                <w:szCs w:val="24"/>
              </w:rPr>
              <w:t>пелети</w:t>
            </w:r>
            <w:proofErr w:type="spellEnd"/>
            <w:r w:rsidRPr="00425A09">
              <w:rPr>
                <w:rFonts w:eastAsia="Times New Roman" w:cstheme="minorHAnsi"/>
                <w:snapToGrid w:val="0"/>
                <w:sz w:val="24"/>
                <w:szCs w:val="24"/>
              </w:rPr>
              <w:t xml:space="preserve"> и брикети от необработени дървени материали, вършина и други дървесни отпадъци; </w:t>
            </w:r>
          </w:p>
          <w:p w14:paraId="58DF665C" w14:textId="77777777" w:rsidR="006932EA" w:rsidRPr="00425A09"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425A09">
              <w:rPr>
                <w:rFonts w:eastAsia="Times New Roman" w:cstheme="minorHAnsi"/>
                <w:snapToGrid w:val="0"/>
                <w:sz w:val="24"/>
                <w:szCs w:val="24"/>
              </w:rPr>
              <w:t xml:space="preserve">Производство на колове или колчета: белене, цепене, заостряне, пакетиране; </w:t>
            </w:r>
          </w:p>
          <w:p w14:paraId="0D66C93E" w14:textId="77777777" w:rsidR="006932EA" w:rsidRPr="00425A09" w:rsidRDefault="006932EA" w:rsidP="0048471A">
            <w:pPr>
              <w:numPr>
                <w:ilvl w:val="0"/>
                <w:numId w:val="2"/>
              </w:numPr>
              <w:spacing w:after="0" w:line="240" w:lineRule="auto"/>
              <w:ind w:left="317" w:hanging="317"/>
              <w:jc w:val="both"/>
              <w:rPr>
                <w:rFonts w:eastAsia="Times New Roman" w:cstheme="minorHAnsi"/>
                <w:snapToGrid w:val="0"/>
                <w:sz w:val="24"/>
                <w:szCs w:val="24"/>
                <w:lang w:val="en-US"/>
              </w:rPr>
            </w:pPr>
            <w:r w:rsidRPr="00425A09">
              <w:rPr>
                <w:rFonts w:eastAsia="Times New Roman" w:cstheme="minorHAnsi"/>
                <w:snapToGrid w:val="0"/>
                <w:sz w:val="24"/>
                <w:szCs w:val="24"/>
              </w:rPr>
              <w:t>Производство на дърва за горене: рязане, цепене</w:t>
            </w:r>
            <w:r w:rsidRPr="00425A09">
              <w:rPr>
                <w:rFonts w:eastAsia="Times New Roman" w:cstheme="minorHAnsi"/>
                <w:i/>
                <w:iCs/>
                <w:sz w:val="24"/>
                <w:szCs w:val="24"/>
              </w:rPr>
              <w:t xml:space="preserve">, </w:t>
            </w:r>
            <w:r w:rsidRPr="00425A09">
              <w:rPr>
                <w:rFonts w:eastAsia="Times New Roman" w:cstheme="minorHAnsi"/>
                <w:snapToGrid w:val="0"/>
                <w:sz w:val="24"/>
                <w:szCs w:val="24"/>
              </w:rPr>
              <w:t>пакетиране</w:t>
            </w:r>
            <w:r w:rsidR="00D93460" w:rsidRPr="00425A09">
              <w:rPr>
                <w:rFonts w:eastAsia="Times New Roman" w:cstheme="minorHAnsi"/>
                <w:snapToGrid w:val="0"/>
                <w:sz w:val="24"/>
                <w:szCs w:val="24"/>
                <w:lang w:val="en-US"/>
              </w:rPr>
              <w:t>.</w:t>
            </w:r>
          </w:p>
        </w:tc>
      </w:tr>
      <w:tr w:rsidR="00655AB9" w:rsidRPr="00425A09" w14:paraId="2DF8E618" w14:textId="77777777" w:rsidTr="00ED0D72">
        <w:tc>
          <w:tcPr>
            <w:tcW w:w="2660" w:type="dxa"/>
            <w:shd w:val="clear" w:color="auto" w:fill="E6E6E6"/>
          </w:tcPr>
          <w:p w14:paraId="14558E7F" w14:textId="77777777" w:rsidR="00655AB9" w:rsidRPr="00425A09" w:rsidRDefault="00655AB9" w:rsidP="00021DCF">
            <w:pPr>
              <w:spacing w:before="100" w:beforeAutospacing="1" w:after="100" w:afterAutospacing="1" w:line="240" w:lineRule="auto"/>
              <w:rPr>
                <w:rFonts w:eastAsia="Times New Roman" w:cstheme="minorHAnsi"/>
                <w:b/>
                <w:snapToGrid w:val="0"/>
                <w:sz w:val="24"/>
                <w:szCs w:val="24"/>
              </w:rPr>
            </w:pPr>
            <w:r w:rsidRPr="00425A09">
              <w:rPr>
                <w:rFonts w:eastAsia="Times New Roman" w:cstheme="minorHAnsi"/>
                <w:b/>
                <w:snapToGrid w:val="0"/>
                <w:sz w:val="24"/>
                <w:szCs w:val="24"/>
              </w:rPr>
              <w:lastRenderedPageBreak/>
              <w:t>Група предприятия</w:t>
            </w:r>
          </w:p>
        </w:tc>
        <w:tc>
          <w:tcPr>
            <w:tcW w:w="6628" w:type="dxa"/>
            <w:shd w:val="clear" w:color="auto" w:fill="F3F3F3"/>
          </w:tcPr>
          <w:p w14:paraId="31484ACC" w14:textId="77777777" w:rsidR="00D93460" w:rsidRPr="00425A09" w:rsidRDefault="00655AB9" w:rsidP="00655AB9">
            <w:pPr>
              <w:spacing w:before="100" w:beforeAutospacing="1" w:after="100" w:afterAutospacing="1" w:line="240" w:lineRule="auto"/>
              <w:jc w:val="both"/>
              <w:rPr>
                <w:rFonts w:eastAsia="Times New Roman" w:cstheme="minorHAnsi"/>
                <w:snapToGrid w:val="0"/>
                <w:sz w:val="24"/>
                <w:szCs w:val="24"/>
              </w:rPr>
            </w:pPr>
            <w:r w:rsidRPr="00425A09">
              <w:rPr>
                <w:rFonts w:eastAsia="Times New Roman" w:cstheme="minorHAnsi"/>
                <w:snapToGrid w:val="0"/>
                <w:sz w:val="24"/>
                <w:szCs w:val="24"/>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p w14:paraId="3D6A317A" w14:textId="77777777" w:rsidR="00D93460" w:rsidRPr="00425A09" w:rsidRDefault="00D93460" w:rsidP="00655AB9">
            <w:pPr>
              <w:spacing w:before="100" w:beforeAutospacing="1" w:after="100" w:afterAutospacing="1" w:line="240" w:lineRule="auto"/>
              <w:jc w:val="both"/>
              <w:rPr>
                <w:rFonts w:eastAsia="Times New Roman" w:cstheme="minorHAnsi"/>
                <w:snapToGrid w:val="0"/>
                <w:sz w:val="24"/>
                <w:szCs w:val="24"/>
              </w:rPr>
            </w:pPr>
            <w:r w:rsidRPr="00425A09">
              <w:rPr>
                <w:rFonts w:eastAsia="Times New Roman" w:cstheme="minorHAnsi"/>
                <w:snapToGrid w:val="0"/>
                <w:sz w:val="24"/>
                <w:szCs w:val="24"/>
              </w:rPr>
              <w:t>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tc>
      </w:tr>
      <w:tr w:rsidR="0019069B" w:rsidRPr="00425A09" w14:paraId="329B06DE" w14:textId="77777777" w:rsidTr="00ED0D72">
        <w:tc>
          <w:tcPr>
            <w:tcW w:w="2660" w:type="dxa"/>
            <w:shd w:val="clear" w:color="auto" w:fill="E6E6E6"/>
          </w:tcPr>
          <w:p w14:paraId="409FF937" w14:textId="77777777" w:rsidR="0019069B" w:rsidRPr="00425A09" w:rsidRDefault="0019069B" w:rsidP="00F14642">
            <w:pPr>
              <w:spacing w:before="100" w:beforeAutospacing="1" w:after="100" w:afterAutospacing="1" w:line="240" w:lineRule="auto"/>
              <w:rPr>
                <w:rFonts w:eastAsia="Times New Roman" w:cstheme="minorHAnsi"/>
                <w:b/>
                <w:snapToGrid w:val="0"/>
                <w:sz w:val="24"/>
                <w:szCs w:val="24"/>
              </w:rPr>
            </w:pPr>
            <w:r w:rsidRPr="00425A09">
              <w:rPr>
                <w:rFonts w:eastAsia="Times New Roman" w:cstheme="minorHAnsi"/>
                <w:b/>
                <w:snapToGrid w:val="0"/>
                <w:sz w:val="24"/>
                <w:szCs w:val="24"/>
              </w:rPr>
              <w:t>Дата на започване на работата</w:t>
            </w:r>
          </w:p>
        </w:tc>
        <w:tc>
          <w:tcPr>
            <w:tcW w:w="6628" w:type="dxa"/>
            <w:shd w:val="clear" w:color="auto" w:fill="F3F3F3"/>
          </w:tcPr>
          <w:p w14:paraId="54288C4B" w14:textId="77777777" w:rsidR="0019069B" w:rsidRPr="00425A09" w:rsidRDefault="009944A0" w:rsidP="00D93460">
            <w:pPr>
              <w:spacing w:before="100" w:beforeAutospacing="1" w:after="100" w:afterAutospacing="1" w:line="240" w:lineRule="auto"/>
              <w:jc w:val="both"/>
              <w:rPr>
                <w:rFonts w:eastAsia="Times New Roman" w:cstheme="minorHAnsi"/>
                <w:snapToGrid w:val="0"/>
                <w:sz w:val="24"/>
                <w:szCs w:val="24"/>
              </w:rPr>
            </w:pPr>
            <w:r w:rsidRPr="00425A09">
              <w:rPr>
                <w:rFonts w:eastAsia="Times New Roman" w:cstheme="minorHAnsi"/>
                <w:snapToGrid w:val="0"/>
                <w:sz w:val="24"/>
                <w:szCs w:val="24"/>
              </w:rPr>
              <w:t xml:space="preserve">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w:t>
            </w:r>
          </w:p>
        </w:tc>
      </w:tr>
      <w:tr w:rsidR="0019069B" w:rsidRPr="00425A09" w14:paraId="2AF1E090" w14:textId="77777777" w:rsidTr="00ED0D72">
        <w:tc>
          <w:tcPr>
            <w:tcW w:w="2660" w:type="dxa"/>
            <w:shd w:val="clear" w:color="auto" w:fill="E6E6E6"/>
          </w:tcPr>
          <w:p w14:paraId="00634287" w14:textId="77777777" w:rsidR="0019069B" w:rsidRPr="00425A09" w:rsidRDefault="0019069B" w:rsidP="00F14642">
            <w:pPr>
              <w:spacing w:before="100" w:beforeAutospacing="1" w:after="100" w:afterAutospacing="1" w:line="240" w:lineRule="auto"/>
              <w:rPr>
                <w:rFonts w:eastAsia="Times New Roman" w:cstheme="minorHAnsi"/>
                <w:b/>
                <w:snapToGrid w:val="0"/>
                <w:sz w:val="24"/>
                <w:szCs w:val="24"/>
              </w:rPr>
            </w:pPr>
            <w:r w:rsidRPr="00425A09">
              <w:rPr>
                <w:rFonts w:eastAsia="Times New Roman" w:cstheme="minorHAnsi"/>
                <w:b/>
                <w:snapToGrid w:val="0"/>
                <w:sz w:val="24"/>
                <w:szCs w:val="24"/>
              </w:rPr>
              <w:t>Дейност</w:t>
            </w:r>
          </w:p>
        </w:tc>
        <w:tc>
          <w:tcPr>
            <w:tcW w:w="6628" w:type="dxa"/>
            <w:shd w:val="clear" w:color="auto" w:fill="F3F3F3"/>
          </w:tcPr>
          <w:p w14:paraId="7AFBDA47" w14:textId="77777777" w:rsidR="0019069B" w:rsidRPr="00425A09" w:rsidRDefault="0019069B" w:rsidP="00F14642">
            <w:pPr>
              <w:spacing w:before="100" w:beforeAutospacing="1" w:after="100" w:afterAutospacing="1" w:line="240" w:lineRule="auto"/>
              <w:jc w:val="both"/>
              <w:rPr>
                <w:rFonts w:eastAsia="Times New Roman" w:cstheme="minorHAnsi"/>
                <w:snapToGrid w:val="0"/>
                <w:sz w:val="24"/>
                <w:szCs w:val="24"/>
              </w:rPr>
            </w:pPr>
            <w:r w:rsidRPr="00425A09">
              <w:rPr>
                <w:rFonts w:eastAsia="Times New Roman" w:cstheme="minorHAnsi"/>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301649" w:rsidRPr="00425A09" w14:paraId="0431EC1A" w14:textId="77777777" w:rsidTr="00ED0D72">
        <w:tc>
          <w:tcPr>
            <w:tcW w:w="2660" w:type="dxa"/>
            <w:shd w:val="clear" w:color="auto" w:fill="E6E6E6"/>
          </w:tcPr>
          <w:p w14:paraId="1C40C576" w14:textId="77777777" w:rsidR="00301649" w:rsidRPr="00425A09" w:rsidRDefault="00301649" w:rsidP="001172F3">
            <w:pPr>
              <w:spacing w:before="100" w:beforeAutospacing="1" w:after="100" w:afterAutospacing="1" w:line="240" w:lineRule="auto"/>
              <w:rPr>
                <w:rFonts w:eastAsia="Times New Roman" w:cstheme="minorHAnsi"/>
                <w:b/>
                <w:snapToGrid w:val="0"/>
                <w:sz w:val="24"/>
                <w:szCs w:val="24"/>
              </w:rPr>
            </w:pPr>
            <w:r w:rsidRPr="00425A09">
              <w:rPr>
                <w:rFonts w:eastAsia="Times New Roman" w:cstheme="minorHAnsi"/>
                <w:b/>
                <w:snapToGrid w:val="0"/>
                <w:sz w:val="24"/>
                <w:szCs w:val="24"/>
              </w:rPr>
              <w:lastRenderedPageBreak/>
              <w:t>Едно и също предприятие</w:t>
            </w:r>
          </w:p>
        </w:tc>
        <w:tc>
          <w:tcPr>
            <w:tcW w:w="6628" w:type="dxa"/>
            <w:shd w:val="clear" w:color="auto" w:fill="F3F3F3"/>
          </w:tcPr>
          <w:p w14:paraId="7BE40ED7" w14:textId="5DD58DAC" w:rsidR="00301649" w:rsidRPr="00425A09" w:rsidRDefault="00301649" w:rsidP="001172F3">
            <w:pPr>
              <w:spacing w:before="60" w:after="60" w:line="240" w:lineRule="auto"/>
              <w:jc w:val="both"/>
              <w:rPr>
                <w:rFonts w:eastAsia="Times New Roman" w:cstheme="minorHAnsi"/>
                <w:snapToGrid w:val="0"/>
                <w:sz w:val="24"/>
                <w:szCs w:val="24"/>
              </w:rPr>
            </w:pPr>
            <w:r w:rsidRPr="00425A09">
              <w:rPr>
                <w:rFonts w:eastAsia="Calibri" w:cstheme="minorHAnsi"/>
                <w:bCs/>
                <w:sz w:val="24"/>
                <w:szCs w:val="24"/>
              </w:rPr>
              <w:t xml:space="preserve">Съгласно чл. 2, пар. 2 на Регламент (ЕС) № </w:t>
            </w:r>
            <w:r w:rsidR="00CE3DEC">
              <w:rPr>
                <w:rFonts w:eastAsia="Calibri" w:cstheme="minorHAnsi"/>
                <w:bCs/>
                <w:sz w:val="24"/>
                <w:szCs w:val="24"/>
              </w:rPr>
              <w:t>2023</w:t>
            </w:r>
            <w:r w:rsidRPr="00425A09">
              <w:rPr>
                <w:rFonts w:eastAsia="Calibri" w:cstheme="minorHAnsi"/>
                <w:bCs/>
                <w:sz w:val="24"/>
                <w:szCs w:val="24"/>
              </w:rPr>
              <w:t>/2</w:t>
            </w:r>
            <w:r w:rsidR="00CE3DEC">
              <w:rPr>
                <w:rFonts w:eastAsia="Calibri" w:cstheme="minorHAnsi"/>
                <w:bCs/>
                <w:sz w:val="24"/>
                <w:szCs w:val="24"/>
              </w:rPr>
              <w:t>831</w:t>
            </w:r>
            <w:r w:rsidRPr="00425A09">
              <w:rPr>
                <w:rFonts w:eastAsia="Calibri" w:cstheme="minorHAnsi"/>
                <w:bCs/>
                <w:sz w:val="24"/>
                <w:szCs w:val="24"/>
              </w:rPr>
              <w:t xml:space="preserve"> </w:t>
            </w:r>
            <w:r w:rsidRPr="00425A09">
              <w:rPr>
                <w:rFonts w:eastAsia="Times New Roman" w:cstheme="minorHAnsi"/>
                <w:snapToGrid w:val="0"/>
                <w:sz w:val="24"/>
                <w:szCs w:val="24"/>
              </w:rPr>
              <w:t xml:space="preserve">„едно и също предприятие“ означава всички предприятия, които поддържат помежду си поне един вид от следните взаимоотношения: </w:t>
            </w:r>
          </w:p>
          <w:p w14:paraId="771A392D" w14:textId="77777777" w:rsidR="00301649" w:rsidRPr="00425A09" w:rsidRDefault="00301649" w:rsidP="001172F3">
            <w:pPr>
              <w:spacing w:before="60" w:after="60" w:line="240" w:lineRule="auto"/>
              <w:jc w:val="both"/>
              <w:rPr>
                <w:rFonts w:eastAsia="Times New Roman" w:cstheme="minorHAnsi"/>
                <w:snapToGrid w:val="0"/>
                <w:sz w:val="24"/>
                <w:szCs w:val="24"/>
              </w:rPr>
            </w:pPr>
            <w:r w:rsidRPr="00425A09">
              <w:rPr>
                <w:rFonts w:eastAsia="Times New Roman" w:cstheme="minorHAnsi"/>
                <w:snapToGrid w:val="0"/>
                <w:sz w:val="24"/>
                <w:szCs w:val="24"/>
              </w:rPr>
              <w:t xml:space="preserve">а) дадено предприятие притежава мнозинството от гласовете на акционерите или съдружниците в друго предприятие; </w:t>
            </w:r>
          </w:p>
          <w:p w14:paraId="441062EA" w14:textId="77777777" w:rsidR="00301649" w:rsidRPr="00425A09" w:rsidRDefault="00301649" w:rsidP="001172F3">
            <w:pPr>
              <w:spacing w:before="60" w:after="60" w:line="240" w:lineRule="auto"/>
              <w:jc w:val="both"/>
              <w:rPr>
                <w:rFonts w:eastAsia="Times New Roman" w:cstheme="minorHAnsi"/>
                <w:snapToGrid w:val="0"/>
                <w:sz w:val="24"/>
                <w:szCs w:val="24"/>
              </w:rPr>
            </w:pPr>
            <w:r w:rsidRPr="00425A09">
              <w:rPr>
                <w:rFonts w:eastAsia="Times New Roman" w:cstheme="minorHAnsi"/>
                <w:snapToGrid w:val="0"/>
                <w:sz w:val="24"/>
                <w:szCs w:val="24"/>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14:paraId="43AF96AE" w14:textId="77777777" w:rsidR="00301649" w:rsidRPr="00425A09" w:rsidRDefault="00301649" w:rsidP="001172F3">
            <w:pPr>
              <w:spacing w:before="60" w:after="60" w:line="240" w:lineRule="auto"/>
              <w:jc w:val="both"/>
              <w:rPr>
                <w:rFonts w:eastAsia="Times New Roman" w:cstheme="minorHAnsi"/>
                <w:snapToGrid w:val="0"/>
                <w:sz w:val="24"/>
                <w:szCs w:val="24"/>
              </w:rPr>
            </w:pPr>
            <w:r w:rsidRPr="00425A09">
              <w:rPr>
                <w:rFonts w:eastAsia="Times New Roman" w:cstheme="minorHAnsi"/>
                <w:snapToGrid w:val="0"/>
                <w:sz w:val="24"/>
                <w:szCs w:val="24"/>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14:paraId="42346BB9" w14:textId="77777777" w:rsidR="00301649" w:rsidRPr="00425A09" w:rsidRDefault="00301649" w:rsidP="001172F3">
            <w:pPr>
              <w:spacing w:before="60" w:after="60" w:line="240" w:lineRule="auto"/>
              <w:jc w:val="both"/>
              <w:rPr>
                <w:rFonts w:eastAsia="Times New Roman" w:cstheme="minorHAnsi"/>
                <w:snapToGrid w:val="0"/>
                <w:sz w:val="24"/>
                <w:szCs w:val="24"/>
              </w:rPr>
            </w:pPr>
            <w:r w:rsidRPr="00425A09">
              <w:rPr>
                <w:rFonts w:eastAsia="Times New Roman" w:cstheme="minorHAnsi"/>
                <w:snapToGrid w:val="0"/>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 </w:t>
            </w:r>
          </w:p>
          <w:p w14:paraId="7015823A" w14:textId="77777777" w:rsidR="00301649" w:rsidRPr="00425A09" w:rsidRDefault="00301649" w:rsidP="001172F3">
            <w:pPr>
              <w:spacing w:before="60" w:after="60" w:line="240" w:lineRule="auto"/>
              <w:jc w:val="both"/>
              <w:rPr>
                <w:rFonts w:eastAsia="Times New Roman" w:cstheme="minorHAnsi"/>
                <w:snapToGrid w:val="0"/>
                <w:sz w:val="24"/>
                <w:szCs w:val="24"/>
              </w:rPr>
            </w:pPr>
            <w:r w:rsidRPr="00425A09">
              <w:rPr>
                <w:rFonts w:eastAsia="Times New Roman" w:cstheme="minorHAnsi"/>
                <w:snapToGrid w:val="0"/>
                <w:sz w:val="24"/>
                <w:szCs w:val="24"/>
              </w:rPr>
              <w:t>Предприятия, поддържащи едно от взаимоотношенията по букви а) - г) посредством едно или няколко други предприятия, също се разглеждат като едно и също предприятие.</w:t>
            </w:r>
          </w:p>
        </w:tc>
      </w:tr>
      <w:tr w:rsidR="00950DAB" w:rsidRPr="00425A09" w14:paraId="4194BB85" w14:textId="77777777" w:rsidTr="00ED0D72">
        <w:tc>
          <w:tcPr>
            <w:tcW w:w="2660" w:type="dxa"/>
            <w:shd w:val="clear" w:color="auto" w:fill="E6E6E6"/>
          </w:tcPr>
          <w:p w14:paraId="0A3B4CD5" w14:textId="77777777" w:rsidR="00950DAB" w:rsidRPr="00425A09" w:rsidRDefault="002B03EC" w:rsidP="00ED0A83">
            <w:pPr>
              <w:spacing w:before="100" w:beforeAutospacing="1" w:after="100" w:afterAutospacing="1" w:line="240" w:lineRule="auto"/>
              <w:rPr>
                <w:rFonts w:eastAsia="Times New Roman" w:cstheme="minorHAnsi"/>
                <w:b/>
                <w:snapToGrid w:val="0"/>
                <w:sz w:val="24"/>
                <w:szCs w:val="24"/>
              </w:rPr>
            </w:pPr>
            <w:r w:rsidRPr="00425A09">
              <w:rPr>
                <w:rFonts w:eastAsia="Times New Roman" w:cstheme="minorHAnsi"/>
                <w:b/>
                <w:snapToGrid w:val="0"/>
                <w:sz w:val="24"/>
                <w:szCs w:val="24"/>
              </w:rPr>
              <w:t>Експериментално развитие</w:t>
            </w:r>
          </w:p>
        </w:tc>
        <w:tc>
          <w:tcPr>
            <w:tcW w:w="6628" w:type="dxa"/>
            <w:shd w:val="clear" w:color="auto" w:fill="F3F3F3"/>
          </w:tcPr>
          <w:p w14:paraId="6E1630EC" w14:textId="60642B45" w:rsidR="00893228" w:rsidRPr="00425A09" w:rsidRDefault="00893228" w:rsidP="00893228">
            <w:pPr>
              <w:spacing w:after="0" w:line="240" w:lineRule="auto"/>
              <w:jc w:val="both"/>
              <w:rPr>
                <w:rFonts w:eastAsia="Times New Roman" w:cstheme="minorHAnsi"/>
                <w:snapToGrid w:val="0"/>
                <w:sz w:val="24"/>
                <w:szCs w:val="24"/>
              </w:rPr>
            </w:pPr>
            <w:r w:rsidRPr="00425A09">
              <w:rPr>
                <w:rFonts w:eastAsia="Times New Roman" w:cstheme="minorHAnsi"/>
                <w:snapToGrid w:val="0"/>
                <w:sz w:val="24"/>
                <w:szCs w:val="24"/>
              </w:rPr>
              <w:t xml:space="preserve">„Експериментално развитие“ означава придобиване, съчетаване, оформяне и използване на съществуващи научни, технологични, търговски и други важни знания и умения с цел разработване на нови или усъвършенствани продукти, процеси или услуги, включително цифрови продукти, процеси или услуги във всяка област, технология, промишленост или сектор (включително, но и не само цифрови отрасли и технологии, като например изчисления със суперкомпютър, квантови технологии, </w:t>
            </w:r>
            <w:proofErr w:type="spellStart"/>
            <w:r w:rsidRPr="00425A09">
              <w:rPr>
                <w:rFonts w:eastAsia="Times New Roman" w:cstheme="minorHAnsi"/>
                <w:snapToGrid w:val="0"/>
                <w:sz w:val="24"/>
                <w:szCs w:val="24"/>
              </w:rPr>
              <w:t>блокчейн</w:t>
            </w:r>
            <w:proofErr w:type="spellEnd"/>
            <w:r w:rsidRPr="00425A09">
              <w:rPr>
                <w:rFonts w:eastAsia="Times New Roman" w:cstheme="minorHAnsi"/>
                <w:snapToGrid w:val="0"/>
                <w:sz w:val="24"/>
                <w:szCs w:val="24"/>
              </w:rPr>
              <w:t xml:space="preserve"> технологии, изкуствен интелект, киберсигурност, големи информационни масиви и облачни технологии или технологии за периферни изчисления). Това например може да включва и дейности, имащи за цел задаването на концепция, планирането и документирането на нови продукти, процеси или услуги.</w:t>
            </w:r>
          </w:p>
          <w:p w14:paraId="645FCC96" w14:textId="77777777" w:rsidR="00893228" w:rsidRPr="00425A09" w:rsidRDefault="00893228" w:rsidP="00893228">
            <w:pPr>
              <w:spacing w:after="0" w:line="240" w:lineRule="auto"/>
              <w:jc w:val="both"/>
              <w:rPr>
                <w:rFonts w:eastAsia="Times New Roman" w:cstheme="minorHAnsi"/>
                <w:snapToGrid w:val="0"/>
                <w:sz w:val="24"/>
                <w:szCs w:val="24"/>
              </w:rPr>
            </w:pPr>
            <w:r w:rsidRPr="00425A09">
              <w:rPr>
                <w:rFonts w:eastAsia="Times New Roman" w:cstheme="minorHAnsi"/>
                <w:snapToGrid w:val="0"/>
                <w:sz w:val="24"/>
                <w:szCs w:val="24"/>
              </w:rPr>
              <w:t xml:space="preserve">Експерименталното развитие може да включва разработване на прототипи, демонстрация, разработване на пилотни проекти, изпитване и валидиране на нови или </w:t>
            </w:r>
            <w:r w:rsidRPr="00425A09">
              <w:rPr>
                <w:rFonts w:eastAsia="Times New Roman" w:cstheme="minorHAnsi"/>
                <w:snapToGrid w:val="0"/>
                <w:sz w:val="24"/>
                <w:szCs w:val="24"/>
              </w:rPr>
              <w:lastRenderedPageBreak/>
              <w:t>усъвършенствани продукти, процеси или услуги в среда, която е представителна за оперативните условия в реалния живот, когато главната цел е по-нататъшното техническо подобряване на продукти, процеси или услуги, които не са в окончателния си вид. Това може да включва разработване на търговски използваеми прототипи или пилотни проекти, които са необходими за крайния търговски продукт и чието производство е твърде скъпо, за да бъдат използвани само за демонстрации и валидиране.</w:t>
            </w:r>
          </w:p>
          <w:p w14:paraId="0E006E50" w14:textId="4A388443" w:rsidR="00950DAB" w:rsidRPr="00425A09" w:rsidRDefault="00893228" w:rsidP="00893228">
            <w:pPr>
              <w:spacing w:after="0" w:line="240" w:lineRule="auto"/>
              <w:jc w:val="both"/>
              <w:rPr>
                <w:rFonts w:eastAsia="Times New Roman" w:cstheme="minorHAnsi"/>
                <w:snapToGrid w:val="0"/>
                <w:sz w:val="24"/>
                <w:szCs w:val="24"/>
              </w:rPr>
            </w:pPr>
            <w:r w:rsidRPr="00425A09">
              <w:rPr>
                <w:rFonts w:eastAsia="Times New Roman" w:cstheme="minorHAnsi"/>
                <w:snapToGrid w:val="0"/>
                <w:sz w:val="24"/>
                <w:szCs w:val="24"/>
              </w:rPr>
              <w:t>Експерименталното развитие не включва рутинни и периодични изменения, въвеждани в съществуващи продукти, производствени линии, производствени процеси, услуги или други операции в процес на изпълнение, дори ако тези изменения може да представляват подобрения;</w:t>
            </w:r>
          </w:p>
        </w:tc>
      </w:tr>
      <w:tr w:rsidR="002B03EC" w:rsidRPr="00425A09" w14:paraId="4D838EE3" w14:textId="77777777" w:rsidTr="00ED0D72">
        <w:tc>
          <w:tcPr>
            <w:tcW w:w="2660" w:type="dxa"/>
            <w:shd w:val="clear" w:color="auto" w:fill="E6E6E6"/>
          </w:tcPr>
          <w:p w14:paraId="01EAA999" w14:textId="77777777" w:rsidR="002B03EC" w:rsidRPr="00425A09" w:rsidRDefault="002B03EC" w:rsidP="00ED0A83">
            <w:pPr>
              <w:spacing w:before="100" w:beforeAutospacing="1" w:after="100" w:afterAutospacing="1" w:line="240" w:lineRule="auto"/>
              <w:rPr>
                <w:rFonts w:eastAsia="Times New Roman" w:cstheme="minorHAnsi"/>
                <w:b/>
                <w:snapToGrid w:val="0"/>
                <w:sz w:val="24"/>
                <w:szCs w:val="24"/>
              </w:rPr>
            </w:pPr>
            <w:r w:rsidRPr="00425A09">
              <w:rPr>
                <w:rFonts w:eastAsia="Times New Roman" w:cstheme="minorHAnsi"/>
                <w:b/>
                <w:snapToGrid w:val="0"/>
                <w:sz w:val="24"/>
                <w:szCs w:val="24"/>
              </w:rPr>
              <w:lastRenderedPageBreak/>
              <w:t>Ефективно сътрудничество</w:t>
            </w:r>
          </w:p>
        </w:tc>
        <w:tc>
          <w:tcPr>
            <w:tcW w:w="6628" w:type="dxa"/>
            <w:shd w:val="clear" w:color="auto" w:fill="F3F3F3"/>
          </w:tcPr>
          <w:p w14:paraId="2279029D" w14:textId="77777777" w:rsidR="002B03EC" w:rsidRPr="00425A09" w:rsidRDefault="002B03EC" w:rsidP="002B03EC">
            <w:pPr>
              <w:spacing w:after="0" w:line="240" w:lineRule="auto"/>
              <w:jc w:val="both"/>
              <w:rPr>
                <w:rFonts w:eastAsia="Times New Roman" w:cstheme="minorHAnsi"/>
                <w:snapToGrid w:val="0"/>
                <w:sz w:val="24"/>
                <w:szCs w:val="24"/>
              </w:rPr>
            </w:pPr>
            <w:r w:rsidRPr="00425A09">
              <w:rPr>
                <w:rFonts w:eastAsia="Times New Roman" w:cstheme="minorHAnsi"/>
                <w:snapToGrid w:val="0"/>
                <w:sz w:val="24"/>
                <w:szCs w:val="24"/>
              </w:rPr>
              <w:t>Ефективно сътрудничество означава сътрудничество между най-малко две независими страни за обмен на знания</w:t>
            </w:r>
          </w:p>
          <w:p w14:paraId="17660513" w14:textId="77777777" w:rsidR="002B03EC" w:rsidRPr="00425A09" w:rsidRDefault="002B03EC" w:rsidP="002B03EC">
            <w:pPr>
              <w:spacing w:after="0" w:line="240" w:lineRule="auto"/>
              <w:jc w:val="both"/>
              <w:rPr>
                <w:rFonts w:eastAsia="Times New Roman" w:cstheme="minorHAnsi"/>
                <w:snapToGrid w:val="0"/>
                <w:sz w:val="24"/>
                <w:szCs w:val="24"/>
              </w:rPr>
            </w:pPr>
            <w:r w:rsidRPr="00425A09">
              <w:rPr>
                <w:rFonts w:eastAsia="Times New Roman" w:cstheme="minorHAnsi"/>
                <w:snapToGrid w:val="0"/>
                <w:sz w:val="24"/>
                <w:szCs w:val="24"/>
              </w:rPr>
              <w:t>или технологии или за постигане на обща цел, основана на разделението на труда, при което страните определят</w:t>
            </w:r>
          </w:p>
          <w:p w14:paraId="3FDD71AF" w14:textId="77777777" w:rsidR="002B03EC" w:rsidRPr="00425A09" w:rsidRDefault="002B03EC" w:rsidP="002B03EC">
            <w:pPr>
              <w:spacing w:after="0" w:line="240" w:lineRule="auto"/>
              <w:jc w:val="both"/>
              <w:rPr>
                <w:rFonts w:eastAsia="Times New Roman" w:cstheme="minorHAnsi"/>
                <w:snapToGrid w:val="0"/>
                <w:sz w:val="24"/>
                <w:szCs w:val="24"/>
              </w:rPr>
            </w:pPr>
            <w:r w:rsidRPr="00425A09">
              <w:rPr>
                <w:rFonts w:eastAsia="Times New Roman" w:cstheme="minorHAnsi"/>
                <w:snapToGrid w:val="0"/>
                <w:sz w:val="24"/>
                <w:szCs w:val="24"/>
              </w:rPr>
              <w:t>заедно обхвата на съвместния проект, допринасят за осъществяването му и споделят рисковете и резултатите от</w:t>
            </w:r>
          </w:p>
          <w:p w14:paraId="2D5F20DD" w14:textId="77777777" w:rsidR="002B03EC" w:rsidRPr="00425A09" w:rsidRDefault="002B03EC" w:rsidP="002B03EC">
            <w:pPr>
              <w:spacing w:after="0" w:line="240" w:lineRule="auto"/>
              <w:jc w:val="both"/>
              <w:rPr>
                <w:rFonts w:eastAsia="Times New Roman" w:cstheme="minorHAnsi"/>
                <w:snapToGrid w:val="0"/>
                <w:sz w:val="24"/>
                <w:szCs w:val="24"/>
              </w:rPr>
            </w:pPr>
            <w:r w:rsidRPr="00425A09">
              <w:rPr>
                <w:rFonts w:eastAsia="Times New Roman" w:cstheme="minorHAnsi"/>
                <w:snapToGrid w:val="0"/>
                <w:sz w:val="24"/>
                <w:szCs w:val="24"/>
              </w:rPr>
              <w:t>него. Една или няколко страни могат да поемат пълните разходи по проекта и по този начин да облекчат другите</w:t>
            </w:r>
          </w:p>
          <w:p w14:paraId="357C9368" w14:textId="77777777" w:rsidR="002B03EC" w:rsidRPr="00425A09" w:rsidRDefault="002B03EC" w:rsidP="002B03EC">
            <w:pPr>
              <w:spacing w:after="0" w:line="240" w:lineRule="auto"/>
              <w:jc w:val="both"/>
              <w:rPr>
                <w:rFonts w:eastAsia="Times New Roman" w:cstheme="minorHAnsi"/>
                <w:snapToGrid w:val="0"/>
                <w:sz w:val="24"/>
                <w:szCs w:val="24"/>
              </w:rPr>
            </w:pPr>
            <w:r w:rsidRPr="00425A09">
              <w:rPr>
                <w:rFonts w:eastAsia="Times New Roman" w:cstheme="minorHAnsi"/>
                <w:snapToGrid w:val="0"/>
                <w:sz w:val="24"/>
                <w:szCs w:val="24"/>
              </w:rPr>
              <w:t>страни от финансовите му рискове. Извършването на научни изследвания, възложени по силата на договор, и</w:t>
            </w:r>
          </w:p>
          <w:p w14:paraId="072FBD73" w14:textId="77777777" w:rsidR="002B03EC" w:rsidRPr="00425A09" w:rsidRDefault="002B03EC" w:rsidP="002B03EC">
            <w:pPr>
              <w:spacing w:after="0" w:line="240" w:lineRule="auto"/>
              <w:jc w:val="both"/>
              <w:rPr>
                <w:rFonts w:eastAsia="Times New Roman" w:cstheme="minorHAnsi"/>
                <w:snapToGrid w:val="0"/>
                <w:sz w:val="24"/>
                <w:szCs w:val="24"/>
              </w:rPr>
            </w:pPr>
            <w:r w:rsidRPr="00425A09">
              <w:rPr>
                <w:rFonts w:eastAsia="Times New Roman" w:cstheme="minorHAnsi"/>
                <w:snapToGrid w:val="0"/>
                <w:sz w:val="24"/>
                <w:szCs w:val="24"/>
              </w:rPr>
              <w:t>предоставянето на изследователски услуги не се считат за форми на сътрудничество</w:t>
            </w:r>
            <w:r w:rsidR="00647A60" w:rsidRPr="00425A09">
              <w:rPr>
                <w:rFonts w:eastAsia="Times New Roman" w:cstheme="minorHAnsi"/>
                <w:snapToGrid w:val="0"/>
                <w:sz w:val="24"/>
                <w:szCs w:val="24"/>
              </w:rPr>
              <w:t>.</w:t>
            </w:r>
          </w:p>
        </w:tc>
      </w:tr>
      <w:tr w:rsidR="00207A2E" w:rsidRPr="00425A09" w14:paraId="1601D387" w14:textId="77777777" w:rsidTr="00ED0D72">
        <w:tc>
          <w:tcPr>
            <w:tcW w:w="2660" w:type="dxa"/>
            <w:shd w:val="clear" w:color="auto" w:fill="E6E6E6"/>
          </w:tcPr>
          <w:p w14:paraId="4B0D7773" w14:textId="77777777" w:rsidR="00207A2E" w:rsidRPr="00425A09" w:rsidRDefault="00207A2E" w:rsidP="00021DCF">
            <w:pPr>
              <w:spacing w:before="100" w:beforeAutospacing="1" w:after="100" w:afterAutospacing="1" w:line="240" w:lineRule="auto"/>
              <w:rPr>
                <w:rFonts w:eastAsia="Times New Roman" w:cstheme="minorHAnsi"/>
                <w:b/>
                <w:snapToGrid w:val="0"/>
                <w:sz w:val="24"/>
                <w:szCs w:val="24"/>
              </w:rPr>
            </w:pPr>
            <w:r w:rsidRPr="00425A09">
              <w:rPr>
                <w:rFonts w:eastAsia="Times New Roman" w:cstheme="minorHAnsi"/>
                <w:b/>
                <w:snapToGrid w:val="0"/>
                <w:sz w:val="24"/>
                <w:szCs w:val="24"/>
              </w:rPr>
              <w:t xml:space="preserve">Изпълнител, определен от страна на бенефициента </w:t>
            </w:r>
          </w:p>
        </w:tc>
        <w:tc>
          <w:tcPr>
            <w:tcW w:w="6628" w:type="dxa"/>
            <w:shd w:val="clear" w:color="auto" w:fill="F3F3F3"/>
          </w:tcPr>
          <w:p w14:paraId="5EAC6093" w14:textId="50340915" w:rsidR="00207A2E" w:rsidRPr="00425A09" w:rsidRDefault="00207A2E" w:rsidP="00920C83">
            <w:pPr>
              <w:spacing w:before="100" w:beforeAutospacing="1" w:after="100" w:afterAutospacing="1" w:line="240" w:lineRule="auto"/>
              <w:jc w:val="both"/>
              <w:rPr>
                <w:rFonts w:eastAsia="Times New Roman" w:cstheme="minorHAnsi"/>
                <w:snapToGrid w:val="0"/>
                <w:sz w:val="24"/>
                <w:szCs w:val="24"/>
              </w:rPr>
            </w:pPr>
            <w:r w:rsidRPr="00425A09">
              <w:rPr>
                <w:rFonts w:eastAsia="Times New Roman" w:cstheme="minorHAnsi"/>
                <w:snapToGrid w:val="0"/>
                <w:sz w:val="24"/>
                <w:szCs w:val="24"/>
              </w:rPr>
              <w:t>Изпълнители на дейности по проекта, възложени им от бенефициентите на безвъзмездна финансова помощ.</w:t>
            </w:r>
            <w:r w:rsidR="00045584" w:rsidRPr="00425A09">
              <w:rPr>
                <w:rFonts w:eastAsia="Times New Roman" w:cstheme="minorHAnsi"/>
                <w:snapToGrid w:val="0"/>
                <w:sz w:val="24"/>
                <w:szCs w:val="24"/>
              </w:rPr>
              <w:t xml:space="preserve"> </w:t>
            </w:r>
            <w:r w:rsidR="00D31E18" w:rsidRPr="00425A09">
              <w:rPr>
                <w:rFonts w:eastAsia="Times New Roman" w:cstheme="minorHAnsi"/>
                <w:snapToGrid w:val="0"/>
                <w:sz w:val="24"/>
                <w:szCs w:val="24"/>
              </w:rPr>
              <w:t>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w:t>
            </w:r>
            <w:r w:rsidR="008A6036" w:rsidRPr="00425A09">
              <w:rPr>
                <w:rFonts w:eastAsia="Times New Roman" w:cstheme="minorHAnsi"/>
                <w:snapToGrid w:val="0"/>
                <w:sz w:val="24"/>
                <w:szCs w:val="24"/>
              </w:rPr>
              <w:t>ФСУ</w:t>
            </w:r>
            <w:r w:rsidR="00D31E18" w:rsidRPr="00425A09">
              <w:rPr>
                <w:rFonts w:eastAsia="Times New Roman" w:cstheme="minorHAnsi"/>
                <w:snapToGrid w:val="0"/>
                <w:sz w:val="24"/>
                <w:szCs w:val="24"/>
              </w:rPr>
              <w:t xml:space="preserve">,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w:t>
            </w:r>
            <w:r w:rsidR="00920C83" w:rsidRPr="00425A09">
              <w:rPr>
                <w:rFonts w:eastAsia="Times New Roman" w:cstheme="minorHAnsi"/>
                <w:snapToGrid w:val="0"/>
                <w:sz w:val="24"/>
                <w:szCs w:val="24"/>
              </w:rPr>
              <w:t>ПКИП</w:t>
            </w:r>
            <w:r w:rsidR="00D31E18" w:rsidRPr="00425A09">
              <w:rPr>
                <w:rFonts w:eastAsia="Times New Roman" w:cstheme="minorHAnsi"/>
                <w:snapToGrid w:val="0"/>
                <w:sz w:val="24"/>
                <w:szCs w:val="24"/>
              </w:rPr>
              <w:t>.</w:t>
            </w:r>
          </w:p>
        </w:tc>
      </w:tr>
      <w:tr w:rsidR="00B53955" w:rsidRPr="00425A09" w14:paraId="58D19376" w14:textId="77777777" w:rsidTr="00ED0D72">
        <w:tc>
          <w:tcPr>
            <w:tcW w:w="2660" w:type="dxa"/>
            <w:shd w:val="clear" w:color="auto" w:fill="E6E6E6"/>
          </w:tcPr>
          <w:p w14:paraId="068FCBA7" w14:textId="033737C8" w:rsidR="00B53955" w:rsidRPr="00425A09" w:rsidRDefault="00B53955" w:rsidP="00021DCF">
            <w:pPr>
              <w:spacing w:before="100" w:beforeAutospacing="1" w:after="100" w:afterAutospacing="1" w:line="240" w:lineRule="auto"/>
              <w:rPr>
                <w:rFonts w:eastAsia="Times New Roman" w:cstheme="minorHAnsi"/>
                <w:b/>
                <w:snapToGrid w:val="0"/>
                <w:sz w:val="24"/>
                <w:szCs w:val="24"/>
              </w:rPr>
            </w:pPr>
            <w:r w:rsidRPr="00425A09">
              <w:rPr>
                <w:rFonts w:eastAsia="Times New Roman" w:cstheme="minorHAnsi"/>
                <w:b/>
                <w:snapToGrid w:val="0"/>
                <w:sz w:val="24"/>
                <w:szCs w:val="24"/>
              </w:rPr>
              <w:t>Изследователи</w:t>
            </w:r>
          </w:p>
        </w:tc>
        <w:tc>
          <w:tcPr>
            <w:tcW w:w="6628" w:type="dxa"/>
            <w:shd w:val="clear" w:color="auto" w:fill="F3F3F3"/>
          </w:tcPr>
          <w:p w14:paraId="55848AE7" w14:textId="61486B6B" w:rsidR="00B53955" w:rsidRPr="00425A09" w:rsidRDefault="00B53955" w:rsidP="00033801">
            <w:pPr>
              <w:spacing w:before="100" w:beforeAutospacing="1" w:after="100" w:afterAutospacing="1" w:line="240" w:lineRule="auto"/>
              <w:jc w:val="both"/>
              <w:rPr>
                <w:rFonts w:eastAsia="Times New Roman" w:cstheme="minorHAnsi"/>
                <w:snapToGrid w:val="0"/>
                <w:sz w:val="24"/>
                <w:szCs w:val="24"/>
              </w:rPr>
            </w:pPr>
            <w:r w:rsidRPr="00425A09">
              <w:rPr>
                <w:rFonts w:eastAsia="Times New Roman" w:cstheme="minorHAnsi"/>
                <w:snapToGrid w:val="0"/>
                <w:sz w:val="24"/>
                <w:szCs w:val="24"/>
              </w:rPr>
              <w:t>За целите на настоящата процедура под „изследователи“ се разбира</w:t>
            </w:r>
            <w:r w:rsidR="00033801">
              <w:rPr>
                <w:rFonts w:eastAsia="Times New Roman" w:cstheme="minorHAnsi"/>
                <w:snapToGrid w:val="0"/>
                <w:sz w:val="24"/>
                <w:szCs w:val="24"/>
              </w:rPr>
              <w:t xml:space="preserve"> </w:t>
            </w:r>
            <w:r w:rsidR="00033801" w:rsidRPr="00033801">
              <w:rPr>
                <w:rFonts w:eastAsia="Times New Roman" w:cstheme="minorHAnsi"/>
                <w:snapToGrid w:val="0"/>
                <w:sz w:val="24"/>
                <w:szCs w:val="24"/>
              </w:rPr>
              <w:t xml:space="preserve">специалисти, наети за осъществяването на НИРД и други дейности във връзка с разработването и/или създаването на нови знания, продукти, услуги, процеси, способи, методи, системи и пр. Изследователският персонал включва хабилитирани лица съгласно § 1, т. 18 от </w:t>
            </w:r>
            <w:r w:rsidR="00033801" w:rsidRPr="00033801">
              <w:rPr>
                <w:rFonts w:eastAsia="Times New Roman" w:cstheme="minorHAnsi"/>
                <w:snapToGrid w:val="0"/>
                <w:sz w:val="24"/>
                <w:szCs w:val="24"/>
              </w:rPr>
              <w:lastRenderedPageBreak/>
              <w:t>Допълнителните разпоредби на Закона за развитието на академичния състав в Република България, изследователи, които притежават образователна и научна степен „доктор“, докторанти - учени, които са в процес на придобиване на образователна и научна степен „доктор“.</w:t>
            </w:r>
          </w:p>
        </w:tc>
      </w:tr>
      <w:tr w:rsidR="0057352F" w:rsidRPr="00425A09" w14:paraId="7604E348" w14:textId="77777777" w:rsidTr="00ED0D72">
        <w:tc>
          <w:tcPr>
            <w:tcW w:w="2660" w:type="dxa"/>
            <w:shd w:val="clear" w:color="auto" w:fill="E6E6E6"/>
          </w:tcPr>
          <w:p w14:paraId="5F1C99A3" w14:textId="77777777" w:rsidR="0057352F" w:rsidRPr="00425A09" w:rsidRDefault="0057352F" w:rsidP="00021DCF">
            <w:pPr>
              <w:spacing w:before="100" w:beforeAutospacing="1" w:after="100" w:afterAutospacing="1" w:line="240" w:lineRule="auto"/>
              <w:rPr>
                <w:rFonts w:eastAsia="Times New Roman" w:cstheme="minorHAnsi"/>
                <w:b/>
                <w:snapToGrid w:val="0"/>
                <w:sz w:val="24"/>
                <w:szCs w:val="24"/>
              </w:rPr>
            </w:pPr>
            <w:r w:rsidRPr="00425A09">
              <w:rPr>
                <w:rFonts w:eastAsia="Times New Roman" w:cstheme="minorHAnsi"/>
                <w:b/>
                <w:snapToGrid w:val="0"/>
                <w:sz w:val="24"/>
                <w:szCs w:val="24"/>
              </w:rPr>
              <w:lastRenderedPageBreak/>
              <w:t>Индустриални научни изследвания</w:t>
            </w:r>
          </w:p>
        </w:tc>
        <w:tc>
          <w:tcPr>
            <w:tcW w:w="6628" w:type="dxa"/>
            <w:shd w:val="clear" w:color="auto" w:fill="F3F3F3"/>
          </w:tcPr>
          <w:p w14:paraId="33D2CDED" w14:textId="56E12737" w:rsidR="00893228" w:rsidRPr="00425A09" w:rsidRDefault="00893228" w:rsidP="00893228">
            <w:pPr>
              <w:spacing w:before="100" w:beforeAutospacing="1" w:after="100" w:afterAutospacing="1" w:line="240" w:lineRule="auto"/>
              <w:jc w:val="both"/>
              <w:rPr>
                <w:rFonts w:eastAsia="Times New Roman" w:cstheme="minorHAnsi"/>
                <w:snapToGrid w:val="0"/>
                <w:sz w:val="24"/>
                <w:szCs w:val="24"/>
              </w:rPr>
            </w:pPr>
            <w:r w:rsidRPr="00425A09">
              <w:rPr>
                <w:rFonts w:eastAsia="Times New Roman" w:cstheme="minorHAnsi"/>
                <w:snapToGrid w:val="0"/>
                <w:sz w:val="24"/>
                <w:szCs w:val="24"/>
              </w:rPr>
              <w:t xml:space="preserve">„Индустриални научни изследвания“ означава планирани научни изследвания или проучвания от изключително значение, предназначени за придобиването на нови знания и умения за разработване на нови продукти, процеси или услуги или насочени към постигане на съществени подобрения на съществуващи продукти, процеси или услуги, включително цифрови продукти, процеси или услуги, във всяка област, технология, промишленост или сектор (включително, но и не само цифрови отрасли и технологии, като например изчисления със суперкомпютър, квантови технологии, </w:t>
            </w:r>
            <w:proofErr w:type="spellStart"/>
            <w:r w:rsidRPr="00425A09">
              <w:rPr>
                <w:rFonts w:eastAsia="Times New Roman" w:cstheme="minorHAnsi"/>
                <w:snapToGrid w:val="0"/>
                <w:sz w:val="24"/>
                <w:szCs w:val="24"/>
              </w:rPr>
              <w:t>блокчейн</w:t>
            </w:r>
            <w:proofErr w:type="spellEnd"/>
            <w:r w:rsidRPr="00425A09">
              <w:rPr>
                <w:rFonts w:eastAsia="Times New Roman" w:cstheme="minorHAnsi"/>
                <w:snapToGrid w:val="0"/>
                <w:sz w:val="24"/>
                <w:szCs w:val="24"/>
              </w:rPr>
              <w:t xml:space="preserve"> технологии, изкуствен интелект, киберсигурност, големи информационни масиви и облачни технологии). </w:t>
            </w:r>
          </w:p>
          <w:p w14:paraId="673EF9E0" w14:textId="3932DA76" w:rsidR="0057352F" w:rsidRPr="00425A09" w:rsidRDefault="00893228" w:rsidP="00893228">
            <w:pPr>
              <w:spacing w:before="100" w:beforeAutospacing="1" w:after="100" w:afterAutospacing="1" w:line="240" w:lineRule="auto"/>
              <w:jc w:val="both"/>
              <w:rPr>
                <w:rFonts w:eastAsia="Times New Roman" w:cstheme="minorHAnsi"/>
                <w:snapToGrid w:val="0"/>
                <w:sz w:val="24"/>
                <w:szCs w:val="24"/>
              </w:rPr>
            </w:pPr>
            <w:r w:rsidRPr="00425A09">
              <w:rPr>
                <w:rFonts w:eastAsia="Times New Roman" w:cstheme="minorHAnsi"/>
                <w:snapToGrid w:val="0"/>
                <w:sz w:val="24"/>
                <w:szCs w:val="24"/>
              </w:rPr>
              <w:t>Индустриалните научни изследвания обхващат създаването на компоненти на сложни системи и може да включват конструирането на прототипи в лабораторна среда или среда със симулирани интерфейси към съществуващи системи, както и създаването на пилотни линии, когато това е необходимо за индустриалните научни изследвания, по-специално за валидирането на технологии с широко приложение;</w:t>
            </w:r>
          </w:p>
        </w:tc>
      </w:tr>
      <w:tr w:rsidR="00363FB2" w:rsidRPr="00425A09" w14:paraId="41F07FAC" w14:textId="77777777" w:rsidTr="00ED0D72">
        <w:tc>
          <w:tcPr>
            <w:tcW w:w="2660" w:type="dxa"/>
            <w:shd w:val="clear" w:color="auto" w:fill="E6E6E6"/>
          </w:tcPr>
          <w:p w14:paraId="34904A5A" w14:textId="77777777" w:rsidR="00363FB2" w:rsidRPr="00425A09" w:rsidRDefault="00363FB2" w:rsidP="00021DCF">
            <w:pPr>
              <w:spacing w:before="100" w:beforeAutospacing="1" w:after="100" w:afterAutospacing="1" w:line="240" w:lineRule="auto"/>
              <w:rPr>
                <w:rFonts w:eastAsia="Times New Roman" w:cstheme="minorHAnsi"/>
                <w:b/>
                <w:snapToGrid w:val="0"/>
                <w:sz w:val="24"/>
                <w:szCs w:val="24"/>
              </w:rPr>
            </w:pPr>
            <w:r w:rsidRPr="00425A09">
              <w:rPr>
                <w:rFonts w:eastAsia="Times New Roman" w:cstheme="minorHAnsi"/>
                <w:b/>
                <w:snapToGrid w:val="0"/>
                <w:sz w:val="24"/>
                <w:szCs w:val="24"/>
              </w:rPr>
              <w:t>Иновация</w:t>
            </w:r>
          </w:p>
        </w:tc>
        <w:tc>
          <w:tcPr>
            <w:tcW w:w="6628" w:type="dxa"/>
            <w:shd w:val="clear" w:color="auto" w:fill="F3F3F3"/>
          </w:tcPr>
          <w:p w14:paraId="1E8128A7" w14:textId="77777777" w:rsidR="004802B5" w:rsidRPr="00425A09" w:rsidRDefault="004802B5" w:rsidP="004802B5">
            <w:pPr>
              <w:spacing w:before="100" w:beforeAutospacing="1" w:after="100" w:afterAutospacing="1" w:line="240" w:lineRule="auto"/>
              <w:jc w:val="both"/>
              <w:rPr>
                <w:rFonts w:eastAsia="Times New Roman" w:cstheme="minorHAnsi"/>
                <w:snapToGrid w:val="0"/>
                <w:sz w:val="24"/>
                <w:szCs w:val="24"/>
              </w:rPr>
            </w:pPr>
            <w:r w:rsidRPr="00425A09">
              <w:rPr>
                <w:rFonts w:eastAsia="Times New Roman" w:cstheme="minorHAnsi"/>
                <w:snapToGrid w:val="0"/>
                <w:sz w:val="24"/>
                <w:szCs w:val="24"/>
              </w:rPr>
              <w:t xml:space="preserve">За целите на настоящата процедура, базирайки се на дефинициите от  </w:t>
            </w:r>
            <w:r w:rsidR="002A0B0D" w:rsidRPr="00425A09">
              <w:rPr>
                <w:rFonts w:eastAsia="Times New Roman" w:cstheme="minorHAnsi"/>
                <w:snapToGrid w:val="0"/>
                <w:sz w:val="24"/>
                <w:szCs w:val="24"/>
              </w:rPr>
              <w:t>Наръчника от Осло (</w:t>
            </w:r>
            <w:proofErr w:type="spellStart"/>
            <w:r w:rsidR="002A0B0D" w:rsidRPr="00425A09">
              <w:rPr>
                <w:rFonts w:eastAsia="Times New Roman" w:cstheme="minorHAnsi"/>
                <w:b/>
                <w:snapToGrid w:val="0"/>
                <w:sz w:val="24"/>
                <w:szCs w:val="24"/>
              </w:rPr>
              <w:t>Oslo</w:t>
            </w:r>
            <w:proofErr w:type="spellEnd"/>
            <w:r w:rsidR="002A0B0D" w:rsidRPr="00425A09">
              <w:rPr>
                <w:rFonts w:eastAsia="Times New Roman" w:cstheme="minorHAnsi"/>
                <w:b/>
                <w:snapToGrid w:val="0"/>
                <w:sz w:val="24"/>
                <w:szCs w:val="24"/>
              </w:rPr>
              <w:t xml:space="preserve"> </w:t>
            </w:r>
            <w:proofErr w:type="spellStart"/>
            <w:r w:rsidR="002A0B0D" w:rsidRPr="00425A09">
              <w:rPr>
                <w:rFonts w:eastAsia="Times New Roman" w:cstheme="minorHAnsi"/>
                <w:b/>
                <w:snapToGrid w:val="0"/>
                <w:sz w:val="24"/>
                <w:szCs w:val="24"/>
              </w:rPr>
              <w:t>Manual</w:t>
            </w:r>
            <w:proofErr w:type="spellEnd"/>
            <w:r w:rsidR="002A0B0D" w:rsidRPr="00425A09">
              <w:rPr>
                <w:rFonts w:eastAsia="Times New Roman" w:cstheme="minorHAnsi"/>
                <w:b/>
                <w:snapToGrid w:val="0"/>
                <w:sz w:val="24"/>
                <w:szCs w:val="24"/>
              </w:rPr>
              <w:t xml:space="preserve"> 2018, 4th </w:t>
            </w:r>
            <w:proofErr w:type="spellStart"/>
            <w:r w:rsidR="002A0B0D" w:rsidRPr="00425A09">
              <w:rPr>
                <w:rFonts w:eastAsia="Times New Roman" w:cstheme="minorHAnsi"/>
                <w:b/>
                <w:snapToGrid w:val="0"/>
                <w:sz w:val="24"/>
                <w:szCs w:val="24"/>
              </w:rPr>
              <w:t>Edition</w:t>
            </w:r>
            <w:proofErr w:type="spellEnd"/>
            <w:r w:rsidR="002A0B0D" w:rsidRPr="00425A09">
              <w:rPr>
                <w:rFonts w:eastAsia="Times New Roman" w:cstheme="minorHAnsi"/>
                <w:snapToGrid w:val="0"/>
                <w:sz w:val="24"/>
                <w:szCs w:val="24"/>
              </w:rPr>
              <w:t xml:space="preserve"> © OECD/EUROPEAN COMMUNITIES 2018)</w:t>
            </w:r>
            <w:r w:rsidRPr="00425A09">
              <w:rPr>
                <w:rFonts w:eastAsia="Times New Roman" w:cstheme="minorHAnsi"/>
                <w:snapToGrid w:val="0"/>
                <w:sz w:val="24"/>
                <w:szCs w:val="24"/>
              </w:rPr>
              <w:t xml:space="preserve">, за иновация следва да се приема: </w:t>
            </w:r>
          </w:p>
          <w:p w14:paraId="5C014CDB" w14:textId="0475779C" w:rsidR="00363FB2" w:rsidRPr="00425A09" w:rsidRDefault="004802B5" w:rsidP="004802B5">
            <w:pPr>
              <w:spacing w:before="100" w:beforeAutospacing="1" w:after="100" w:afterAutospacing="1" w:line="240" w:lineRule="auto"/>
              <w:jc w:val="both"/>
              <w:rPr>
                <w:rFonts w:eastAsia="Times New Roman" w:cstheme="minorHAnsi"/>
                <w:snapToGrid w:val="0"/>
                <w:sz w:val="24"/>
                <w:szCs w:val="24"/>
              </w:rPr>
            </w:pPr>
            <w:r w:rsidRPr="00425A09">
              <w:rPr>
                <w:rFonts w:eastAsia="Times New Roman" w:cstheme="minorHAnsi"/>
                <w:snapToGrid w:val="0"/>
                <w:sz w:val="24"/>
                <w:szCs w:val="24"/>
              </w:rPr>
              <w:t>„</w:t>
            </w:r>
            <w:r w:rsidR="002A0B0D" w:rsidRPr="00425A09">
              <w:rPr>
                <w:rFonts w:eastAsia="Times New Roman" w:cstheme="minorHAnsi"/>
                <w:snapToGrid w:val="0"/>
                <w:sz w:val="24"/>
                <w:szCs w:val="24"/>
              </w:rPr>
              <w:t>нов или подобрен продукт или процес</w:t>
            </w:r>
            <w:r w:rsidR="002A0B0D" w:rsidRPr="00425A09">
              <w:rPr>
                <w:rFonts w:eastAsia="Times New Roman" w:cstheme="minorHAnsi"/>
                <w:snapToGrid w:val="0"/>
                <w:sz w:val="24"/>
                <w:szCs w:val="24"/>
                <w:lang w:val="en-US"/>
              </w:rPr>
              <w:t xml:space="preserve"> (</w:t>
            </w:r>
            <w:r w:rsidR="002A0B0D" w:rsidRPr="00425A09">
              <w:rPr>
                <w:rFonts w:eastAsia="Times New Roman" w:cstheme="minorHAnsi"/>
                <w:snapToGrid w:val="0"/>
                <w:sz w:val="24"/>
                <w:szCs w:val="24"/>
              </w:rPr>
              <w:t xml:space="preserve">или комбинация от двете), който значително се различава от предишните продукти или процеси на предприятието и който е </w:t>
            </w:r>
            <w:r w:rsidR="00515FB4">
              <w:rPr>
                <w:rFonts w:eastAsia="Times New Roman" w:cstheme="minorHAnsi"/>
                <w:snapToGrid w:val="0"/>
                <w:sz w:val="24"/>
                <w:szCs w:val="24"/>
              </w:rPr>
              <w:t xml:space="preserve">кандидатът планира да </w:t>
            </w:r>
            <w:r w:rsidR="00515FB4" w:rsidRPr="00425A09">
              <w:rPr>
                <w:rFonts w:eastAsia="Times New Roman" w:cstheme="minorHAnsi"/>
                <w:snapToGrid w:val="0"/>
                <w:sz w:val="24"/>
                <w:szCs w:val="24"/>
              </w:rPr>
              <w:t>предост</w:t>
            </w:r>
            <w:r w:rsidR="00515FB4">
              <w:rPr>
                <w:rFonts w:eastAsia="Times New Roman" w:cstheme="minorHAnsi"/>
                <w:snapToGrid w:val="0"/>
                <w:sz w:val="24"/>
                <w:szCs w:val="24"/>
              </w:rPr>
              <w:t xml:space="preserve">авя </w:t>
            </w:r>
            <w:r w:rsidR="002A0B0D" w:rsidRPr="00425A09">
              <w:rPr>
                <w:rFonts w:eastAsia="Times New Roman" w:cstheme="minorHAnsi"/>
                <w:snapToGrid w:val="0"/>
                <w:sz w:val="24"/>
                <w:szCs w:val="24"/>
              </w:rPr>
              <w:t xml:space="preserve">на потенциални потребители (продукт) или </w:t>
            </w:r>
            <w:r w:rsidR="00515FB4">
              <w:rPr>
                <w:rFonts w:eastAsia="Times New Roman" w:cstheme="minorHAnsi"/>
                <w:snapToGrid w:val="0"/>
                <w:sz w:val="24"/>
                <w:szCs w:val="24"/>
              </w:rPr>
              <w:t>да</w:t>
            </w:r>
            <w:r w:rsidR="002A0B0D" w:rsidRPr="00425A09">
              <w:rPr>
                <w:rFonts w:eastAsia="Times New Roman" w:cstheme="minorHAnsi"/>
                <w:snapToGrid w:val="0"/>
                <w:sz w:val="24"/>
                <w:szCs w:val="24"/>
              </w:rPr>
              <w:t xml:space="preserve"> въведе в употреба от предприятието (процес)</w:t>
            </w:r>
            <w:r w:rsidRPr="00425A09">
              <w:rPr>
                <w:rFonts w:eastAsia="Times New Roman" w:cstheme="minorHAnsi"/>
                <w:snapToGrid w:val="0"/>
                <w:sz w:val="24"/>
                <w:szCs w:val="24"/>
              </w:rPr>
              <w:t>“.</w:t>
            </w:r>
          </w:p>
          <w:p w14:paraId="38EE649F" w14:textId="77777777" w:rsidR="002A0B0D" w:rsidRPr="00425A09" w:rsidRDefault="002A0B0D" w:rsidP="002A0B0D">
            <w:pPr>
              <w:spacing w:before="100" w:beforeAutospacing="1" w:after="100" w:afterAutospacing="1" w:line="240" w:lineRule="auto"/>
              <w:jc w:val="both"/>
              <w:rPr>
                <w:rFonts w:eastAsia="Times New Roman" w:cstheme="minorHAnsi"/>
                <w:snapToGrid w:val="0"/>
                <w:sz w:val="24"/>
                <w:szCs w:val="24"/>
              </w:rPr>
            </w:pPr>
            <w:r w:rsidRPr="00425A09">
              <w:rPr>
                <w:rFonts w:eastAsia="Times New Roman" w:cstheme="minorHAnsi"/>
                <w:snapToGrid w:val="0"/>
                <w:sz w:val="24"/>
                <w:szCs w:val="24"/>
              </w:rPr>
              <w:t xml:space="preserve">Съгласно посочената дефиниция могат да бъдат разграничени следните </w:t>
            </w:r>
            <w:r w:rsidRPr="00425A09">
              <w:rPr>
                <w:rFonts w:eastAsia="Times New Roman" w:cstheme="minorHAnsi"/>
                <w:b/>
                <w:snapToGrid w:val="0"/>
                <w:sz w:val="24"/>
                <w:szCs w:val="24"/>
              </w:rPr>
              <w:t>видове иновации</w:t>
            </w:r>
            <w:r w:rsidRPr="00425A09">
              <w:rPr>
                <w:rFonts w:eastAsia="Times New Roman" w:cstheme="minorHAnsi"/>
                <w:snapToGrid w:val="0"/>
                <w:sz w:val="24"/>
                <w:szCs w:val="24"/>
              </w:rPr>
              <w:t>:</w:t>
            </w:r>
          </w:p>
          <w:p w14:paraId="2C96F34A" w14:textId="4FECE9BB" w:rsidR="002A0B0D" w:rsidRPr="00425A09" w:rsidRDefault="002A0B0D" w:rsidP="002A0B0D">
            <w:pPr>
              <w:numPr>
                <w:ilvl w:val="0"/>
                <w:numId w:val="4"/>
              </w:numPr>
              <w:spacing w:before="100" w:beforeAutospacing="1" w:after="100" w:afterAutospacing="1" w:line="240" w:lineRule="auto"/>
              <w:jc w:val="both"/>
              <w:rPr>
                <w:rFonts w:eastAsia="Times New Roman" w:cstheme="minorHAnsi"/>
                <w:snapToGrid w:val="0"/>
                <w:sz w:val="24"/>
                <w:szCs w:val="24"/>
              </w:rPr>
            </w:pPr>
            <w:r w:rsidRPr="00425A09">
              <w:rPr>
                <w:rFonts w:eastAsia="Times New Roman" w:cstheme="minorHAnsi"/>
                <w:b/>
                <w:snapToGrid w:val="0"/>
                <w:sz w:val="24"/>
                <w:szCs w:val="24"/>
              </w:rPr>
              <w:lastRenderedPageBreak/>
              <w:t>Продуктова иновация</w:t>
            </w:r>
            <w:r w:rsidRPr="00425A09">
              <w:rPr>
                <w:rFonts w:eastAsia="Times New Roman" w:cstheme="minorHAnsi"/>
                <w:snapToGrid w:val="0"/>
                <w:sz w:val="24"/>
                <w:szCs w:val="24"/>
              </w:rPr>
              <w:t xml:space="preserve"> е нова или подобрена стока или услуга, която значително се различава от предишните стоки или услуги на предприятието и е </w:t>
            </w:r>
            <w:r w:rsidR="007039E1">
              <w:rPr>
                <w:rFonts w:eastAsia="Times New Roman" w:cstheme="minorHAnsi"/>
                <w:snapToGrid w:val="0"/>
                <w:sz w:val="24"/>
                <w:szCs w:val="24"/>
              </w:rPr>
              <w:t xml:space="preserve">планирано да бъде </w:t>
            </w:r>
            <w:r w:rsidRPr="00425A09">
              <w:rPr>
                <w:rFonts w:eastAsia="Times New Roman" w:cstheme="minorHAnsi"/>
                <w:snapToGrid w:val="0"/>
                <w:sz w:val="24"/>
                <w:szCs w:val="24"/>
              </w:rPr>
              <w:t xml:space="preserve">въведена на пазара. </w:t>
            </w:r>
          </w:p>
          <w:p w14:paraId="36003B52" w14:textId="4417B9A6" w:rsidR="002A0B0D" w:rsidRPr="00425A09" w:rsidRDefault="002A0B0D" w:rsidP="007039E1">
            <w:pPr>
              <w:numPr>
                <w:ilvl w:val="0"/>
                <w:numId w:val="4"/>
              </w:numPr>
              <w:spacing w:after="160" w:line="259" w:lineRule="auto"/>
              <w:jc w:val="both"/>
              <w:rPr>
                <w:rFonts w:cstheme="minorHAnsi"/>
                <w:sz w:val="24"/>
                <w:szCs w:val="24"/>
              </w:rPr>
            </w:pPr>
            <w:r w:rsidRPr="00425A09">
              <w:rPr>
                <w:rFonts w:cstheme="minorHAnsi"/>
                <w:b/>
                <w:sz w:val="24"/>
                <w:szCs w:val="24"/>
              </w:rPr>
              <w:t>Иновация в бизнес процесите</w:t>
            </w:r>
            <w:r w:rsidR="00622A4E" w:rsidRPr="00425A09">
              <w:rPr>
                <w:rStyle w:val="FootnoteReference"/>
                <w:rFonts w:cstheme="minorHAnsi"/>
                <w:b/>
                <w:sz w:val="24"/>
                <w:szCs w:val="24"/>
              </w:rPr>
              <w:footnoteReference w:id="1"/>
            </w:r>
            <w:r w:rsidRPr="00425A09">
              <w:rPr>
                <w:rFonts w:cstheme="minorHAnsi"/>
                <w:sz w:val="24"/>
                <w:szCs w:val="24"/>
              </w:rPr>
              <w:t xml:space="preserve"> е нов или подобрен бизнес процес </w:t>
            </w:r>
            <w:r w:rsidR="007039E1">
              <w:rPr>
                <w:rFonts w:cstheme="minorHAnsi"/>
                <w:sz w:val="24"/>
                <w:szCs w:val="24"/>
              </w:rPr>
              <w:t>(</w:t>
            </w:r>
            <w:r w:rsidRPr="00425A09">
              <w:rPr>
                <w:rFonts w:cstheme="minorHAnsi"/>
                <w:sz w:val="24"/>
                <w:szCs w:val="24"/>
              </w:rPr>
              <w:t xml:space="preserve">или </w:t>
            </w:r>
            <w:r w:rsidR="007039E1">
              <w:rPr>
                <w:rFonts w:cstheme="minorHAnsi"/>
                <w:sz w:val="24"/>
                <w:szCs w:val="24"/>
              </w:rPr>
              <w:t xml:space="preserve">комбинация от двете) на </w:t>
            </w:r>
            <w:r w:rsidRPr="00425A09">
              <w:rPr>
                <w:rFonts w:cstheme="minorHAnsi"/>
                <w:sz w:val="24"/>
                <w:szCs w:val="24"/>
              </w:rPr>
              <w:t xml:space="preserve">една или повече от една функции, които значително се различават от предишните бизнес процеси на предприятието и </w:t>
            </w:r>
            <w:r w:rsidR="007039E1">
              <w:rPr>
                <w:rFonts w:cstheme="minorHAnsi"/>
                <w:sz w:val="24"/>
                <w:szCs w:val="24"/>
              </w:rPr>
              <w:t xml:space="preserve">е планирано да бъдат </w:t>
            </w:r>
            <w:r w:rsidRPr="00425A09">
              <w:rPr>
                <w:rFonts w:cstheme="minorHAnsi"/>
                <w:sz w:val="24"/>
                <w:szCs w:val="24"/>
              </w:rPr>
              <w:t xml:space="preserve">въведени </w:t>
            </w:r>
            <w:r w:rsidR="007039E1" w:rsidRPr="007039E1">
              <w:rPr>
                <w:rFonts w:cstheme="minorHAnsi"/>
                <w:sz w:val="24"/>
                <w:szCs w:val="24"/>
              </w:rPr>
              <w:t>в организацията на дейността на предприятието</w:t>
            </w:r>
            <w:r w:rsidRPr="00425A09">
              <w:rPr>
                <w:rFonts w:cstheme="minorHAnsi"/>
                <w:sz w:val="24"/>
                <w:szCs w:val="24"/>
              </w:rPr>
              <w:t xml:space="preserve">. </w:t>
            </w:r>
          </w:p>
        </w:tc>
      </w:tr>
      <w:tr w:rsidR="00502F9C" w:rsidRPr="00425A09" w14:paraId="36B59D72" w14:textId="77777777" w:rsidTr="00ED0D72">
        <w:tc>
          <w:tcPr>
            <w:tcW w:w="2660" w:type="dxa"/>
            <w:shd w:val="clear" w:color="auto" w:fill="E6E6E6"/>
          </w:tcPr>
          <w:p w14:paraId="425EBCE1" w14:textId="77777777" w:rsidR="00502F9C" w:rsidRPr="00425A09" w:rsidRDefault="00502F9C" w:rsidP="00F14642">
            <w:pPr>
              <w:spacing w:before="100" w:beforeAutospacing="1" w:after="100" w:afterAutospacing="1" w:line="240" w:lineRule="auto"/>
              <w:rPr>
                <w:rFonts w:eastAsia="Times New Roman" w:cstheme="minorHAnsi"/>
                <w:b/>
                <w:snapToGrid w:val="0"/>
                <w:sz w:val="24"/>
                <w:szCs w:val="24"/>
              </w:rPr>
            </w:pPr>
            <w:r w:rsidRPr="00425A09">
              <w:rPr>
                <w:rFonts w:eastAsia="Times New Roman" w:cstheme="minorHAnsi"/>
                <w:b/>
                <w:snapToGrid w:val="0"/>
                <w:sz w:val="24"/>
                <w:szCs w:val="24"/>
              </w:rPr>
              <w:lastRenderedPageBreak/>
              <w:t>Кандидати</w:t>
            </w:r>
          </w:p>
        </w:tc>
        <w:tc>
          <w:tcPr>
            <w:tcW w:w="6628" w:type="dxa"/>
            <w:shd w:val="clear" w:color="auto" w:fill="F3F3F3"/>
          </w:tcPr>
          <w:p w14:paraId="4780E3F2" w14:textId="77777777" w:rsidR="00502F9C" w:rsidRPr="00425A09" w:rsidRDefault="00502F9C" w:rsidP="00F14642">
            <w:pPr>
              <w:spacing w:before="100" w:beforeAutospacing="1" w:after="100" w:afterAutospacing="1" w:line="240" w:lineRule="auto"/>
              <w:jc w:val="both"/>
              <w:rPr>
                <w:rFonts w:eastAsia="Times New Roman" w:cstheme="minorHAnsi"/>
                <w:snapToGrid w:val="0"/>
                <w:sz w:val="24"/>
                <w:szCs w:val="24"/>
              </w:rPr>
            </w:pPr>
            <w:r w:rsidRPr="00425A09">
              <w:rPr>
                <w:rFonts w:eastAsia="Times New Roman" w:cstheme="minorHAnsi"/>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C835D4" w:rsidRPr="00425A09" w14:paraId="7425B30E" w14:textId="77777777" w:rsidTr="00ED0D72">
        <w:tc>
          <w:tcPr>
            <w:tcW w:w="2660" w:type="dxa"/>
            <w:shd w:val="clear" w:color="auto" w:fill="E6E6E6"/>
          </w:tcPr>
          <w:p w14:paraId="70B87C11" w14:textId="66A5EDDB" w:rsidR="00C835D4" w:rsidRPr="00E26093" w:rsidRDefault="00C835D4" w:rsidP="00F14642">
            <w:pPr>
              <w:spacing w:before="100" w:beforeAutospacing="1" w:after="100" w:afterAutospacing="1" w:line="240" w:lineRule="auto"/>
              <w:rPr>
                <w:rFonts w:eastAsia="Times New Roman" w:cstheme="minorHAnsi"/>
                <w:b/>
                <w:snapToGrid w:val="0"/>
                <w:sz w:val="24"/>
                <w:szCs w:val="24"/>
              </w:rPr>
            </w:pPr>
            <w:r w:rsidRPr="00E26093">
              <w:rPr>
                <w:rFonts w:eastAsia="Times New Roman" w:cstheme="minorHAnsi"/>
                <w:b/>
                <w:snapToGrid w:val="0"/>
                <w:sz w:val="24"/>
                <w:szCs w:val="24"/>
              </w:rPr>
              <w:t>Квалифициран персонал</w:t>
            </w:r>
          </w:p>
        </w:tc>
        <w:tc>
          <w:tcPr>
            <w:tcW w:w="6628" w:type="dxa"/>
            <w:shd w:val="clear" w:color="auto" w:fill="F3F3F3"/>
          </w:tcPr>
          <w:p w14:paraId="707C85CB" w14:textId="7399BF07" w:rsidR="003C6307" w:rsidRPr="00E26093" w:rsidRDefault="00C835D4" w:rsidP="00E26093">
            <w:pPr>
              <w:spacing w:before="100" w:beforeAutospacing="1" w:after="100" w:afterAutospacing="1" w:line="240" w:lineRule="auto"/>
              <w:jc w:val="both"/>
              <w:rPr>
                <w:rFonts w:eastAsia="Times New Roman" w:cstheme="minorHAnsi"/>
                <w:snapToGrid w:val="0"/>
                <w:sz w:val="24"/>
                <w:szCs w:val="24"/>
              </w:rPr>
            </w:pPr>
            <w:r w:rsidRPr="00E26093">
              <w:rPr>
                <w:rFonts w:eastAsia="Times New Roman" w:cstheme="minorHAnsi"/>
                <w:snapToGrid w:val="0"/>
                <w:sz w:val="24"/>
                <w:szCs w:val="24"/>
              </w:rPr>
              <w:t xml:space="preserve">За целите на настоящата процедура под </w:t>
            </w:r>
            <w:r w:rsidR="00B53955" w:rsidRPr="00E26093">
              <w:rPr>
                <w:rFonts w:eastAsia="Times New Roman" w:cstheme="minorHAnsi"/>
                <w:snapToGrid w:val="0"/>
                <w:sz w:val="24"/>
                <w:szCs w:val="24"/>
              </w:rPr>
              <w:t>„</w:t>
            </w:r>
            <w:r w:rsidRPr="00E26093">
              <w:rPr>
                <w:rFonts w:eastAsia="Times New Roman" w:cstheme="minorHAnsi"/>
                <w:snapToGrid w:val="0"/>
                <w:sz w:val="24"/>
                <w:szCs w:val="24"/>
              </w:rPr>
              <w:t>квалифициран персонал</w:t>
            </w:r>
            <w:r w:rsidR="00B53955" w:rsidRPr="00E26093">
              <w:rPr>
                <w:rFonts w:eastAsia="Times New Roman" w:cstheme="minorHAnsi"/>
                <w:snapToGrid w:val="0"/>
                <w:sz w:val="24"/>
                <w:szCs w:val="24"/>
              </w:rPr>
              <w:t>“</w:t>
            </w:r>
            <w:r w:rsidRPr="00E26093">
              <w:rPr>
                <w:rFonts w:eastAsia="Times New Roman" w:cstheme="minorHAnsi"/>
                <w:snapToGrid w:val="0"/>
                <w:sz w:val="24"/>
                <w:szCs w:val="24"/>
              </w:rPr>
              <w:t xml:space="preserve"> се разбира </w:t>
            </w:r>
            <w:r w:rsidR="00E26093" w:rsidRPr="00E26093">
              <w:rPr>
                <w:rFonts w:eastAsia="Times New Roman" w:cstheme="minorHAnsi"/>
                <w:snapToGrid w:val="0"/>
                <w:sz w:val="24"/>
                <w:szCs w:val="24"/>
              </w:rPr>
              <w:t>квалифициран персонал (различен от изследователския), включително технически персонал, нает за осъществяването на НИРД и други дейности във връзка с разработването и/или създаването на нови знания, продукти, услуги, процеси, способи, методи, системи и пр.</w:t>
            </w:r>
          </w:p>
        </w:tc>
      </w:tr>
      <w:tr w:rsidR="003C6307" w:rsidRPr="00425A09" w14:paraId="37F32090" w14:textId="77777777" w:rsidTr="00ED0D72">
        <w:tc>
          <w:tcPr>
            <w:tcW w:w="2660" w:type="dxa"/>
            <w:shd w:val="clear" w:color="auto" w:fill="E6E6E6"/>
          </w:tcPr>
          <w:p w14:paraId="294F812D" w14:textId="40C2BA87" w:rsidR="003C6307" w:rsidRPr="00425A09" w:rsidRDefault="003C6307" w:rsidP="003C6307">
            <w:pPr>
              <w:spacing w:before="100" w:beforeAutospacing="1" w:after="100" w:afterAutospacing="1" w:line="240" w:lineRule="auto"/>
              <w:rPr>
                <w:rFonts w:eastAsia="Times New Roman" w:cstheme="minorHAnsi"/>
                <w:b/>
                <w:snapToGrid w:val="0"/>
                <w:sz w:val="24"/>
                <w:szCs w:val="24"/>
              </w:rPr>
            </w:pPr>
            <w:r w:rsidRPr="00425A09">
              <w:rPr>
                <w:rFonts w:eastAsia="Times New Roman"/>
                <w:b/>
                <w:snapToGrid w:val="0"/>
                <w:sz w:val="24"/>
                <w:szCs w:val="24"/>
              </w:rPr>
              <w:t>Конвенция на ООН за правата на хората с увреждания</w:t>
            </w:r>
          </w:p>
        </w:tc>
        <w:tc>
          <w:tcPr>
            <w:tcW w:w="6628" w:type="dxa"/>
            <w:shd w:val="clear" w:color="auto" w:fill="F3F3F3"/>
          </w:tcPr>
          <w:p w14:paraId="097AAC95" w14:textId="77777777" w:rsidR="003C6307" w:rsidRPr="00425A09" w:rsidRDefault="003C6307" w:rsidP="003C6307">
            <w:pPr>
              <w:spacing w:after="120" w:line="240" w:lineRule="auto"/>
              <w:jc w:val="both"/>
              <w:rPr>
                <w:rFonts w:eastAsia="Times New Roman" w:cstheme="minorHAnsi"/>
                <w:snapToGrid w:val="0"/>
                <w:sz w:val="24"/>
                <w:szCs w:val="24"/>
              </w:rPr>
            </w:pPr>
            <w:r w:rsidRPr="00425A09">
              <w:rPr>
                <w:rFonts w:eastAsia="Times New Roman" w:cstheme="minorHAnsi"/>
                <w:snapToGrid w:val="0"/>
                <w:sz w:val="24"/>
                <w:szCs w:val="24"/>
              </w:rPr>
              <w:t>Прилагането и изпълнението на Конвенцията на ООН за правата на хората с увреждания цели осигуряване на зачитането и защитата на всички основни права на хората с увреждания, сред които са:</w:t>
            </w:r>
          </w:p>
          <w:p w14:paraId="423B73F2" w14:textId="77777777" w:rsidR="003C6307" w:rsidRPr="00425A09" w:rsidRDefault="003C6307" w:rsidP="003C6307">
            <w:pPr>
              <w:spacing w:after="120" w:line="240" w:lineRule="auto"/>
              <w:jc w:val="both"/>
              <w:rPr>
                <w:rFonts w:eastAsia="Times New Roman" w:cstheme="minorHAnsi"/>
                <w:snapToGrid w:val="0"/>
                <w:sz w:val="24"/>
                <w:szCs w:val="24"/>
              </w:rPr>
            </w:pPr>
            <w:r w:rsidRPr="00425A09">
              <w:rPr>
                <w:rFonts w:eastAsia="Times New Roman" w:cstheme="minorHAnsi"/>
                <w:snapToGrid w:val="0"/>
                <w:sz w:val="24"/>
                <w:szCs w:val="24"/>
              </w:rPr>
              <w:t>- право на равенство и забрана на дискриминация;</w:t>
            </w:r>
          </w:p>
          <w:p w14:paraId="7DDBDE02" w14:textId="77777777" w:rsidR="003C6307" w:rsidRPr="00425A09" w:rsidRDefault="003C6307" w:rsidP="003C6307">
            <w:pPr>
              <w:spacing w:after="120" w:line="240" w:lineRule="auto"/>
              <w:jc w:val="both"/>
              <w:rPr>
                <w:rFonts w:eastAsia="Times New Roman" w:cstheme="minorHAnsi"/>
                <w:snapToGrid w:val="0"/>
                <w:sz w:val="24"/>
                <w:szCs w:val="24"/>
              </w:rPr>
            </w:pPr>
            <w:r w:rsidRPr="00425A09">
              <w:rPr>
                <w:rFonts w:eastAsia="Times New Roman" w:cstheme="minorHAnsi"/>
                <w:snapToGrid w:val="0"/>
                <w:sz w:val="24"/>
                <w:szCs w:val="24"/>
              </w:rPr>
              <w:t>- право на жените с увреждания за подпомагане при пълноценното им упражняване на всички права на човека и основни свободи;</w:t>
            </w:r>
          </w:p>
          <w:p w14:paraId="76E0DD6C" w14:textId="77777777" w:rsidR="003C6307" w:rsidRPr="00425A09" w:rsidRDefault="003C6307" w:rsidP="003C6307">
            <w:pPr>
              <w:spacing w:after="120" w:line="240" w:lineRule="auto"/>
              <w:jc w:val="both"/>
              <w:rPr>
                <w:rFonts w:eastAsia="Times New Roman" w:cstheme="minorHAnsi"/>
                <w:snapToGrid w:val="0"/>
                <w:sz w:val="24"/>
                <w:szCs w:val="24"/>
              </w:rPr>
            </w:pPr>
            <w:r w:rsidRPr="00425A09">
              <w:rPr>
                <w:rFonts w:eastAsia="Times New Roman" w:cstheme="minorHAnsi"/>
                <w:snapToGrid w:val="0"/>
                <w:sz w:val="24"/>
                <w:szCs w:val="24"/>
              </w:rPr>
              <w:t>- право на децата с увреждания свободно да изразяват становища по всякакви въпроси, които ги засягат, като на техните становища се придава подобаваща тежест в съответствие с възрастта и степента им на зрялост;</w:t>
            </w:r>
          </w:p>
          <w:p w14:paraId="2B9B6B40" w14:textId="77777777" w:rsidR="003C6307" w:rsidRPr="00425A09" w:rsidRDefault="003C6307" w:rsidP="003C6307">
            <w:pPr>
              <w:spacing w:after="120" w:line="240" w:lineRule="auto"/>
              <w:jc w:val="both"/>
              <w:rPr>
                <w:rFonts w:eastAsia="Times New Roman" w:cstheme="minorHAnsi"/>
                <w:snapToGrid w:val="0"/>
                <w:sz w:val="24"/>
                <w:szCs w:val="24"/>
              </w:rPr>
            </w:pPr>
            <w:r w:rsidRPr="00425A09">
              <w:rPr>
                <w:rFonts w:eastAsia="Times New Roman" w:cstheme="minorHAnsi"/>
                <w:snapToGrid w:val="0"/>
                <w:sz w:val="24"/>
                <w:szCs w:val="24"/>
              </w:rPr>
              <w:t xml:space="preserve">- повишаване на общественото съзнание, достъпност, право на живот, равнопоставеност пред закона, достъп до правосъдие, защита срещу изтезания или жестоко, нечовешко или унизително отнасяне или наказание, защита срещу експлоатация, насилие и тормоз, защита на целостта и </w:t>
            </w:r>
            <w:r w:rsidRPr="00425A09">
              <w:rPr>
                <w:rFonts w:eastAsia="Times New Roman" w:cstheme="minorHAnsi"/>
                <w:snapToGrid w:val="0"/>
                <w:sz w:val="24"/>
                <w:szCs w:val="24"/>
              </w:rPr>
              <w:lastRenderedPageBreak/>
              <w:t>ненакърнимостта на личността;</w:t>
            </w:r>
          </w:p>
          <w:p w14:paraId="046E4933" w14:textId="77777777" w:rsidR="003C6307" w:rsidRPr="00425A09" w:rsidRDefault="003C6307" w:rsidP="003C6307">
            <w:pPr>
              <w:spacing w:after="120" w:line="240" w:lineRule="auto"/>
              <w:jc w:val="both"/>
              <w:rPr>
                <w:rFonts w:eastAsia="Times New Roman" w:cstheme="minorHAnsi"/>
                <w:snapToGrid w:val="0"/>
                <w:sz w:val="24"/>
                <w:szCs w:val="24"/>
              </w:rPr>
            </w:pPr>
            <w:r w:rsidRPr="00425A09">
              <w:rPr>
                <w:rFonts w:eastAsia="Times New Roman" w:cstheme="minorHAnsi"/>
                <w:snapToGrid w:val="0"/>
                <w:sz w:val="24"/>
                <w:szCs w:val="24"/>
              </w:rPr>
              <w:t xml:space="preserve">- независим живот и включване в общността, лична мобилност, свобода на изразяване и на мнение, свобода на достъпа до информация, зачитане на личната неприкосновеност, уважение към дома и семейството, образование, здравеопазване, </w:t>
            </w:r>
            <w:proofErr w:type="spellStart"/>
            <w:r w:rsidRPr="00425A09">
              <w:rPr>
                <w:rFonts w:eastAsia="Times New Roman" w:cstheme="minorHAnsi"/>
                <w:snapToGrid w:val="0"/>
                <w:sz w:val="24"/>
                <w:szCs w:val="24"/>
              </w:rPr>
              <w:t>абилитация</w:t>
            </w:r>
            <w:proofErr w:type="spellEnd"/>
            <w:r w:rsidRPr="00425A09">
              <w:rPr>
                <w:rFonts w:eastAsia="Times New Roman" w:cstheme="minorHAnsi"/>
                <w:snapToGrid w:val="0"/>
                <w:sz w:val="24"/>
                <w:szCs w:val="24"/>
              </w:rPr>
              <w:t xml:space="preserve"> и рехабилитация;</w:t>
            </w:r>
          </w:p>
          <w:p w14:paraId="6A1B64B3" w14:textId="15FADFEE" w:rsidR="003C6307" w:rsidRPr="00425A09" w:rsidRDefault="003C6307" w:rsidP="003C6307">
            <w:pPr>
              <w:spacing w:before="100" w:beforeAutospacing="1" w:after="100" w:afterAutospacing="1" w:line="240" w:lineRule="auto"/>
              <w:jc w:val="both"/>
              <w:rPr>
                <w:rFonts w:eastAsia="Times New Roman" w:cstheme="minorHAnsi"/>
                <w:snapToGrid w:val="0"/>
                <w:sz w:val="24"/>
                <w:szCs w:val="24"/>
              </w:rPr>
            </w:pPr>
            <w:r w:rsidRPr="00425A09">
              <w:rPr>
                <w:rFonts w:eastAsia="Times New Roman" w:cstheme="minorHAnsi"/>
                <w:snapToGrid w:val="0"/>
                <w:sz w:val="24"/>
                <w:szCs w:val="24"/>
              </w:rPr>
              <w:t>- работа и заетост, подходящ жизнен стандарт и социална закрила, участие в политическия и обществения живот, участие в културния живот, почивка, свободно време и спорт, статистика и събиране на данни, международно сътрудничество.</w:t>
            </w:r>
          </w:p>
        </w:tc>
      </w:tr>
      <w:tr w:rsidR="003C6307" w:rsidRPr="00425A09" w14:paraId="3C0234FD" w14:textId="77777777" w:rsidTr="00ED0D72">
        <w:tc>
          <w:tcPr>
            <w:tcW w:w="2660" w:type="dxa"/>
            <w:shd w:val="clear" w:color="auto" w:fill="E6E6E6"/>
          </w:tcPr>
          <w:p w14:paraId="63643D25" w14:textId="1AD5A6D8" w:rsidR="003C6307" w:rsidRPr="00425A09" w:rsidRDefault="003C6307" w:rsidP="003C6307">
            <w:pPr>
              <w:spacing w:before="100" w:beforeAutospacing="1" w:after="100" w:afterAutospacing="1" w:line="240" w:lineRule="auto"/>
              <w:rPr>
                <w:rFonts w:eastAsia="Times New Roman" w:cstheme="minorHAnsi"/>
                <w:b/>
                <w:snapToGrid w:val="0"/>
                <w:sz w:val="24"/>
                <w:szCs w:val="24"/>
              </w:rPr>
            </w:pPr>
            <w:r w:rsidRPr="00425A09">
              <w:rPr>
                <w:rFonts w:eastAsia="Times New Roman" w:cstheme="minorHAnsi"/>
                <w:b/>
                <w:snapToGrid w:val="0"/>
                <w:sz w:val="24"/>
                <w:szCs w:val="24"/>
              </w:rPr>
              <w:lastRenderedPageBreak/>
              <w:t xml:space="preserve">Консултантски услуги в областта на иновациите </w:t>
            </w:r>
          </w:p>
        </w:tc>
        <w:tc>
          <w:tcPr>
            <w:tcW w:w="6628" w:type="dxa"/>
            <w:shd w:val="clear" w:color="auto" w:fill="F3F3F3"/>
          </w:tcPr>
          <w:p w14:paraId="178A9EFE" w14:textId="39425A05" w:rsidR="003C6307" w:rsidRPr="00425A09" w:rsidRDefault="003C6307" w:rsidP="003C6307">
            <w:pPr>
              <w:spacing w:before="100" w:beforeAutospacing="1" w:after="100" w:afterAutospacing="1" w:line="240" w:lineRule="auto"/>
              <w:jc w:val="both"/>
              <w:rPr>
                <w:rFonts w:eastAsia="Times New Roman" w:cstheme="minorHAnsi"/>
                <w:snapToGrid w:val="0"/>
                <w:sz w:val="24"/>
                <w:szCs w:val="24"/>
              </w:rPr>
            </w:pPr>
            <w:r w:rsidRPr="00425A09">
              <w:rPr>
                <w:rFonts w:eastAsia="Times New Roman" w:cstheme="minorHAnsi"/>
                <w:snapToGrid w:val="0"/>
                <w:sz w:val="24"/>
                <w:szCs w:val="24"/>
              </w:rPr>
              <w:t xml:space="preserve">По смисъла на чл. 2, пар. 94 от Регламент (ЕО) № 651/2014 „консултантски услуги в областта на иновациите" означава  консултиране, подпомагане и обучение в областта на трансфера на знания, придобиването, защитата и експлоатацията на нематериални активи, използването на стандарти и на правилата, които ги уреждат. </w:t>
            </w:r>
          </w:p>
        </w:tc>
      </w:tr>
      <w:tr w:rsidR="003C6307" w:rsidRPr="00425A09" w14:paraId="699742F7" w14:textId="77777777" w:rsidTr="00ED0D72">
        <w:tc>
          <w:tcPr>
            <w:tcW w:w="2660" w:type="dxa"/>
            <w:shd w:val="clear" w:color="auto" w:fill="E6E6E6"/>
          </w:tcPr>
          <w:p w14:paraId="7065F2C8" w14:textId="77777777" w:rsidR="003C6307" w:rsidRPr="00425A09" w:rsidRDefault="003C6307" w:rsidP="003C6307">
            <w:pPr>
              <w:spacing w:before="100" w:beforeAutospacing="1" w:after="100" w:afterAutospacing="1" w:line="240" w:lineRule="auto"/>
              <w:rPr>
                <w:rFonts w:eastAsia="Times New Roman" w:cstheme="minorHAnsi"/>
                <w:b/>
                <w:snapToGrid w:val="0"/>
                <w:sz w:val="24"/>
                <w:szCs w:val="24"/>
              </w:rPr>
            </w:pPr>
            <w:r w:rsidRPr="00425A09">
              <w:rPr>
                <w:rFonts w:eastAsia="Times New Roman" w:cstheme="minorHAnsi"/>
                <w:b/>
                <w:snapToGrid w:val="0"/>
                <w:sz w:val="24"/>
                <w:szCs w:val="24"/>
              </w:rPr>
              <w:t>Материални активи</w:t>
            </w:r>
          </w:p>
        </w:tc>
        <w:tc>
          <w:tcPr>
            <w:tcW w:w="6628" w:type="dxa"/>
            <w:shd w:val="clear" w:color="auto" w:fill="F3F3F3"/>
          </w:tcPr>
          <w:p w14:paraId="121FD0BB" w14:textId="77777777" w:rsidR="003C6307" w:rsidRPr="00425A09" w:rsidRDefault="003C6307" w:rsidP="003C6307">
            <w:pPr>
              <w:spacing w:before="100" w:beforeAutospacing="1" w:after="100" w:afterAutospacing="1" w:line="240" w:lineRule="auto"/>
              <w:jc w:val="both"/>
              <w:rPr>
                <w:rFonts w:eastAsia="Times New Roman" w:cstheme="minorHAnsi"/>
                <w:snapToGrid w:val="0"/>
                <w:sz w:val="24"/>
                <w:szCs w:val="24"/>
              </w:rPr>
            </w:pPr>
            <w:r w:rsidRPr="00425A09">
              <w:rPr>
                <w:rFonts w:eastAsia="Times New Roman" w:cstheme="minorHAnsi"/>
                <w:snapToGrid w:val="0"/>
                <w:sz w:val="24"/>
                <w:szCs w:val="24"/>
              </w:rPr>
              <w:t>По смисъла на чл. 2, пар. 29 от Регламент (ЕО) № 651/2014 „материални активи" означава активи, състоящи се от земя, сгради, съоръжения, машини и оборудване.</w:t>
            </w:r>
          </w:p>
        </w:tc>
      </w:tr>
      <w:tr w:rsidR="003C6307" w:rsidRPr="00425A09" w14:paraId="611F466B" w14:textId="77777777" w:rsidTr="00ED0D72">
        <w:tc>
          <w:tcPr>
            <w:tcW w:w="2660" w:type="dxa"/>
            <w:shd w:val="clear" w:color="auto" w:fill="E6E6E6"/>
          </w:tcPr>
          <w:p w14:paraId="6AF0DDF0" w14:textId="77777777" w:rsidR="003C6307" w:rsidRPr="00425A09" w:rsidRDefault="003C6307" w:rsidP="003C6307">
            <w:pPr>
              <w:spacing w:before="100" w:beforeAutospacing="1" w:after="100" w:afterAutospacing="1" w:line="240" w:lineRule="auto"/>
              <w:rPr>
                <w:rFonts w:eastAsia="Times New Roman" w:cstheme="minorHAnsi"/>
                <w:b/>
                <w:snapToGrid w:val="0"/>
                <w:sz w:val="24"/>
                <w:szCs w:val="24"/>
              </w:rPr>
            </w:pPr>
            <w:r w:rsidRPr="00425A09">
              <w:rPr>
                <w:rFonts w:eastAsia="Times New Roman" w:cstheme="minorHAnsi"/>
                <w:b/>
                <w:snapToGrid w:val="0"/>
                <w:sz w:val="24"/>
                <w:szCs w:val="24"/>
              </w:rPr>
              <w:t>Микро-, малки и средни предприятия (МСП)</w:t>
            </w:r>
          </w:p>
        </w:tc>
        <w:tc>
          <w:tcPr>
            <w:tcW w:w="6628" w:type="dxa"/>
            <w:shd w:val="clear" w:color="auto" w:fill="F3F3F3"/>
          </w:tcPr>
          <w:p w14:paraId="357F22B8" w14:textId="77777777" w:rsidR="003C6307" w:rsidRPr="00425A09" w:rsidRDefault="003C6307" w:rsidP="003C6307">
            <w:pPr>
              <w:spacing w:after="120" w:line="240" w:lineRule="auto"/>
              <w:jc w:val="both"/>
              <w:rPr>
                <w:rFonts w:eastAsia="Times New Roman" w:cstheme="minorHAnsi"/>
                <w:snapToGrid w:val="0"/>
                <w:sz w:val="24"/>
                <w:szCs w:val="24"/>
              </w:rPr>
            </w:pPr>
            <w:r w:rsidRPr="00425A09">
              <w:rPr>
                <w:rFonts w:eastAsia="Times New Roman" w:cstheme="minorHAnsi"/>
                <w:snapToGrid w:val="0"/>
                <w:sz w:val="24"/>
                <w:szCs w:val="24"/>
              </w:rPr>
              <w:t>По смисъла на чл. 3 и чл. 4 от Закона за малките и средните предприятия (ЗМСП) и Препоръка на Комисията от 6 май 2003 г. относно определението за микро-, малки и средни предприятия (ОВ L 124, 20.5.2003 г., стр. 36).</w:t>
            </w:r>
          </w:p>
          <w:p w14:paraId="6963C149" w14:textId="77777777" w:rsidR="003C6307" w:rsidRPr="00425A09" w:rsidRDefault="003C6307" w:rsidP="003C6307">
            <w:pPr>
              <w:spacing w:after="0" w:line="240" w:lineRule="auto"/>
              <w:jc w:val="both"/>
              <w:rPr>
                <w:rFonts w:eastAsia="Times New Roman" w:cstheme="minorHAnsi"/>
                <w:snapToGrid w:val="0"/>
                <w:sz w:val="24"/>
                <w:szCs w:val="24"/>
              </w:rPr>
            </w:pPr>
            <w:r w:rsidRPr="00425A09">
              <w:rPr>
                <w:rFonts w:eastAsia="Times New Roman" w:cstheme="minorHAnsi"/>
                <w:snapToGrid w:val="0"/>
                <w:sz w:val="24"/>
                <w:szCs w:val="24"/>
              </w:rPr>
              <w:t>Съгласно чл. 3, ал. 1 от ЗМСП, категорията малки и средни предприятия включва предприятията, които имат:</w:t>
            </w:r>
          </w:p>
          <w:p w14:paraId="32FB028F" w14:textId="77777777" w:rsidR="003C6307" w:rsidRPr="00425A09" w:rsidRDefault="003C6307" w:rsidP="003C6307">
            <w:pPr>
              <w:spacing w:after="0" w:line="240" w:lineRule="auto"/>
              <w:jc w:val="both"/>
              <w:rPr>
                <w:rFonts w:eastAsia="Times New Roman" w:cstheme="minorHAnsi"/>
                <w:snapToGrid w:val="0"/>
                <w:sz w:val="24"/>
                <w:szCs w:val="24"/>
              </w:rPr>
            </w:pPr>
            <w:r w:rsidRPr="00425A09">
              <w:rPr>
                <w:rFonts w:eastAsia="Times New Roman" w:cstheme="minorHAnsi"/>
                <w:snapToGrid w:val="0"/>
                <w:sz w:val="24"/>
                <w:szCs w:val="24"/>
              </w:rPr>
              <w:t>1. средносписъчен брой на персонала, по-малък от 250 души, и</w:t>
            </w:r>
          </w:p>
          <w:p w14:paraId="629DF726" w14:textId="77777777" w:rsidR="003C6307" w:rsidRPr="00425A09" w:rsidRDefault="003C6307" w:rsidP="003C6307">
            <w:pPr>
              <w:spacing w:before="100" w:beforeAutospacing="1" w:after="100" w:afterAutospacing="1" w:line="240" w:lineRule="auto"/>
              <w:jc w:val="both"/>
              <w:rPr>
                <w:rFonts w:eastAsia="Times New Roman" w:cstheme="minorHAnsi"/>
                <w:snapToGrid w:val="0"/>
                <w:sz w:val="24"/>
                <w:szCs w:val="24"/>
              </w:rPr>
            </w:pPr>
            <w:r w:rsidRPr="00425A09">
              <w:rPr>
                <w:rFonts w:eastAsia="Times New Roman" w:cstheme="minorHAnsi"/>
                <w:snapToGrid w:val="0"/>
                <w:sz w:val="24"/>
                <w:szCs w:val="24"/>
              </w:rPr>
              <w:t>2. годишен оборот, който не превишава 97 500 000 лв., и/или стойност на активите, която не превишава 84 000 000 лв.</w:t>
            </w:r>
          </w:p>
        </w:tc>
      </w:tr>
      <w:tr w:rsidR="003C6307" w:rsidRPr="00425A09" w14:paraId="17149438" w14:textId="77777777" w:rsidTr="00ED0D72">
        <w:tc>
          <w:tcPr>
            <w:tcW w:w="2660" w:type="dxa"/>
            <w:shd w:val="clear" w:color="auto" w:fill="E6E6E6"/>
          </w:tcPr>
          <w:p w14:paraId="07DD5A01" w14:textId="77777777" w:rsidR="003C6307" w:rsidRPr="00425A09" w:rsidRDefault="003C6307" w:rsidP="003C6307">
            <w:pPr>
              <w:spacing w:before="100" w:beforeAutospacing="1" w:after="100" w:afterAutospacing="1" w:line="240" w:lineRule="auto"/>
              <w:rPr>
                <w:rFonts w:eastAsia="Times New Roman" w:cstheme="minorHAnsi"/>
                <w:b/>
                <w:snapToGrid w:val="0"/>
                <w:sz w:val="24"/>
                <w:szCs w:val="24"/>
              </w:rPr>
            </w:pPr>
            <w:r w:rsidRPr="00425A09">
              <w:rPr>
                <w:rFonts w:eastAsia="Times New Roman" w:cstheme="minorHAnsi"/>
                <w:b/>
                <w:snapToGrid w:val="0"/>
                <w:sz w:val="24"/>
                <w:szCs w:val="24"/>
              </w:rPr>
              <w:t>Малки дружества със средна пазарна капитализация (</w:t>
            </w:r>
            <w:proofErr w:type="spellStart"/>
            <w:r w:rsidRPr="00425A09">
              <w:rPr>
                <w:rFonts w:eastAsia="Times New Roman" w:cstheme="minorHAnsi"/>
                <w:b/>
                <w:snapToGrid w:val="0"/>
                <w:sz w:val="24"/>
                <w:szCs w:val="24"/>
              </w:rPr>
              <w:t>Small</w:t>
            </w:r>
            <w:proofErr w:type="spellEnd"/>
            <w:r w:rsidRPr="00425A09">
              <w:rPr>
                <w:rFonts w:eastAsia="Times New Roman" w:cstheme="minorHAnsi"/>
                <w:b/>
                <w:snapToGrid w:val="0"/>
                <w:sz w:val="24"/>
                <w:szCs w:val="24"/>
              </w:rPr>
              <w:t xml:space="preserve"> Mid-Caps)</w:t>
            </w:r>
          </w:p>
        </w:tc>
        <w:tc>
          <w:tcPr>
            <w:tcW w:w="6628" w:type="dxa"/>
            <w:shd w:val="clear" w:color="auto" w:fill="F3F3F3"/>
          </w:tcPr>
          <w:p w14:paraId="51D297C0" w14:textId="77777777" w:rsidR="003C6307" w:rsidRPr="00425A09" w:rsidRDefault="003C6307" w:rsidP="003C6307">
            <w:pPr>
              <w:spacing w:line="240" w:lineRule="auto"/>
              <w:jc w:val="both"/>
              <w:rPr>
                <w:rFonts w:eastAsia="Times New Roman" w:cstheme="minorHAnsi"/>
                <w:snapToGrid w:val="0"/>
                <w:sz w:val="24"/>
                <w:szCs w:val="24"/>
              </w:rPr>
            </w:pPr>
            <w:r w:rsidRPr="00425A09">
              <w:rPr>
                <w:rFonts w:eastAsia="Times New Roman" w:cstheme="minorHAnsi"/>
                <w:snapToGrid w:val="0"/>
                <w:sz w:val="24"/>
                <w:szCs w:val="24"/>
              </w:rPr>
              <w:t>Съгласно чл. 2, пар. 103д от Регламент (ЕО) № 651/2014 „малки дружества със средна пазарна капитализация (</w:t>
            </w:r>
            <w:proofErr w:type="spellStart"/>
            <w:r w:rsidRPr="00425A09">
              <w:rPr>
                <w:rFonts w:eastAsia="Times New Roman" w:cstheme="minorHAnsi"/>
                <w:snapToGrid w:val="0"/>
                <w:sz w:val="24"/>
                <w:szCs w:val="24"/>
              </w:rPr>
              <w:t>Small</w:t>
            </w:r>
            <w:proofErr w:type="spellEnd"/>
            <w:r w:rsidRPr="00425A09">
              <w:rPr>
                <w:rFonts w:eastAsia="Times New Roman" w:cstheme="minorHAnsi"/>
                <w:snapToGrid w:val="0"/>
                <w:sz w:val="24"/>
                <w:szCs w:val="24"/>
              </w:rPr>
              <w:t xml:space="preserve"> Mid-Caps)“ са предприятия, които по показатели не са МСП, но средно списъчният брой на персонала им е до 499 служители, и</w:t>
            </w:r>
            <w:r w:rsidRPr="00425A09">
              <w:rPr>
                <w:rFonts w:cstheme="minorHAnsi"/>
                <w:sz w:val="24"/>
                <w:szCs w:val="24"/>
              </w:rPr>
              <w:t xml:space="preserve"> </w:t>
            </w:r>
            <w:r w:rsidRPr="00425A09">
              <w:rPr>
                <w:rFonts w:eastAsia="Times New Roman" w:cstheme="minorHAnsi"/>
                <w:snapToGrid w:val="0"/>
                <w:sz w:val="24"/>
                <w:szCs w:val="24"/>
              </w:rPr>
              <w:t xml:space="preserve">чийто годишен оборот не надвишава 100 милиона евро или чийто годишен баланс не надвишава 86 милиона евро, като са взети предвид всички отношения на партньорство и свързаност с други предприятия по смисъла </w:t>
            </w:r>
            <w:r w:rsidRPr="00425A09">
              <w:rPr>
                <w:rFonts w:eastAsia="Times New Roman" w:cstheme="minorHAnsi"/>
                <w:snapToGrid w:val="0"/>
                <w:sz w:val="24"/>
                <w:szCs w:val="24"/>
              </w:rPr>
              <w:lastRenderedPageBreak/>
              <w:t>на чл. 4 от ЗМСП.</w:t>
            </w:r>
          </w:p>
        </w:tc>
      </w:tr>
      <w:tr w:rsidR="003C6307" w:rsidRPr="00425A09" w14:paraId="4FC1BDE5" w14:textId="77777777" w:rsidTr="00ED0D72">
        <w:tc>
          <w:tcPr>
            <w:tcW w:w="2660" w:type="dxa"/>
            <w:shd w:val="clear" w:color="auto" w:fill="E6E6E6"/>
          </w:tcPr>
          <w:p w14:paraId="0B86D84D" w14:textId="77777777" w:rsidR="003C6307" w:rsidRPr="00425A09" w:rsidRDefault="003C6307" w:rsidP="003C6307">
            <w:pPr>
              <w:spacing w:before="100" w:beforeAutospacing="1" w:after="100" w:afterAutospacing="1" w:line="240" w:lineRule="auto"/>
              <w:rPr>
                <w:rFonts w:eastAsia="Times New Roman" w:cstheme="minorHAnsi"/>
                <w:b/>
                <w:snapToGrid w:val="0"/>
                <w:sz w:val="24"/>
                <w:szCs w:val="24"/>
              </w:rPr>
            </w:pPr>
            <w:r w:rsidRPr="00425A09">
              <w:rPr>
                <w:rFonts w:eastAsia="Times New Roman" w:cstheme="minorHAnsi"/>
                <w:b/>
                <w:snapToGrid w:val="0"/>
                <w:sz w:val="24"/>
                <w:szCs w:val="24"/>
              </w:rPr>
              <w:lastRenderedPageBreak/>
              <w:t>Дружества със средна пазарна капитализация (Mid-Caps)</w:t>
            </w:r>
          </w:p>
        </w:tc>
        <w:tc>
          <w:tcPr>
            <w:tcW w:w="6628" w:type="dxa"/>
            <w:shd w:val="clear" w:color="auto" w:fill="F3F3F3"/>
          </w:tcPr>
          <w:p w14:paraId="4F24BF0A" w14:textId="77777777" w:rsidR="003C6307" w:rsidRPr="00425A09" w:rsidRDefault="003C6307" w:rsidP="003C6307">
            <w:pPr>
              <w:spacing w:line="240" w:lineRule="auto"/>
              <w:jc w:val="both"/>
              <w:rPr>
                <w:rFonts w:eastAsia="Times New Roman" w:cstheme="minorHAnsi"/>
                <w:snapToGrid w:val="0"/>
                <w:sz w:val="24"/>
                <w:szCs w:val="24"/>
              </w:rPr>
            </w:pPr>
            <w:r w:rsidRPr="00425A09">
              <w:rPr>
                <w:rFonts w:eastAsia="Times New Roman" w:cstheme="minorHAnsi"/>
                <w:snapToGrid w:val="0"/>
                <w:sz w:val="24"/>
                <w:szCs w:val="24"/>
              </w:rPr>
              <w:t>За целите на настоящата процедура и съгласно определението в член 2, точка 7 от Регламент (ЕС) 2015/1017 на Европейския парламент и на Съвета „дружества със средна пазарна капитализация (Mid-Caps)“ са предприятия които имат до 3 000 служители, които не са МСП, нито са малки дружества със средна пазарна капитализация, като са взети предвид всички отношения на партньорство и свързаност с други предприятия по смисъла на чл. 4 от ЗМСП.</w:t>
            </w:r>
          </w:p>
        </w:tc>
      </w:tr>
      <w:tr w:rsidR="003C6307" w:rsidRPr="00425A09" w14:paraId="029965D2" w14:textId="77777777" w:rsidTr="00ED0D72">
        <w:tc>
          <w:tcPr>
            <w:tcW w:w="2660" w:type="dxa"/>
            <w:shd w:val="clear" w:color="auto" w:fill="E6E6E6"/>
          </w:tcPr>
          <w:p w14:paraId="569EDD2C" w14:textId="77777777" w:rsidR="003C6307" w:rsidRPr="00425A09" w:rsidRDefault="003C6307" w:rsidP="003C6307">
            <w:pPr>
              <w:spacing w:before="100" w:beforeAutospacing="1" w:after="100" w:afterAutospacing="1" w:line="240" w:lineRule="auto"/>
              <w:rPr>
                <w:rFonts w:eastAsia="Times New Roman" w:cstheme="minorHAnsi"/>
                <w:b/>
                <w:snapToGrid w:val="0"/>
                <w:sz w:val="24"/>
                <w:szCs w:val="24"/>
              </w:rPr>
            </w:pPr>
            <w:r w:rsidRPr="00425A09">
              <w:rPr>
                <w:rFonts w:eastAsia="Times New Roman" w:cstheme="minorHAnsi"/>
                <w:b/>
                <w:snapToGrid w:val="0"/>
                <w:sz w:val="24"/>
                <w:szCs w:val="24"/>
              </w:rPr>
              <w:t xml:space="preserve">Място на изпълнение на проекта </w:t>
            </w:r>
          </w:p>
        </w:tc>
        <w:tc>
          <w:tcPr>
            <w:tcW w:w="6628" w:type="dxa"/>
            <w:shd w:val="clear" w:color="auto" w:fill="F3F3F3"/>
          </w:tcPr>
          <w:p w14:paraId="2797B8CD" w14:textId="5F5D97A9" w:rsidR="003C6307" w:rsidRPr="00425A09" w:rsidRDefault="003C6307" w:rsidP="003C6307">
            <w:pPr>
              <w:spacing w:line="240" w:lineRule="auto"/>
              <w:jc w:val="both"/>
              <w:rPr>
                <w:rFonts w:eastAsia="Times New Roman" w:cstheme="minorHAnsi"/>
                <w:snapToGrid w:val="0"/>
                <w:sz w:val="24"/>
                <w:szCs w:val="24"/>
              </w:rPr>
            </w:pPr>
            <w:r w:rsidRPr="00425A09">
              <w:rPr>
                <w:rFonts w:eastAsia="Times New Roman" w:cstheme="minorHAnsi"/>
                <w:snapToGrid w:val="0"/>
                <w:sz w:val="24"/>
                <w:szCs w:val="24"/>
              </w:rPr>
              <w:t>Мястото на физическото осъществяване на инвестицията/дейността</w:t>
            </w:r>
            <w:r w:rsidR="002A3700" w:rsidRPr="00425A09">
              <w:rPr>
                <w:rStyle w:val="FootnoteReference"/>
                <w:rFonts w:eastAsia="Times New Roman" w:cstheme="minorHAnsi"/>
                <w:snapToGrid w:val="0"/>
                <w:sz w:val="24"/>
                <w:szCs w:val="24"/>
              </w:rPr>
              <w:footnoteReference w:id="2"/>
            </w:r>
            <w:r w:rsidRPr="00425A09">
              <w:rPr>
                <w:rFonts w:eastAsia="Times New Roman" w:cstheme="minorHAnsi"/>
                <w:snapToGrid w:val="0"/>
                <w:sz w:val="24"/>
                <w:szCs w:val="24"/>
              </w:rPr>
              <w:t>.</w:t>
            </w:r>
          </w:p>
        </w:tc>
      </w:tr>
      <w:tr w:rsidR="003C6307" w:rsidRPr="00425A09" w14:paraId="0E2223AF" w14:textId="77777777" w:rsidTr="00ED0D72">
        <w:tc>
          <w:tcPr>
            <w:tcW w:w="2660" w:type="dxa"/>
            <w:shd w:val="clear" w:color="auto" w:fill="E6E6E6"/>
          </w:tcPr>
          <w:p w14:paraId="761DE99D" w14:textId="02CB4989" w:rsidR="003C6307" w:rsidRPr="00425A09" w:rsidRDefault="003C6307" w:rsidP="003C6307">
            <w:pPr>
              <w:spacing w:before="100" w:beforeAutospacing="1" w:after="100" w:afterAutospacing="1" w:line="240" w:lineRule="auto"/>
              <w:rPr>
                <w:rFonts w:eastAsia="Times New Roman" w:cstheme="minorHAnsi"/>
                <w:b/>
                <w:snapToGrid w:val="0"/>
                <w:sz w:val="24"/>
                <w:szCs w:val="24"/>
              </w:rPr>
            </w:pPr>
            <w:r w:rsidRPr="00425A09">
              <w:rPr>
                <w:rFonts w:eastAsia="Times New Roman" w:cstheme="minorHAnsi"/>
                <w:b/>
                <w:snapToGrid w:val="0"/>
                <w:sz w:val="24"/>
                <w:szCs w:val="24"/>
              </w:rPr>
              <w:t>Наети лица</w:t>
            </w:r>
          </w:p>
        </w:tc>
        <w:tc>
          <w:tcPr>
            <w:tcW w:w="6628" w:type="dxa"/>
            <w:shd w:val="clear" w:color="auto" w:fill="F3F3F3"/>
          </w:tcPr>
          <w:p w14:paraId="7498347A" w14:textId="038F2AAB" w:rsidR="003C6307" w:rsidRPr="00425A09" w:rsidRDefault="003C6307" w:rsidP="003C6307">
            <w:pPr>
              <w:spacing w:line="240" w:lineRule="auto"/>
              <w:jc w:val="both"/>
              <w:rPr>
                <w:rFonts w:eastAsia="Times New Roman" w:cstheme="minorHAnsi"/>
                <w:snapToGrid w:val="0"/>
                <w:sz w:val="24"/>
                <w:szCs w:val="24"/>
              </w:rPr>
            </w:pPr>
            <w:r w:rsidRPr="00425A09">
              <w:rPr>
                <w:rFonts w:eastAsia="Times New Roman" w:cstheme="minorHAnsi"/>
                <w:snapToGrid w:val="0"/>
                <w:sz w:val="24"/>
                <w:szCs w:val="24"/>
              </w:rPr>
              <w:t>Наети лица са лицата, които са в трудово правоотношение с работодателя съгласно Кодекса на труда и в служебно правоотношение съгласно Закона за държавния служител, по силата на които правоотношения те получават възнаграждение в пари или натура под формата на работна заплата за извършена в определен обем и качество работа, независимо дали договорът за наемане е постоянен или временен, на пълно или непълно работно време.</w:t>
            </w:r>
          </w:p>
        </w:tc>
      </w:tr>
      <w:tr w:rsidR="003C6307" w:rsidRPr="00425A09" w14:paraId="58481A00" w14:textId="77777777" w:rsidTr="00ED0D72">
        <w:tc>
          <w:tcPr>
            <w:tcW w:w="2660" w:type="dxa"/>
            <w:shd w:val="clear" w:color="auto" w:fill="E6E6E6"/>
          </w:tcPr>
          <w:p w14:paraId="51E3D87E" w14:textId="77777777" w:rsidR="003C6307" w:rsidRPr="00425A09" w:rsidRDefault="003C6307" w:rsidP="003C6307">
            <w:pPr>
              <w:spacing w:before="100" w:beforeAutospacing="1" w:after="100" w:afterAutospacing="1" w:line="240" w:lineRule="auto"/>
              <w:rPr>
                <w:rFonts w:eastAsia="Times New Roman" w:cstheme="minorHAnsi"/>
                <w:b/>
                <w:snapToGrid w:val="0"/>
                <w:sz w:val="24"/>
                <w:szCs w:val="24"/>
              </w:rPr>
            </w:pPr>
            <w:r w:rsidRPr="00425A09">
              <w:rPr>
                <w:rFonts w:eastAsia="Times New Roman" w:cstheme="minorHAnsi"/>
                <w:b/>
                <w:snapToGrid w:val="0"/>
                <w:sz w:val="24"/>
                <w:szCs w:val="24"/>
              </w:rPr>
              <w:t>Национално съфинансиране</w:t>
            </w:r>
          </w:p>
        </w:tc>
        <w:tc>
          <w:tcPr>
            <w:tcW w:w="6628" w:type="dxa"/>
            <w:shd w:val="clear" w:color="auto" w:fill="F3F3F3"/>
          </w:tcPr>
          <w:p w14:paraId="2CF54440" w14:textId="77777777" w:rsidR="003C6307" w:rsidRPr="00425A09" w:rsidRDefault="003C6307" w:rsidP="003C6307">
            <w:pPr>
              <w:spacing w:line="240" w:lineRule="auto"/>
              <w:jc w:val="both"/>
              <w:rPr>
                <w:rFonts w:eastAsia="Times New Roman" w:cstheme="minorHAnsi"/>
                <w:snapToGrid w:val="0"/>
                <w:sz w:val="24"/>
                <w:szCs w:val="24"/>
              </w:rPr>
            </w:pPr>
            <w:r w:rsidRPr="00425A09">
              <w:rPr>
                <w:rFonts w:eastAsia="Times New Roman" w:cstheme="minorHAnsi"/>
                <w:snapToGrid w:val="0"/>
                <w:sz w:val="24"/>
                <w:szCs w:val="24"/>
              </w:rPr>
              <w:t>Съфинансиране, осигурено чрез трансфер от централния бюджет съгласно чл. 60, т. 2 от Закона за публичните финанси.</w:t>
            </w:r>
          </w:p>
        </w:tc>
      </w:tr>
      <w:tr w:rsidR="003C6307" w:rsidRPr="00425A09" w14:paraId="2A668F0B" w14:textId="77777777" w:rsidTr="00ED0D72">
        <w:tc>
          <w:tcPr>
            <w:tcW w:w="2660" w:type="dxa"/>
            <w:shd w:val="clear" w:color="auto" w:fill="E6E6E6"/>
          </w:tcPr>
          <w:p w14:paraId="611A482A" w14:textId="77777777" w:rsidR="003C6307" w:rsidRPr="00425A09" w:rsidRDefault="003C6307" w:rsidP="003C6307">
            <w:pPr>
              <w:spacing w:before="100" w:beforeAutospacing="1" w:after="100" w:afterAutospacing="1" w:line="240" w:lineRule="auto"/>
              <w:rPr>
                <w:rFonts w:eastAsia="Times New Roman" w:cstheme="minorHAnsi"/>
                <w:b/>
                <w:snapToGrid w:val="0"/>
                <w:sz w:val="24"/>
                <w:szCs w:val="24"/>
              </w:rPr>
            </w:pPr>
            <w:r w:rsidRPr="00425A09">
              <w:rPr>
                <w:rFonts w:eastAsia="Times New Roman" w:cstheme="minorHAnsi"/>
                <w:b/>
                <w:snapToGrid w:val="0"/>
                <w:sz w:val="24"/>
                <w:szCs w:val="24"/>
              </w:rPr>
              <w:t>Нематериални активи</w:t>
            </w:r>
          </w:p>
        </w:tc>
        <w:tc>
          <w:tcPr>
            <w:tcW w:w="6628" w:type="dxa"/>
            <w:shd w:val="clear" w:color="auto" w:fill="F3F3F3"/>
          </w:tcPr>
          <w:p w14:paraId="484F6F1D" w14:textId="77777777" w:rsidR="003C6307" w:rsidRPr="00425A09" w:rsidRDefault="003C6307" w:rsidP="003C6307">
            <w:pPr>
              <w:spacing w:before="100" w:beforeAutospacing="1" w:after="100" w:afterAutospacing="1" w:line="240" w:lineRule="auto"/>
              <w:jc w:val="both"/>
              <w:rPr>
                <w:rFonts w:eastAsia="Times New Roman" w:cstheme="minorHAnsi"/>
                <w:snapToGrid w:val="0"/>
                <w:sz w:val="24"/>
                <w:szCs w:val="24"/>
                <w:lang w:val="bg"/>
              </w:rPr>
            </w:pPr>
            <w:r w:rsidRPr="00425A09">
              <w:rPr>
                <w:rFonts w:eastAsia="Times New Roman" w:cstheme="minorHAnsi"/>
                <w:snapToGrid w:val="0"/>
                <w:sz w:val="24"/>
                <w:szCs w:val="24"/>
              </w:rPr>
              <w:t xml:space="preserve">По смисъла на чл. 2, пар. 30 от Регламент (ЕО) № 651/2014 „Нематериални активи“ </w:t>
            </w:r>
            <w:r w:rsidRPr="00425A09">
              <w:rPr>
                <w:rFonts w:eastAsia="Times New Roman" w:cstheme="minorHAnsi"/>
                <w:snapToGrid w:val="0"/>
                <w:sz w:val="24"/>
                <w:szCs w:val="24"/>
                <w:lang w:val="bg"/>
              </w:rPr>
              <w:t xml:space="preserve">означава активи, които нямат физически или финансов израз, като патенти, лицензи, </w:t>
            </w:r>
            <w:proofErr w:type="spellStart"/>
            <w:r w:rsidRPr="00425A09">
              <w:rPr>
                <w:rFonts w:eastAsia="Times New Roman" w:cstheme="minorHAnsi"/>
                <w:snapToGrid w:val="0"/>
                <w:sz w:val="24"/>
                <w:szCs w:val="24"/>
                <w:lang w:val="bg"/>
              </w:rPr>
              <w:t>ноу</w:t>
            </w:r>
            <w:proofErr w:type="spellEnd"/>
            <w:r w:rsidRPr="00425A09">
              <w:rPr>
                <w:rFonts w:eastAsia="Times New Roman" w:cstheme="minorHAnsi"/>
                <w:snapToGrid w:val="0"/>
                <w:sz w:val="24"/>
                <w:szCs w:val="24"/>
                <w:lang w:val="bg"/>
              </w:rPr>
              <w:t xml:space="preserve">- </w:t>
            </w:r>
            <w:proofErr w:type="spellStart"/>
            <w:r w:rsidRPr="00425A09">
              <w:rPr>
                <w:rFonts w:eastAsia="Times New Roman" w:cstheme="minorHAnsi"/>
                <w:snapToGrid w:val="0"/>
                <w:sz w:val="24"/>
                <w:szCs w:val="24"/>
                <w:lang w:val="bg"/>
              </w:rPr>
              <w:t>хау</w:t>
            </w:r>
            <w:proofErr w:type="spellEnd"/>
            <w:r w:rsidRPr="00425A09">
              <w:rPr>
                <w:rFonts w:eastAsia="Times New Roman" w:cstheme="minorHAnsi"/>
                <w:snapToGrid w:val="0"/>
                <w:sz w:val="24"/>
                <w:szCs w:val="24"/>
                <w:lang w:val="bg"/>
              </w:rPr>
              <w:t xml:space="preserve"> или друга интелектуална собственост.</w:t>
            </w:r>
          </w:p>
        </w:tc>
      </w:tr>
      <w:tr w:rsidR="003C6307" w:rsidRPr="00425A09" w14:paraId="59F540A1" w14:textId="77777777" w:rsidTr="00ED0D72">
        <w:tc>
          <w:tcPr>
            <w:tcW w:w="2660" w:type="dxa"/>
            <w:shd w:val="clear" w:color="auto" w:fill="E6E6E6"/>
          </w:tcPr>
          <w:p w14:paraId="3B8A54DD" w14:textId="77777777" w:rsidR="003C6307" w:rsidRPr="00425A09" w:rsidRDefault="003C6307" w:rsidP="003C6307">
            <w:pPr>
              <w:spacing w:before="100" w:beforeAutospacing="1" w:after="100" w:afterAutospacing="1" w:line="240" w:lineRule="auto"/>
              <w:rPr>
                <w:rFonts w:eastAsia="Times New Roman" w:cstheme="minorHAnsi"/>
                <w:b/>
                <w:snapToGrid w:val="0"/>
                <w:sz w:val="24"/>
                <w:szCs w:val="24"/>
              </w:rPr>
            </w:pPr>
            <w:r w:rsidRPr="00425A09">
              <w:rPr>
                <w:rFonts w:eastAsia="Times New Roman" w:cstheme="minorHAnsi"/>
                <w:b/>
                <w:snapToGrid w:val="0"/>
                <w:sz w:val="24"/>
                <w:szCs w:val="24"/>
              </w:rPr>
              <w:t>Ненанасяне на значителни вреди</w:t>
            </w:r>
          </w:p>
        </w:tc>
        <w:tc>
          <w:tcPr>
            <w:tcW w:w="6628" w:type="dxa"/>
            <w:shd w:val="clear" w:color="auto" w:fill="F3F3F3"/>
          </w:tcPr>
          <w:p w14:paraId="44E68125" w14:textId="77777777" w:rsidR="003C6307" w:rsidRPr="00425A09" w:rsidRDefault="003C6307" w:rsidP="003C6307">
            <w:pPr>
              <w:spacing w:before="100" w:beforeAutospacing="1" w:after="100" w:afterAutospacing="1" w:line="240" w:lineRule="auto"/>
              <w:jc w:val="both"/>
              <w:rPr>
                <w:rFonts w:eastAsia="Times New Roman" w:cstheme="minorHAnsi"/>
                <w:snapToGrid w:val="0"/>
                <w:sz w:val="24"/>
                <w:szCs w:val="24"/>
              </w:rPr>
            </w:pPr>
            <w:r w:rsidRPr="00425A09">
              <w:rPr>
                <w:rFonts w:eastAsia="Times New Roman" w:cstheme="minorHAnsi"/>
                <w:snapToGrid w:val="0"/>
                <w:sz w:val="24"/>
                <w:szCs w:val="24"/>
              </w:rPr>
              <w:t>„Ненанасяне на значителни вреди“ означава да не се подкрепят или извършват икономически дейности, които нанасят значителни вреди на която и да било екологична цел, когато е приложимо, по смисъла на член 17 от Регламент (ЕС) 2020/852.</w:t>
            </w:r>
          </w:p>
        </w:tc>
      </w:tr>
      <w:tr w:rsidR="003C6307" w:rsidRPr="00425A09" w14:paraId="6C88E28B" w14:textId="77777777" w:rsidTr="00ED0D72">
        <w:tc>
          <w:tcPr>
            <w:tcW w:w="2660" w:type="dxa"/>
            <w:shd w:val="clear" w:color="auto" w:fill="E6E6E6"/>
          </w:tcPr>
          <w:p w14:paraId="30BD58AD" w14:textId="77777777" w:rsidR="003C6307" w:rsidRPr="00425A09" w:rsidRDefault="003C6307" w:rsidP="003C6307">
            <w:pPr>
              <w:spacing w:before="100" w:beforeAutospacing="1" w:after="100" w:afterAutospacing="1" w:line="240" w:lineRule="auto"/>
              <w:rPr>
                <w:rFonts w:eastAsia="Times New Roman" w:cstheme="minorHAnsi"/>
                <w:b/>
                <w:snapToGrid w:val="0"/>
                <w:sz w:val="24"/>
                <w:szCs w:val="24"/>
                <w:highlight w:val="yellow"/>
              </w:rPr>
            </w:pPr>
            <w:r w:rsidRPr="00425A09">
              <w:rPr>
                <w:rFonts w:eastAsia="Times New Roman" w:cstheme="minorHAnsi"/>
                <w:b/>
                <w:snapToGrid w:val="0"/>
                <w:sz w:val="24"/>
                <w:szCs w:val="24"/>
              </w:rPr>
              <w:t xml:space="preserve">Нередност </w:t>
            </w:r>
          </w:p>
        </w:tc>
        <w:tc>
          <w:tcPr>
            <w:tcW w:w="6628" w:type="dxa"/>
            <w:shd w:val="clear" w:color="auto" w:fill="F3F3F3"/>
          </w:tcPr>
          <w:p w14:paraId="6AFFA5CF" w14:textId="77777777" w:rsidR="003C6307" w:rsidRPr="00425A09" w:rsidRDefault="003C6307" w:rsidP="003C6307">
            <w:pPr>
              <w:spacing w:before="100" w:beforeAutospacing="1" w:after="100" w:afterAutospacing="1" w:line="240" w:lineRule="auto"/>
              <w:jc w:val="both"/>
              <w:rPr>
                <w:rFonts w:eastAsia="Times New Roman" w:cstheme="minorHAnsi"/>
                <w:snapToGrid w:val="0"/>
                <w:sz w:val="24"/>
                <w:szCs w:val="24"/>
              </w:rPr>
            </w:pPr>
            <w:r w:rsidRPr="00425A09">
              <w:rPr>
                <w:rFonts w:eastAsia="Times New Roman" w:cstheme="minorHAnsi"/>
                <w:snapToGrid w:val="0"/>
                <w:sz w:val="24"/>
                <w:szCs w:val="24"/>
              </w:rPr>
              <w:t xml:space="preserve">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w:t>
            </w:r>
            <w:r w:rsidRPr="00425A09">
              <w:rPr>
                <w:rFonts w:eastAsia="Times New Roman" w:cstheme="minorHAnsi"/>
                <w:snapToGrid w:val="0"/>
                <w:sz w:val="24"/>
                <w:szCs w:val="24"/>
              </w:rPr>
              <w:lastRenderedPageBreak/>
              <w:t>разход в този бюджет.</w:t>
            </w:r>
          </w:p>
        </w:tc>
      </w:tr>
      <w:tr w:rsidR="003C6307" w:rsidRPr="00425A09" w14:paraId="52D03188" w14:textId="77777777" w:rsidTr="00ED0D72">
        <w:tc>
          <w:tcPr>
            <w:tcW w:w="2660" w:type="dxa"/>
            <w:shd w:val="clear" w:color="auto" w:fill="E6E6E6"/>
          </w:tcPr>
          <w:p w14:paraId="5A67E182" w14:textId="77777777" w:rsidR="003C6307" w:rsidRPr="00425A09" w:rsidRDefault="003C6307" w:rsidP="003C6307">
            <w:pPr>
              <w:spacing w:before="100" w:beforeAutospacing="1" w:after="100" w:afterAutospacing="1" w:line="240" w:lineRule="auto"/>
              <w:rPr>
                <w:rFonts w:eastAsia="Times New Roman" w:cstheme="minorHAnsi"/>
                <w:b/>
                <w:snapToGrid w:val="0"/>
                <w:sz w:val="24"/>
                <w:szCs w:val="24"/>
                <w:highlight w:val="yellow"/>
              </w:rPr>
            </w:pPr>
            <w:r w:rsidRPr="00425A09">
              <w:rPr>
                <w:rFonts w:eastAsia="Times New Roman" w:cstheme="minorHAnsi"/>
                <w:b/>
                <w:snapToGrid w:val="0"/>
                <w:sz w:val="24"/>
                <w:szCs w:val="24"/>
              </w:rPr>
              <w:lastRenderedPageBreak/>
              <w:t>Сектор на рибарството и аквакултурите</w:t>
            </w:r>
          </w:p>
        </w:tc>
        <w:tc>
          <w:tcPr>
            <w:tcW w:w="6628" w:type="dxa"/>
            <w:shd w:val="clear" w:color="auto" w:fill="F3F3F3"/>
          </w:tcPr>
          <w:p w14:paraId="5E433189" w14:textId="77777777" w:rsidR="003C6307" w:rsidRPr="00425A09" w:rsidRDefault="003C6307" w:rsidP="003C6307">
            <w:pPr>
              <w:spacing w:before="100" w:beforeAutospacing="1" w:after="100" w:afterAutospacing="1" w:line="240" w:lineRule="auto"/>
              <w:jc w:val="both"/>
              <w:rPr>
                <w:rFonts w:eastAsia="Times New Roman" w:cstheme="minorHAnsi"/>
                <w:snapToGrid w:val="0"/>
                <w:sz w:val="24"/>
                <w:szCs w:val="24"/>
              </w:rPr>
            </w:pPr>
            <w:r w:rsidRPr="00425A09">
              <w:rPr>
                <w:rFonts w:eastAsia="Times New Roman" w:cstheme="minorHAnsi"/>
                <w:snapToGrid w:val="0"/>
                <w:sz w:val="24"/>
                <w:szCs w:val="24"/>
              </w:rPr>
              <w:t>Съгласно чл. 5, б. г) на РЕГЛАМЕНТ (ЕС) № 1379/2013 НА ЕВРОПЕЙСКИЯ ПАРЛАМЕНТ И НА СЪВЕТА от 11 декември 2013 година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 „сектор на рибарството и аквакултурите“ означава 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3C6307" w:rsidRPr="00425A09" w14:paraId="2F3B9B81" w14:textId="77777777" w:rsidTr="00ED0D72">
        <w:tc>
          <w:tcPr>
            <w:tcW w:w="2660" w:type="dxa"/>
            <w:shd w:val="clear" w:color="auto" w:fill="E6E6E6"/>
          </w:tcPr>
          <w:p w14:paraId="430BEF73" w14:textId="77777777" w:rsidR="003C6307" w:rsidRPr="00425A09" w:rsidRDefault="003C6307" w:rsidP="003C6307">
            <w:pPr>
              <w:spacing w:before="100" w:beforeAutospacing="1" w:after="100" w:afterAutospacing="1" w:line="240" w:lineRule="auto"/>
              <w:rPr>
                <w:rFonts w:eastAsia="Times New Roman" w:cstheme="minorHAnsi"/>
                <w:b/>
                <w:snapToGrid w:val="0"/>
                <w:sz w:val="24"/>
                <w:szCs w:val="24"/>
              </w:rPr>
            </w:pPr>
            <w:r w:rsidRPr="00425A09">
              <w:rPr>
                <w:rFonts w:eastAsia="Times New Roman" w:cstheme="minorHAnsi"/>
                <w:b/>
                <w:snapToGrid w:val="0"/>
                <w:sz w:val="24"/>
                <w:szCs w:val="24"/>
              </w:rPr>
              <w:t>Партньори на кандидатите за безвъзмездна финансова помощ</w:t>
            </w:r>
          </w:p>
        </w:tc>
        <w:tc>
          <w:tcPr>
            <w:tcW w:w="6628" w:type="dxa"/>
            <w:shd w:val="clear" w:color="auto" w:fill="F3F3F3"/>
          </w:tcPr>
          <w:p w14:paraId="3BEDDCC7" w14:textId="77777777" w:rsidR="003C6307" w:rsidRPr="00425A09" w:rsidRDefault="003C6307" w:rsidP="003C6307">
            <w:pPr>
              <w:spacing w:before="100" w:beforeAutospacing="1" w:after="100" w:afterAutospacing="1" w:line="240" w:lineRule="auto"/>
              <w:jc w:val="both"/>
              <w:rPr>
                <w:rFonts w:eastAsia="Times New Roman" w:cstheme="minorHAnsi"/>
                <w:snapToGrid w:val="0"/>
                <w:sz w:val="24"/>
                <w:szCs w:val="24"/>
              </w:rPr>
            </w:pPr>
            <w:r w:rsidRPr="00425A09">
              <w:rPr>
                <w:rFonts w:eastAsia="Times New Roman" w:cstheme="minorHAnsi"/>
                <w:snapToGrid w:val="0"/>
                <w:sz w:val="24"/>
                <w:szCs w:val="24"/>
              </w:rPr>
              <w:t>"Партньори на кандидатите за безвъзмездна финансова помощ" са всички физически и юридически лица и техни обединения, които участват съвместно с кандидата в подготовката и/или техническото изпълнение на проекта или на предварително заявени във формуляра за кандидатстване дейности от проекта и разходват средства от безвъзмездната финансова помощ.</w:t>
            </w:r>
          </w:p>
        </w:tc>
      </w:tr>
      <w:tr w:rsidR="003C6307" w:rsidRPr="00425A09" w14:paraId="61A1DD63" w14:textId="77777777" w:rsidTr="00ED0D72">
        <w:tc>
          <w:tcPr>
            <w:tcW w:w="2660" w:type="dxa"/>
            <w:shd w:val="clear" w:color="auto" w:fill="E6E6E6"/>
          </w:tcPr>
          <w:p w14:paraId="1CC97C35" w14:textId="77777777" w:rsidR="003C6307" w:rsidRPr="00425A09" w:rsidRDefault="003C6307" w:rsidP="003C6307">
            <w:pPr>
              <w:spacing w:before="100" w:beforeAutospacing="1" w:after="100" w:afterAutospacing="1" w:line="240" w:lineRule="auto"/>
              <w:rPr>
                <w:rFonts w:eastAsia="Times New Roman" w:cstheme="minorHAnsi"/>
                <w:b/>
                <w:snapToGrid w:val="0"/>
                <w:sz w:val="24"/>
                <w:szCs w:val="24"/>
              </w:rPr>
            </w:pPr>
            <w:r w:rsidRPr="00425A09">
              <w:rPr>
                <w:rFonts w:eastAsia="Times New Roman" w:cstheme="minorHAnsi"/>
                <w:b/>
                <w:snapToGrid w:val="0"/>
                <w:sz w:val="24"/>
                <w:szCs w:val="24"/>
              </w:rPr>
              <w:t>Показател за краен продукт</w:t>
            </w:r>
          </w:p>
        </w:tc>
        <w:tc>
          <w:tcPr>
            <w:tcW w:w="6628" w:type="dxa"/>
            <w:shd w:val="clear" w:color="auto" w:fill="F3F3F3"/>
          </w:tcPr>
          <w:p w14:paraId="78AEB6A5" w14:textId="77777777" w:rsidR="003C6307" w:rsidRPr="00425A09" w:rsidRDefault="003C6307" w:rsidP="003C6307">
            <w:pPr>
              <w:spacing w:before="100" w:beforeAutospacing="1" w:after="100" w:afterAutospacing="1" w:line="240" w:lineRule="auto"/>
              <w:jc w:val="both"/>
              <w:rPr>
                <w:rFonts w:eastAsia="Times New Roman" w:cstheme="minorHAnsi"/>
                <w:snapToGrid w:val="0"/>
                <w:sz w:val="24"/>
                <w:szCs w:val="24"/>
              </w:rPr>
            </w:pPr>
            <w:r w:rsidRPr="00425A09">
              <w:rPr>
                <w:rFonts w:eastAsia="Times New Roman" w:cstheme="minorHAnsi"/>
                <w:snapToGrid w:val="0"/>
                <w:sz w:val="24"/>
                <w:szCs w:val="24"/>
              </w:rPr>
              <w:t>Показател за измерване на конкретните резултати от интервенцията.</w:t>
            </w:r>
          </w:p>
        </w:tc>
      </w:tr>
      <w:tr w:rsidR="003C6307" w:rsidRPr="00425A09" w14:paraId="66D6B468" w14:textId="77777777" w:rsidTr="00ED0D72">
        <w:tc>
          <w:tcPr>
            <w:tcW w:w="2660" w:type="dxa"/>
            <w:shd w:val="clear" w:color="auto" w:fill="E6E6E6"/>
          </w:tcPr>
          <w:p w14:paraId="19B70C23" w14:textId="77777777" w:rsidR="003C6307" w:rsidRPr="00425A09" w:rsidRDefault="003C6307" w:rsidP="003C6307">
            <w:pPr>
              <w:spacing w:before="100" w:beforeAutospacing="1" w:after="100" w:afterAutospacing="1" w:line="240" w:lineRule="auto"/>
              <w:rPr>
                <w:rFonts w:eastAsia="Times New Roman" w:cstheme="minorHAnsi"/>
                <w:b/>
                <w:snapToGrid w:val="0"/>
                <w:sz w:val="24"/>
                <w:szCs w:val="24"/>
              </w:rPr>
            </w:pPr>
            <w:r w:rsidRPr="00425A09">
              <w:rPr>
                <w:rFonts w:eastAsia="Times New Roman" w:cstheme="minorHAnsi"/>
                <w:b/>
                <w:snapToGrid w:val="0"/>
                <w:sz w:val="24"/>
                <w:szCs w:val="24"/>
              </w:rPr>
              <w:t>Показател за резултат</w:t>
            </w:r>
          </w:p>
        </w:tc>
        <w:tc>
          <w:tcPr>
            <w:tcW w:w="6628" w:type="dxa"/>
            <w:shd w:val="clear" w:color="auto" w:fill="F3F3F3"/>
          </w:tcPr>
          <w:p w14:paraId="1E596725" w14:textId="77777777" w:rsidR="003C6307" w:rsidRPr="00425A09" w:rsidRDefault="003C6307" w:rsidP="003C6307">
            <w:pPr>
              <w:spacing w:before="100" w:beforeAutospacing="1" w:after="100" w:afterAutospacing="1" w:line="240" w:lineRule="auto"/>
              <w:jc w:val="both"/>
              <w:rPr>
                <w:rFonts w:eastAsia="Times New Roman" w:cstheme="minorHAnsi"/>
                <w:snapToGrid w:val="0"/>
                <w:sz w:val="24"/>
                <w:szCs w:val="24"/>
              </w:rPr>
            </w:pPr>
            <w:r w:rsidRPr="00425A09">
              <w:rPr>
                <w:rFonts w:eastAsia="Times New Roman" w:cstheme="minorHAnsi"/>
                <w:snapToGrid w:val="0"/>
                <w:sz w:val="24"/>
                <w:szCs w:val="24"/>
              </w:rPr>
              <w:t>Показател за измерване на последиците от получилите подкрепа интервенции от гледна точка по-специално на преките адресати, целевата група от населението или ползвателите на инфраструктурата</w:t>
            </w:r>
          </w:p>
        </w:tc>
      </w:tr>
      <w:tr w:rsidR="003C6307" w:rsidRPr="00425A09" w14:paraId="6B8B0193" w14:textId="77777777" w:rsidTr="00ED0D72">
        <w:tc>
          <w:tcPr>
            <w:tcW w:w="2660" w:type="dxa"/>
            <w:shd w:val="clear" w:color="auto" w:fill="E6E6E6"/>
          </w:tcPr>
          <w:p w14:paraId="55D3DBF0" w14:textId="77777777" w:rsidR="003C6307" w:rsidRPr="00425A09" w:rsidRDefault="003C6307" w:rsidP="003C6307">
            <w:pPr>
              <w:spacing w:before="100" w:beforeAutospacing="1" w:after="100" w:afterAutospacing="1" w:line="240" w:lineRule="auto"/>
              <w:rPr>
                <w:rFonts w:eastAsia="Times New Roman" w:cstheme="minorHAnsi"/>
                <w:b/>
                <w:snapToGrid w:val="0"/>
                <w:sz w:val="24"/>
                <w:szCs w:val="24"/>
              </w:rPr>
            </w:pPr>
            <w:r w:rsidRPr="00425A09">
              <w:rPr>
                <w:rFonts w:eastAsia="Times New Roman" w:cstheme="minorHAnsi"/>
                <w:b/>
                <w:snapToGrid w:val="0"/>
                <w:sz w:val="24"/>
                <w:szCs w:val="24"/>
              </w:rPr>
              <w:t>Предприятие</w:t>
            </w:r>
          </w:p>
        </w:tc>
        <w:tc>
          <w:tcPr>
            <w:tcW w:w="6628" w:type="dxa"/>
            <w:shd w:val="clear" w:color="auto" w:fill="F3F3F3"/>
          </w:tcPr>
          <w:p w14:paraId="3BA95E14" w14:textId="77777777" w:rsidR="003C6307" w:rsidRPr="00425A09" w:rsidRDefault="003C6307" w:rsidP="003C6307">
            <w:pPr>
              <w:spacing w:before="100" w:beforeAutospacing="1" w:after="100" w:afterAutospacing="1" w:line="240" w:lineRule="auto"/>
              <w:jc w:val="both"/>
              <w:rPr>
                <w:rFonts w:eastAsia="Times New Roman" w:cstheme="minorHAnsi"/>
                <w:snapToGrid w:val="0"/>
                <w:sz w:val="24"/>
                <w:szCs w:val="24"/>
              </w:rPr>
            </w:pPr>
            <w:r w:rsidRPr="00425A09">
              <w:rPr>
                <w:rFonts w:eastAsia="Times New Roman" w:cstheme="minorHAnsi"/>
                <w:snapToGrid w:val="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3C6307" w:rsidRPr="00425A09" w14:paraId="125FB034" w14:textId="77777777" w:rsidTr="00ED0D72">
        <w:tc>
          <w:tcPr>
            <w:tcW w:w="2660" w:type="dxa"/>
            <w:shd w:val="clear" w:color="auto" w:fill="E6E6E6"/>
          </w:tcPr>
          <w:p w14:paraId="4EC85C36" w14:textId="77777777" w:rsidR="003C6307" w:rsidRPr="00425A09" w:rsidRDefault="003C6307" w:rsidP="003C6307">
            <w:pPr>
              <w:spacing w:before="100" w:beforeAutospacing="1" w:after="100" w:afterAutospacing="1" w:line="240" w:lineRule="auto"/>
              <w:rPr>
                <w:rFonts w:eastAsia="Times New Roman" w:cstheme="minorHAnsi"/>
                <w:b/>
                <w:snapToGrid w:val="0"/>
                <w:sz w:val="24"/>
                <w:szCs w:val="24"/>
              </w:rPr>
            </w:pPr>
            <w:r w:rsidRPr="00425A09">
              <w:rPr>
                <w:rFonts w:eastAsia="Times New Roman" w:cstheme="minorHAnsi"/>
                <w:b/>
                <w:snapToGrid w:val="0"/>
                <w:sz w:val="24"/>
                <w:szCs w:val="24"/>
              </w:rPr>
              <w:t>Предприятие в затруднено положение</w:t>
            </w:r>
          </w:p>
        </w:tc>
        <w:tc>
          <w:tcPr>
            <w:tcW w:w="6628" w:type="dxa"/>
            <w:shd w:val="clear" w:color="auto" w:fill="F3F3F3"/>
          </w:tcPr>
          <w:p w14:paraId="77866E89" w14:textId="77777777" w:rsidR="003C6307" w:rsidRPr="00425A09" w:rsidRDefault="003C6307" w:rsidP="003C6307">
            <w:pPr>
              <w:spacing w:after="60" w:line="240" w:lineRule="auto"/>
              <w:jc w:val="both"/>
              <w:rPr>
                <w:rFonts w:eastAsia="Times New Roman" w:cstheme="minorHAnsi"/>
                <w:snapToGrid w:val="0"/>
                <w:sz w:val="24"/>
                <w:szCs w:val="24"/>
              </w:rPr>
            </w:pPr>
            <w:r w:rsidRPr="00425A09">
              <w:rPr>
                <w:rFonts w:eastAsia="Times New Roman" w:cstheme="minorHAnsi"/>
                <w:snapToGrid w:val="0"/>
                <w:sz w:val="24"/>
                <w:szCs w:val="24"/>
              </w:rPr>
              <w:t>Съгласно чл. 2, пар. 18 от Регламент (ЕО) № 651/2014</w:t>
            </w:r>
            <w:r w:rsidRPr="00425A09">
              <w:rPr>
                <w:rFonts w:cstheme="minorHAnsi"/>
                <w:sz w:val="24"/>
                <w:szCs w:val="24"/>
              </w:rPr>
              <w:t xml:space="preserve"> </w:t>
            </w:r>
            <w:r w:rsidRPr="00425A09">
              <w:rPr>
                <w:rFonts w:eastAsia="Times New Roman" w:cstheme="minorHAnsi"/>
                <w:snapToGrid w:val="0"/>
                <w:sz w:val="24"/>
                <w:szCs w:val="24"/>
              </w:rPr>
              <w:t>предприятие в затруднено положение е предприятие, по отношение на което е изпълнено поне едно от следните обстоятелства:</w:t>
            </w:r>
          </w:p>
          <w:p w14:paraId="7B4B85B0" w14:textId="6F9314A7" w:rsidR="003C6307" w:rsidRPr="00425A09" w:rsidRDefault="003C6307" w:rsidP="003C6307">
            <w:pPr>
              <w:spacing w:after="60" w:line="240" w:lineRule="auto"/>
              <w:jc w:val="both"/>
              <w:rPr>
                <w:rFonts w:eastAsia="Times New Roman" w:cstheme="minorHAnsi"/>
                <w:snapToGrid w:val="0"/>
                <w:sz w:val="24"/>
                <w:szCs w:val="24"/>
              </w:rPr>
            </w:pPr>
            <w:r w:rsidRPr="00425A09">
              <w:rPr>
                <w:rFonts w:eastAsia="Times New Roman" w:cstheme="minorHAnsi"/>
                <w:snapToGrid w:val="0"/>
                <w:sz w:val="24"/>
                <w:szCs w:val="24"/>
              </w:rPr>
              <w:t xml:space="preserve">а)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(различно от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w:t>
            </w:r>
            <w:r w:rsidRPr="00425A09">
              <w:rPr>
                <w:rFonts w:eastAsia="Times New Roman" w:cstheme="minorHAnsi"/>
                <w:snapToGrid w:val="0"/>
                <w:sz w:val="24"/>
                <w:szCs w:val="24"/>
              </w:rPr>
              <w:lastRenderedPageBreak/>
              <w:t>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на Европейския парламент и на Съвета, а „акционерен капитал" включва, ако е уместно, всякакви премии от емисии;</w:t>
            </w:r>
          </w:p>
          <w:p w14:paraId="1B549DF6" w14:textId="3C038546" w:rsidR="003C6307" w:rsidRPr="00425A09" w:rsidRDefault="003C6307" w:rsidP="003C6307">
            <w:pPr>
              <w:spacing w:after="60" w:line="240" w:lineRule="auto"/>
              <w:jc w:val="both"/>
              <w:rPr>
                <w:rFonts w:eastAsia="Times New Roman" w:cstheme="minorHAnsi"/>
                <w:snapToGrid w:val="0"/>
                <w:sz w:val="24"/>
                <w:szCs w:val="24"/>
              </w:rPr>
            </w:pPr>
            <w:r w:rsidRPr="00425A09">
              <w:rPr>
                <w:rFonts w:eastAsia="Times New Roman" w:cstheme="minorHAnsi"/>
                <w:snapToGrid w:val="0"/>
                <w:sz w:val="24"/>
                <w:szCs w:val="24"/>
              </w:rPr>
              <w:t>б) в случай на събирателно дружество, командитно дружество или едноличен търговец или други лица по Приложение II към Директива 2013/34/ЕС (което не е МСП, което съществува от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183CA4EF" w14:textId="77777777" w:rsidR="003C6307" w:rsidRPr="00425A09" w:rsidRDefault="003C6307" w:rsidP="003C6307">
            <w:pPr>
              <w:spacing w:after="60" w:line="240" w:lineRule="auto"/>
              <w:jc w:val="both"/>
              <w:rPr>
                <w:rFonts w:eastAsia="Times New Roman" w:cstheme="minorHAnsi"/>
                <w:snapToGrid w:val="0"/>
                <w:sz w:val="24"/>
                <w:szCs w:val="24"/>
              </w:rPr>
            </w:pPr>
            <w:r w:rsidRPr="00425A09">
              <w:rPr>
                <w:rFonts w:eastAsia="Times New Roman" w:cstheme="minorHAnsi"/>
                <w:snapToGrid w:val="0"/>
                <w:sz w:val="24"/>
                <w:szCs w:val="24"/>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69903200" w14:textId="77777777" w:rsidR="003C6307" w:rsidRPr="00425A09" w:rsidRDefault="003C6307" w:rsidP="003C6307">
            <w:pPr>
              <w:spacing w:after="60" w:line="240" w:lineRule="auto"/>
              <w:jc w:val="both"/>
              <w:rPr>
                <w:rFonts w:eastAsia="Times New Roman" w:cstheme="minorHAnsi"/>
                <w:snapToGrid w:val="0"/>
                <w:sz w:val="24"/>
                <w:szCs w:val="24"/>
              </w:rPr>
            </w:pPr>
            <w:r w:rsidRPr="00425A09">
              <w:rPr>
                <w:rFonts w:eastAsia="Times New Roman" w:cstheme="minorHAnsi"/>
                <w:snapToGrid w:val="0"/>
                <w:sz w:val="24"/>
                <w:szCs w:val="24"/>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5BDB0749" w14:textId="77777777" w:rsidR="003C6307" w:rsidRPr="00425A09" w:rsidRDefault="003C6307" w:rsidP="003C6307">
            <w:pPr>
              <w:spacing w:after="60" w:line="240" w:lineRule="auto"/>
              <w:jc w:val="both"/>
              <w:rPr>
                <w:rFonts w:eastAsia="Times New Roman" w:cstheme="minorHAnsi"/>
                <w:snapToGrid w:val="0"/>
                <w:sz w:val="24"/>
                <w:szCs w:val="24"/>
              </w:rPr>
            </w:pPr>
            <w:r w:rsidRPr="00425A09">
              <w:rPr>
                <w:rFonts w:eastAsia="Times New Roman" w:cstheme="minorHAnsi"/>
                <w:snapToGrid w:val="0"/>
                <w:sz w:val="24"/>
                <w:szCs w:val="24"/>
              </w:rPr>
              <w:t>д) Когато предприятието не е МСП и през последните две години:</w:t>
            </w:r>
          </w:p>
          <w:p w14:paraId="7CB35AD3" w14:textId="788C3E47" w:rsidR="003C6307" w:rsidRPr="00425A09" w:rsidRDefault="003C6307" w:rsidP="003C6307">
            <w:pPr>
              <w:spacing w:after="60" w:line="240" w:lineRule="auto"/>
              <w:jc w:val="both"/>
              <w:rPr>
                <w:rFonts w:eastAsia="Times New Roman" w:cstheme="minorHAnsi"/>
                <w:snapToGrid w:val="0"/>
                <w:sz w:val="24"/>
                <w:szCs w:val="24"/>
              </w:rPr>
            </w:pPr>
            <w:r w:rsidRPr="00425A09">
              <w:rPr>
                <w:rFonts w:eastAsia="Times New Roman" w:cstheme="minorHAnsi"/>
                <w:snapToGrid w:val="0"/>
                <w:sz w:val="24"/>
                <w:szCs w:val="24"/>
              </w:rPr>
              <w:t>-съотношението задължения/собствен капитал на предприятието е било по-голямо от 7,5; и</w:t>
            </w:r>
          </w:p>
          <w:p w14:paraId="07B052A8" w14:textId="77777777" w:rsidR="003C6307" w:rsidRPr="00425A09" w:rsidRDefault="003C6307" w:rsidP="003C6307">
            <w:pPr>
              <w:spacing w:after="60" w:line="240" w:lineRule="auto"/>
              <w:jc w:val="both"/>
              <w:rPr>
                <w:rFonts w:eastAsia="Times New Roman" w:cstheme="minorHAnsi"/>
                <w:snapToGrid w:val="0"/>
                <w:sz w:val="24"/>
                <w:szCs w:val="24"/>
              </w:rPr>
            </w:pPr>
            <w:r w:rsidRPr="00425A09">
              <w:rPr>
                <w:rFonts w:eastAsia="Times New Roman" w:cstheme="minorHAnsi"/>
                <w:snapToGrid w:val="0"/>
                <w:sz w:val="24"/>
                <w:szCs w:val="24"/>
              </w:rPr>
              <w:t>- съотношението за лихвено покритие на предприятието, изчислено на основата на EBITDA, е било под 1,0.</w:t>
            </w:r>
          </w:p>
        </w:tc>
      </w:tr>
      <w:tr w:rsidR="003C6307" w:rsidRPr="00425A09" w14:paraId="0B0EEFA1" w14:textId="77777777" w:rsidTr="00ED0D72">
        <w:tc>
          <w:tcPr>
            <w:tcW w:w="2660" w:type="dxa"/>
            <w:shd w:val="clear" w:color="auto" w:fill="E6E6E6"/>
          </w:tcPr>
          <w:p w14:paraId="7BF78511" w14:textId="77777777" w:rsidR="003C6307" w:rsidRPr="00425A09" w:rsidRDefault="003C6307" w:rsidP="003C6307">
            <w:pPr>
              <w:spacing w:before="100" w:beforeAutospacing="1" w:after="100" w:afterAutospacing="1" w:line="240" w:lineRule="auto"/>
              <w:rPr>
                <w:rFonts w:eastAsia="Times New Roman" w:cstheme="minorHAnsi"/>
                <w:b/>
                <w:snapToGrid w:val="0"/>
                <w:sz w:val="24"/>
                <w:szCs w:val="24"/>
              </w:rPr>
            </w:pPr>
            <w:r w:rsidRPr="00425A09">
              <w:rPr>
                <w:rFonts w:eastAsia="Times New Roman" w:cstheme="minorHAnsi"/>
                <w:b/>
                <w:snapToGrid w:val="0"/>
                <w:sz w:val="24"/>
                <w:szCs w:val="24"/>
              </w:rPr>
              <w:lastRenderedPageBreak/>
              <w:t>Преработка на селскостопански продукти</w:t>
            </w:r>
          </w:p>
        </w:tc>
        <w:tc>
          <w:tcPr>
            <w:tcW w:w="6628" w:type="dxa"/>
            <w:shd w:val="clear" w:color="auto" w:fill="F3F3F3"/>
          </w:tcPr>
          <w:p w14:paraId="61B8D6A2" w14:textId="774D3F4B" w:rsidR="003C6307" w:rsidRPr="00425A09" w:rsidRDefault="003C6307" w:rsidP="003C6307">
            <w:pPr>
              <w:spacing w:before="100" w:beforeAutospacing="1" w:after="100" w:afterAutospacing="1" w:line="240" w:lineRule="auto"/>
              <w:jc w:val="both"/>
              <w:rPr>
                <w:rFonts w:eastAsia="Times New Roman" w:cstheme="minorHAnsi"/>
                <w:snapToGrid w:val="0"/>
                <w:sz w:val="24"/>
                <w:szCs w:val="24"/>
              </w:rPr>
            </w:pPr>
            <w:r w:rsidRPr="00425A09">
              <w:rPr>
                <w:rFonts w:eastAsia="Times New Roman" w:cstheme="minorHAnsi"/>
                <w:snapToGrid w:val="0"/>
                <w:sz w:val="24"/>
                <w:szCs w:val="24"/>
              </w:rPr>
              <w:t>Съгласно чл. 2, пар. 10 от Регламент (ЕО) № 651/2014</w:t>
            </w:r>
            <w:r w:rsidRPr="00425A09">
              <w:rPr>
                <w:rFonts w:cstheme="minorHAnsi"/>
                <w:sz w:val="24"/>
                <w:szCs w:val="24"/>
              </w:rPr>
              <w:t xml:space="preserve"> </w:t>
            </w:r>
            <w:r w:rsidRPr="00425A09">
              <w:rPr>
                <w:rFonts w:eastAsia="Times New Roman" w:cstheme="minorHAnsi"/>
                <w:snapToGrid w:val="0"/>
                <w:sz w:val="24"/>
                <w:szCs w:val="24"/>
              </w:rPr>
              <w:t>това е</w:t>
            </w:r>
            <w:r w:rsidRPr="00425A09">
              <w:rPr>
                <w:rFonts w:cstheme="minorHAnsi"/>
                <w:sz w:val="24"/>
                <w:szCs w:val="24"/>
              </w:rPr>
              <w:t xml:space="preserve"> </w:t>
            </w:r>
            <w:r w:rsidRPr="00425A09">
              <w:rPr>
                <w:rFonts w:eastAsia="Times New Roman" w:cstheme="minorHAnsi"/>
                <w:snapToGrid w:val="0"/>
                <w:sz w:val="24"/>
                <w:szCs w:val="24"/>
              </w:rPr>
              <w:t xml:space="preserve">всяка 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които са необходими за подготовката на </w:t>
            </w:r>
            <w:r w:rsidRPr="00425A09">
              <w:rPr>
                <w:rFonts w:eastAsia="Times New Roman" w:cstheme="minorHAnsi"/>
                <w:snapToGrid w:val="0"/>
                <w:sz w:val="24"/>
                <w:szCs w:val="24"/>
              </w:rPr>
              <w:lastRenderedPageBreak/>
              <w:t>животински или растителен продукт за първата му продажба.</w:t>
            </w:r>
          </w:p>
        </w:tc>
      </w:tr>
      <w:tr w:rsidR="003C6307" w:rsidRPr="00425A09" w14:paraId="6CB3AAE1" w14:textId="77777777" w:rsidTr="00ED0D72">
        <w:tc>
          <w:tcPr>
            <w:tcW w:w="2660" w:type="dxa"/>
            <w:shd w:val="clear" w:color="auto" w:fill="E6E6E6"/>
          </w:tcPr>
          <w:p w14:paraId="570BA0BE" w14:textId="77777777" w:rsidR="003C6307" w:rsidRPr="00425A09" w:rsidRDefault="003C6307" w:rsidP="003C6307">
            <w:pPr>
              <w:spacing w:before="100" w:beforeAutospacing="1" w:after="100" w:afterAutospacing="1" w:line="240" w:lineRule="auto"/>
              <w:rPr>
                <w:rFonts w:eastAsia="Times New Roman" w:cstheme="minorHAnsi"/>
                <w:b/>
                <w:snapToGrid w:val="0"/>
                <w:sz w:val="24"/>
                <w:szCs w:val="24"/>
              </w:rPr>
            </w:pPr>
            <w:r w:rsidRPr="00425A09">
              <w:rPr>
                <w:rFonts w:eastAsia="Times New Roman" w:cstheme="minorHAnsi"/>
                <w:b/>
                <w:snapToGrid w:val="0"/>
                <w:sz w:val="24"/>
                <w:szCs w:val="24"/>
              </w:rPr>
              <w:lastRenderedPageBreak/>
              <w:t>Проект</w:t>
            </w:r>
          </w:p>
        </w:tc>
        <w:tc>
          <w:tcPr>
            <w:tcW w:w="6628" w:type="dxa"/>
            <w:shd w:val="clear" w:color="auto" w:fill="F3F3F3"/>
          </w:tcPr>
          <w:p w14:paraId="74228E22" w14:textId="77777777" w:rsidR="003C6307" w:rsidRPr="00425A09" w:rsidRDefault="003C6307" w:rsidP="003C6307">
            <w:pPr>
              <w:spacing w:before="100" w:beforeAutospacing="1" w:after="100" w:afterAutospacing="1" w:line="240" w:lineRule="auto"/>
              <w:jc w:val="both"/>
              <w:rPr>
                <w:rFonts w:eastAsia="Times New Roman" w:cstheme="minorHAnsi"/>
                <w:snapToGrid w:val="0"/>
                <w:sz w:val="24"/>
                <w:szCs w:val="24"/>
              </w:rPr>
            </w:pPr>
            <w:r w:rsidRPr="00425A09">
              <w:rPr>
                <w:rFonts w:eastAsia="Times New Roman" w:cstheme="minorHAnsi"/>
                <w:snapToGrid w:val="0"/>
                <w:sz w:val="24"/>
                <w:szCs w:val="24"/>
              </w:rPr>
              <w:t xml:space="preserve">Съвкупност от взаимосвързани и </w:t>
            </w:r>
            <w:proofErr w:type="spellStart"/>
            <w:r w:rsidRPr="00425A09">
              <w:rPr>
                <w:rFonts w:eastAsia="Times New Roman" w:cstheme="minorHAnsi"/>
                <w:snapToGrid w:val="0"/>
                <w:sz w:val="24"/>
                <w:szCs w:val="24"/>
              </w:rPr>
              <w:t>взаимодопълващи</w:t>
            </w:r>
            <w:proofErr w:type="spellEnd"/>
            <w:r w:rsidRPr="00425A09">
              <w:rPr>
                <w:rFonts w:eastAsia="Times New Roman" w:cstheme="minorHAnsi"/>
                <w:snapToGrid w:val="0"/>
                <w:sz w:val="24"/>
                <w:szCs w:val="24"/>
              </w:rPr>
              <w:t xml:space="preserve">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3C6307" w:rsidRPr="00425A09" w14:paraId="180CEE18" w14:textId="77777777" w:rsidTr="00ED0D72">
        <w:tc>
          <w:tcPr>
            <w:tcW w:w="2660" w:type="dxa"/>
            <w:shd w:val="clear" w:color="auto" w:fill="E6E6E6"/>
          </w:tcPr>
          <w:p w14:paraId="43AF75BF" w14:textId="77777777" w:rsidR="003C6307" w:rsidRPr="00425A09" w:rsidRDefault="003C6307" w:rsidP="003C6307">
            <w:pPr>
              <w:spacing w:before="100" w:beforeAutospacing="1" w:after="100" w:afterAutospacing="1" w:line="240" w:lineRule="auto"/>
              <w:rPr>
                <w:rFonts w:eastAsia="Times New Roman" w:cstheme="minorHAnsi"/>
                <w:b/>
                <w:snapToGrid w:val="0"/>
                <w:sz w:val="24"/>
                <w:szCs w:val="24"/>
              </w:rPr>
            </w:pPr>
            <w:r w:rsidRPr="00425A09">
              <w:rPr>
                <w:rFonts w:eastAsia="Times New Roman" w:cstheme="minorHAnsi"/>
                <w:b/>
                <w:snapToGrid w:val="0"/>
                <w:sz w:val="24"/>
                <w:szCs w:val="24"/>
              </w:rPr>
              <w:t xml:space="preserve">Проектно предложение </w:t>
            </w:r>
          </w:p>
        </w:tc>
        <w:tc>
          <w:tcPr>
            <w:tcW w:w="6628" w:type="dxa"/>
            <w:shd w:val="clear" w:color="auto" w:fill="F3F3F3"/>
          </w:tcPr>
          <w:p w14:paraId="3D44EB8A" w14:textId="77777777" w:rsidR="003C6307" w:rsidRPr="00425A09" w:rsidRDefault="003C6307" w:rsidP="003C6307">
            <w:pPr>
              <w:spacing w:before="100" w:beforeAutospacing="1" w:after="100" w:afterAutospacing="1" w:line="240" w:lineRule="auto"/>
              <w:jc w:val="both"/>
              <w:rPr>
                <w:rFonts w:eastAsia="Times New Roman" w:cstheme="minorHAnsi"/>
                <w:snapToGrid w:val="0"/>
                <w:sz w:val="24"/>
                <w:szCs w:val="24"/>
              </w:rPr>
            </w:pPr>
            <w:r w:rsidRPr="00425A09">
              <w:rPr>
                <w:rFonts w:eastAsia="Times New Roman" w:cstheme="minorHAnsi"/>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3C6307" w:rsidRPr="00425A09" w14:paraId="276D09BA" w14:textId="77777777" w:rsidTr="00ED0D72">
        <w:tc>
          <w:tcPr>
            <w:tcW w:w="2660" w:type="dxa"/>
            <w:shd w:val="clear" w:color="auto" w:fill="E6E6E6"/>
          </w:tcPr>
          <w:p w14:paraId="4316C3D8" w14:textId="77777777" w:rsidR="003C6307" w:rsidRPr="00425A09" w:rsidRDefault="003C6307" w:rsidP="003C6307">
            <w:pPr>
              <w:spacing w:before="100" w:beforeAutospacing="1" w:after="100" w:afterAutospacing="1" w:line="240" w:lineRule="auto"/>
              <w:rPr>
                <w:rFonts w:eastAsia="Times New Roman" w:cstheme="minorHAnsi"/>
                <w:b/>
                <w:snapToGrid w:val="0"/>
                <w:sz w:val="24"/>
                <w:szCs w:val="24"/>
              </w:rPr>
            </w:pPr>
            <w:r w:rsidRPr="00425A09">
              <w:rPr>
                <w:rFonts w:eastAsia="Times New Roman" w:cstheme="minorHAnsi"/>
                <w:b/>
                <w:snapToGrid w:val="0"/>
                <w:sz w:val="24"/>
                <w:szCs w:val="24"/>
              </w:rPr>
              <w:t>Първично селскостопанско производство</w:t>
            </w:r>
          </w:p>
        </w:tc>
        <w:tc>
          <w:tcPr>
            <w:tcW w:w="6628" w:type="dxa"/>
            <w:shd w:val="clear" w:color="auto" w:fill="F3F3F3"/>
          </w:tcPr>
          <w:p w14:paraId="7B5B202E" w14:textId="4C21BFFF" w:rsidR="003C6307" w:rsidRPr="00425A09" w:rsidRDefault="003C6307" w:rsidP="003C6307">
            <w:pPr>
              <w:spacing w:before="100" w:beforeAutospacing="1" w:after="100" w:afterAutospacing="1" w:line="240" w:lineRule="auto"/>
              <w:jc w:val="both"/>
              <w:rPr>
                <w:rFonts w:eastAsia="Times New Roman" w:cstheme="minorHAnsi"/>
                <w:snapToGrid w:val="0"/>
                <w:sz w:val="24"/>
                <w:szCs w:val="24"/>
                <w:lang w:val="bg"/>
              </w:rPr>
            </w:pPr>
            <w:r w:rsidRPr="00425A09">
              <w:rPr>
                <w:rFonts w:eastAsia="Times New Roman" w:cstheme="minorHAnsi"/>
                <w:snapToGrid w:val="0"/>
                <w:sz w:val="24"/>
                <w:szCs w:val="24"/>
              </w:rPr>
              <w:t>Съгласно чл. 2, пар. 9 от Регламент (ЕО) № 651/2014</w:t>
            </w:r>
            <w:r w:rsidR="00CE3DEC">
              <w:t xml:space="preserve"> </w:t>
            </w:r>
            <w:r w:rsidR="00CE3DEC" w:rsidRPr="00CE3DEC">
              <w:rPr>
                <w:rFonts w:eastAsia="Times New Roman" w:cstheme="minorHAnsi"/>
                <w:snapToGrid w:val="0"/>
                <w:sz w:val="24"/>
                <w:szCs w:val="24"/>
              </w:rPr>
              <w:t>и чл. 2, пар. 1, буква б) от Регламент 2023/2831</w:t>
            </w:r>
            <w:r w:rsidRPr="00425A09">
              <w:rPr>
                <w:rFonts w:eastAsia="Times New Roman" w:cstheme="minorHAnsi"/>
                <w:snapToGrid w:val="0"/>
                <w:sz w:val="24"/>
                <w:szCs w:val="24"/>
              </w:rPr>
              <w:t xml:space="preserve"> това е </w:t>
            </w:r>
            <w:r w:rsidRPr="00425A09">
              <w:rPr>
                <w:rFonts w:eastAsia="Times New Roman" w:cstheme="minorHAnsi"/>
                <w:snapToGrid w:val="0"/>
                <w:sz w:val="24"/>
                <w:szCs w:val="24"/>
                <w:lang w:val="bg"/>
              </w:rPr>
              <w:t xml:space="preserve">производство на продукти на почвата и на животновъдството, изброени в Приложение </w:t>
            </w:r>
            <w:r w:rsidRPr="00425A09">
              <w:rPr>
                <w:rFonts w:eastAsia="Times New Roman" w:cstheme="minorHAnsi"/>
                <w:snapToGrid w:val="0"/>
                <w:sz w:val="24"/>
                <w:szCs w:val="24"/>
                <w:lang w:val="en-US"/>
              </w:rPr>
              <w:t xml:space="preserve">I </w:t>
            </w:r>
            <w:r w:rsidRPr="00425A09">
              <w:rPr>
                <w:rFonts w:eastAsia="Times New Roman" w:cstheme="minorHAnsi"/>
                <w:snapToGrid w:val="0"/>
                <w:sz w:val="24"/>
                <w:szCs w:val="24"/>
                <w:lang w:val="bg"/>
              </w:rPr>
              <w:t>към Договора</w:t>
            </w:r>
            <w:r w:rsidRPr="00425A09">
              <w:rPr>
                <w:rFonts w:cstheme="minorHAnsi"/>
                <w:sz w:val="24"/>
                <w:szCs w:val="24"/>
              </w:rPr>
              <w:t xml:space="preserve"> </w:t>
            </w:r>
            <w:r w:rsidR="00CE3DEC" w:rsidRPr="00CE3DEC">
              <w:rPr>
                <w:rFonts w:eastAsia="Times New Roman" w:cstheme="minorHAnsi"/>
                <w:snapToGrid w:val="0"/>
                <w:sz w:val="24"/>
                <w:szCs w:val="24"/>
              </w:rPr>
              <w:t>за функционирането на Европейския съюз (Приложение 11 към Условията за кандидатстване)</w:t>
            </w:r>
            <w:r w:rsidRPr="00425A09">
              <w:rPr>
                <w:rFonts w:eastAsia="Times New Roman" w:cstheme="minorHAnsi"/>
                <w:snapToGrid w:val="0"/>
                <w:sz w:val="24"/>
                <w:szCs w:val="24"/>
                <w:lang w:val="bg"/>
              </w:rPr>
              <w:t>, без да се извършват никакви по-нататъшни операции, с които се променя естеството на тези продукти.</w:t>
            </w:r>
          </w:p>
          <w:p w14:paraId="5B6406FD" w14:textId="5F668723" w:rsidR="003C6307" w:rsidRPr="00425A09" w:rsidRDefault="003C6307" w:rsidP="003C6307">
            <w:pPr>
              <w:spacing w:before="100" w:beforeAutospacing="1" w:after="100" w:afterAutospacing="1" w:line="240" w:lineRule="auto"/>
              <w:jc w:val="both"/>
              <w:rPr>
                <w:rFonts w:eastAsia="Times New Roman" w:cstheme="minorHAnsi"/>
                <w:snapToGrid w:val="0"/>
                <w:sz w:val="24"/>
                <w:szCs w:val="24"/>
              </w:rPr>
            </w:pPr>
          </w:p>
        </w:tc>
      </w:tr>
      <w:tr w:rsidR="003C6307" w:rsidRPr="00425A09" w14:paraId="2D969415" w14:textId="77777777" w:rsidTr="00ED0D72">
        <w:tc>
          <w:tcPr>
            <w:tcW w:w="2660" w:type="dxa"/>
            <w:shd w:val="clear" w:color="auto" w:fill="E6E6E6"/>
          </w:tcPr>
          <w:p w14:paraId="491119A4" w14:textId="2C067E76" w:rsidR="003C6307" w:rsidRPr="00425A09" w:rsidRDefault="003C6307" w:rsidP="003C6307">
            <w:pPr>
              <w:spacing w:before="100" w:beforeAutospacing="1" w:after="100" w:afterAutospacing="1" w:line="240" w:lineRule="auto"/>
              <w:rPr>
                <w:rFonts w:eastAsia="Times New Roman" w:cstheme="minorHAnsi"/>
                <w:b/>
                <w:snapToGrid w:val="0"/>
                <w:sz w:val="24"/>
                <w:szCs w:val="24"/>
              </w:rPr>
            </w:pPr>
            <w:r w:rsidRPr="00425A09">
              <w:rPr>
                <w:rFonts w:eastAsia="Times New Roman" w:cstheme="minorHAnsi"/>
                <w:b/>
                <w:snapToGrid w:val="0"/>
                <w:sz w:val="24"/>
                <w:szCs w:val="24"/>
              </w:rPr>
              <w:t>Радикална иновация</w:t>
            </w:r>
          </w:p>
        </w:tc>
        <w:tc>
          <w:tcPr>
            <w:tcW w:w="6628" w:type="dxa"/>
            <w:shd w:val="clear" w:color="auto" w:fill="F3F3F3"/>
          </w:tcPr>
          <w:p w14:paraId="3011953A" w14:textId="6A0EECF0" w:rsidR="003C6307" w:rsidRPr="00425A09" w:rsidRDefault="003C6307" w:rsidP="003C6307">
            <w:pPr>
              <w:spacing w:before="100" w:beforeAutospacing="1" w:after="100" w:afterAutospacing="1" w:line="240" w:lineRule="auto"/>
              <w:jc w:val="both"/>
              <w:rPr>
                <w:rFonts w:eastAsia="Times New Roman" w:cstheme="minorHAnsi"/>
                <w:snapToGrid w:val="0"/>
                <w:sz w:val="24"/>
                <w:szCs w:val="24"/>
              </w:rPr>
            </w:pPr>
            <w:r w:rsidRPr="00425A09">
              <w:rPr>
                <w:rFonts w:eastAsia="Times New Roman" w:cstheme="minorHAnsi"/>
                <w:snapToGrid w:val="0"/>
                <w:sz w:val="24"/>
                <w:szCs w:val="24"/>
              </w:rPr>
              <w:t>За целите на настоящата процедура под „радикални иновации“ се разбира иновации, които са основани на фундаментално ново знание или значително технологично нововъведение. Те водят до формирането на нови посоки в развитието на науката и технологиите, както и до поява на качествено нови продукти/ услуги.</w:t>
            </w:r>
          </w:p>
        </w:tc>
      </w:tr>
      <w:tr w:rsidR="003C6307" w:rsidRPr="00425A09" w14:paraId="18D0353D" w14:textId="77777777" w:rsidTr="00ED0D72">
        <w:tc>
          <w:tcPr>
            <w:tcW w:w="2660" w:type="dxa"/>
            <w:shd w:val="clear" w:color="auto" w:fill="E6E6E6"/>
          </w:tcPr>
          <w:p w14:paraId="1D1AFB0A" w14:textId="77777777" w:rsidR="003C6307" w:rsidRPr="00425A09" w:rsidRDefault="003C6307" w:rsidP="003C6307">
            <w:pPr>
              <w:spacing w:before="100" w:beforeAutospacing="1" w:after="100" w:afterAutospacing="1" w:line="240" w:lineRule="auto"/>
              <w:rPr>
                <w:rFonts w:eastAsia="Times New Roman" w:cstheme="minorHAnsi"/>
                <w:b/>
                <w:snapToGrid w:val="0"/>
                <w:sz w:val="24"/>
                <w:szCs w:val="24"/>
              </w:rPr>
            </w:pPr>
            <w:r w:rsidRPr="00425A09">
              <w:rPr>
                <w:rFonts w:eastAsia="Times New Roman" w:cstheme="minorHAnsi"/>
                <w:b/>
                <w:snapToGrid w:val="0"/>
                <w:sz w:val="24"/>
                <w:szCs w:val="24"/>
              </w:rPr>
              <w:t>Ръководител на Управляващия орган</w:t>
            </w:r>
          </w:p>
        </w:tc>
        <w:tc>
          <w:tcPr>
            <w:tcW w:w="6628" w:type="dxa"/>
            <w:shd w:val="clear" w:color="auto" w:fill="F3F3F3"/>
          </w:tcPr>
          <w:p w14:paraId="2F1D79A3" w14:textId="77777777" w:rsidR="003C6307" w:rsidRPr="00425A09" w:rsidRDefault="003C6307" w:rsidP="003C6307">
            <w:pPr>
              <w:spacing w:before="100" w:beforeAutospacing="1" w:after="100" w:afterAutospacing="1" w:line="240" w:lineRule="auto"/>
              <w:jc w:val="both"/>
              <w:rPr>
                <w:rFonts w:eastAsia="Times New Roman" w:cstheme="minorHAnsi"/>
                <w:snapToGrid w:val="0"/>
                <w:sz w:val="24"/>
                <w:szCs w:val="24"/>
              </w:rPr>
            </w:pPr>
            <w:r w:rsidRPr="00425A09">
              <w:rPr>
                <w:rFonts w:eastAsia="Times New Roman" w:cstheme="minorHAnsi"/>
                <w:snapToGrid w:val="0"/>
                <w:sz w:val="24"/>
                <w:szCs w:val="24"/>
              </w:rPr>
              <w:t>Ръководителят на администрацията, в рамките на чиято структура се намира Управляващия орган или упълномощеното от него длъжностно лице.</w:t>
            </w:r>
          </w:p>
        </w:tc>
      </w:tr>
      <w:tr w:rsidR="003C6307" w:rsidRPr="00425A09" w14:paraId="475E82E6" w14:textId="77777777" w:rsidTr="00ED0D72">
        <w:tc>
          <w:tcPr>
            <w:tcW w:w="2660" w:type="dxa"/>
            <w:shd w:val="clear" w:color="auto" w:fill="E6E6E6"/>
          </w:tcPr>
          <w:p w14:paraId="06972288" w14:textId="77777777" w:rsidR="003C6307" w:rsidRPr="00425A09" w:rsidRDefault="003C6307" w:rsidP="003C6307">
            <w:pPr>
              <w:spacing w:before="100" w:beforeAutospacing="1" w:after="100" w:afterAutospacing="1" w:line="240" w:lineRule="auto"/>
              <w:rPr>
                <w:rFonts w:eastAsia="Times New Roman" w:cstheme="minorHAnsi"/>
                <w:b/>
                <w:snapToGrid w:val="0"/>
                <w:sz w:val="24"/>
                <w:szCs w:val="24"/>
              </w:rPr>
            </w:pPr>
            <w:r w:rsidRPr="00425A09">
              <w:rPr>
                <w:rFonts w:eastAsia="Times New Roman" w:cstheme="minorHAnsi"/>
                <w:b/>
                <w:snapToGrid w:val="0"/>
                <w:sz w:val="24"/>
                <w:szCs w:val="24"/>
              </w:rPr>
              <w:t>Свързани лица</w:t>
            </w:r>
          </w:p>
        </w:tc>
        <w:tc>
          <w:tcPr>
            <w:tcW w:w="6628" w:type="dxa"/>
            <w:shd w:val="clear" w:color="auto" w:fill="F3F3F3"/>
          </w:tcPr>
          <w:p w14:paraId="6F1465D0" w14:textId="77777777" w:rsidR="003C6307" w:rsidRPr="00425A09" w:rsidRDefault="003C6307" w:rsidP="003C6307">
            <w:pPr>
              <w:spacing w:after="0" w:line="240" w:lineRule="auto"/>
              <w:jc w:val="both"/>
              <w:rPr>
                <w:rFonts w:eastAsia="Times New Roman" w:cstheme="minorHAnsi"/>
                <w:snapToGrid w:val="0"/>
                <w:sz w:val="24"/>
                <w:szCs w:val="24"/>
              </w:rPr>
            </w:pPr>
            <w:r w:rsidRPr="00425A09">
              <w:rPr>
                <w:rFonts w:eastAsia="Times New Roman" w:cstheme="minorHAnsi"/>
                <w:snapToGrid w:val="0"/>
                <w:sz w:val="24"/>
                <w:szCs w:val="24"/>
                <w:lang w:val="en-US"/>
              </w:rPr>
              <w:t xml:space="preserve">(1) </w:t>
            </w:r>
            <w:r w:rsidRPr="00425A09">
              <w:rPr>
                <w:rFonts w:eastAsia="Times New Roman" w:cstheme="minorHAnsi"/>
                <w:snapToGrid w:val="0"/>
                <w:sz w:val="24"/>
                <w:szCs w:val="24"/>
              </w:rPr>
              <w:t>„Свързани лица” са:</w:t>
            </w:r>
          </w:p>
          <w:p w14:paraId="7C92D56B" w14:textId="77777777" w:rsidR="003C6307" w:rsidRPr="00425A09" w:rsidRDefault="003C6307" w:rsidP="003C6307">
            <w:pPr>
              <w:spacing w:after="0" w:line="240" w:lineRule="auto"/>
              <w:jc w:val="both"/>
              <w:rPr>
                <w:rFonts w:eastAsia="Times New Roman" w:cstheme="minorHAnsi"/>
                <w:snapToGrid w:val="0"/>
                <w:sz w:val="24"/>
                <w:szCs w:val="24"/>
              </w:rPr>
            </w:pPr>
            <w:r w:rsidRPr="00425A09">
              <w:rPr>
                <w:rFonts w:eastAsia="Times New Roman" w:cstheme="minorHAnsi"/>
                <w:snapToGrid w:val="0"/>
                <w:sz w:val="24"/>
                <w:szCs w:val="24"/>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14:paraId="281269A0" w14:textId="77777777" w:rsidR="003C6307" w:rsidRPr="00425A09" w:rsidRDefault="003C6307" w:rsidP="003C6307">
            <w:pPr>
              <w:spacing w:after="0" w:line="240" w:lineRule="auto"/>
              <w:jc w:val="both"/>
              <w:rPr>
                <w:rFonts w:eastAsia="Times New Roman" w:cstheme="minorHAnsi"/>
                <w:snapToGrid w:val="0"/>
                <w:sz w:val="24"/>
                <w:szCs w:val="24"/>
              </w:rPr>
            </w:pPr>
            <w:r w:rsidRPr="00425A09">
              <w:rPr>
                <w:rFonts w:eastAsia="Times New Roman" w:cstheme="minorHAnsi"/>
                <w:snapToGrid w:val="0"/>
                <w:sz w:val="24"/>
                <w:szCs w:val="24"/>
              </w:rPr>
              <w:t>2. работодател и работник;</w:t>
            </w:r>
          </w:p>
          <w:p w14:paraId="656AED6C" w14:textId="77777777" w:rsidR="003C6307" w:rsidRPr="00425A09" w:rsidRDefault="003C6307" w:rsidP="003C6307">
            <w:pPr>
              <w:spacing w:after="0" w:line="240" w:lineRule="auto"/>
              <w:jc w:val="both"/>
              <w:rPr>
                <w:rFonts w:eastAsia="Times New Roman" w:cstheme="minorHAnsi"/>
                <w:snapToGrid w:val="0"/>
                <w:sz w:val="24"/>
                <w:szCs w:val="24"/>
              </w:rPr>
            </w:pPr>
            <w:r w:rsidRPr="00425A09">
              <w:rPr>
                <w:rFonts w:eastAsia="Times New Roman" w:cstheme="minorHAnsi"/>
                <w:snapToGrid w:val="0"/>
                <w:sz w:val="24"/>
                <w:szCs w:val="24"/>
              </w:rPr>
              <w:t>3. лицата, едното от които участва в управлението на дружеството на другото;</w:t>
            </w:r>
          </w:p>
          <w:p w14:paraId="52234151" w14:textId="77777777" w:rsidR="003C6307" w:rsidRPr="00425A09" w:rsidRDefault="003C6307" w:rsidP="003C6307">
            <w:pPr>
              <w:spacing w:after="0" w:line="240" w:lineRule="auto"/>
              <w:jc w:val="both"/>
              <w:rPr>
                <w:rFonts w:eastAsia="Times New Roman" w:cstheme="minorHAnsi"/>
                <w:snapToGrid w:val="0"/>
                <w:sz w:val="24"/>
                <w:szCs w:val="24"/>
              </w:rPr>
            </w:pPr>
            <w:r w:rsidRPr="00425A09">
              <w:rPr>
                <w:rFonts w:eastAsia="Times New Roman" w:cstheme="minorHAnsi"/>
                <w:snapToGrid w:val="0"/>
                <w:sz w:val="24"/>
                <w:szCs w:val="24"/>
              </w:rPr>
              <w:t>4. съдружниците;</w:t>
            </w:r>
          </w:p>
          <w:p w14:paraId="2D8DAEA6" w14:textId="77777777" w:rsidR="003C6307" w:rsidRPr="00425A09" w:rsidRDefault="003C6307" w:rsidP="003C6307">
            <w:pPr>
              <w:spacing w:after="0" w:line="240" w:lineRule="auto"/>
              <w:jc w:val="both"/>
              <w:rPr>
                <w:rFonts w:eastAsia="Times New Roman" w:cstheme="minorHAnsi"/>
                <w:snapToGrid w:val="0"/>
                <w:sz w:val="24"/>
                <w:szCs w:val="24"/>
              </w:rPr>
            </w:pPr>
            <w:r w:rsidRPr="00425A09">
              <w:rPr>
                <w:rFonts w:eastAsia="Times New Roman" w:cstheme="minorHAnsi"/>
                <w:snapToGrid w:val="0"/>
                <w:sz w:val="24"/>
                <w:szCs w:val="24"/>
              </w:rPr>
              <w:t>5. дружество и лице, което притежава повече от 5 на сто от дяловете и акциите, издадени с право на глас в дружеството;</w:t>
            </w:r>
          </w:p>
          <w:p w14:paraId="2F71D133" w14:textId="77777777" w:rsidR="003C6307" w:rsidRPr="00425A09" w:rsidRDefault="003C6307" w:rsidP="003C6307">
            <w:pPr>
              <w:spacing w:after="0" w:line="240" w:lineRule="auto"/>
              <w:jc w:val="both"/>
              <w:rPr>
                <w:rFonts w:eastAsia="Times New Roman" w:cstheme="minorHAnsi"/>
                <w:snapToGrid w:val="0"/>
                <w:sz w:val="24"/>
                <w:szCs w:val="24"/>
              </w:rPr>
            </w:pPr>
            <w:r w:rsidRPr="00425A09">
              <w:rPr>
                <w:rFonts w:eastAsia="Times New Roman" w:cstheme="minorHAnsi"/>
                <w:snapToGrid w:val="0"/>
                <w:sz w:val="24"/>
                <w:szCs w:val="24"/>
              </w:rPr>
              <w:t>6. лицата, чиято дейност се контролира пряко или косвено от трето лице;</w:t>
            </w:r>
          </w:p>
          <w:p w14:paraId="3C736286" w14:textId="77777777" w:rsidR="003C6307" w:rsidRPr="00425A09" w:rsidRDefault="003C6307" w:rsidP="003C6307">
            <w:pPr>
              <w:spacing w:after="0" w:line="240" w:lineRule="auto"/>
              <w:jc w:val="both"/>
              <w:rPr>
                <w:rFonts w:eastAsia="Times New Roman" w:cstheme="minorHAnsi"/>
                <w:snapToGrid w:val="0"/>
                <w:sz w:val="24"/>
                <w:szCs w:val="24"/>
              </w:rPr>
            </w:pPr>
            <w:r w:rsidRPr="00425A09">
              <w:rPr>
                <w:rFonts w:eastAsia="Times New Roman" w:cstheme="minorHAnsi"/>
                <w:snapToGrid w:val="0"/>
                <w:sz w:val="24"/>
                <w:szCs w:val="24"/>
              </w:rPr>
              <w:t>7. лицата, които съвместно контролират пряко или косвено трето лице;</w:t>
            </w:r>
          </w:p>
          <w:p w14:paraId="31979615" w14:textId="77777777" w:rsidR="003C6307" w:rsidRPr="00425A09" w:rsidRDefault="003C6307" w:rsidP="003C6307">
            <w:pPr>
              <w:spacing w:after="0" w:line="240" w:lineRule="auto"/>
              <w:jc w:val="both"/>
              <w:rPr>
                <w:rFonts w:eastAsia="Times New Roman" w:cstheme="minorHAnsi"/>
                <w:snapToGrid w:val="0"/>
                <w:sz w:val="24"/>
                <w:szCs w:val="24"/>
              </w:rPr>
            </w:pPr>
            <w:r w:rsidRPr="00425A09">
              <w:rPr>
                <w:rFonts w:eastAsia="Times New Roman" w:cstheme="minorHAnsi"/>
                <w:snapToGrid w:val="0"/>
                <w:sz w:val="24"/>
                <w:szCs w:val="24"/>
              </w:rPr>
              <w:t>8. лицата, едното от които е търговски</w:t>
            </w:r>
            <w:r w:rsidRPr="00425A09">
              <w:rPr>
                <w:rFonts w:eastAsia="Times New Roman" w:cstheme="minorHAnsi"/>
                <w:snapToGrid w:val="0"/>
                <w:sz w:val="24"/>
                <w:szCs w:val="24"/>
                <w:lang w:val="en-US"/>
              </w:rPr>
              <w:t xml:space="preserve"> </w:t>
            </w:r>
            <w:r w:rsidRPr="00425A09">
              <w:rPr>
                <w:rFonts w:eastAsia="Times New Roman" w:cstheme="minorHAnsi"/>
                <w:snapToGrid w:val="0"/>
                <w:sz w:val="24"/>
                <w:szCs w:val="24"/>
              </w:rPr>
              <w:t xml:space="preserve">представител на </w:t>
            </w:r>
            <w:r w:rsidRPr="00425A09">
              <w:rPr>
                <w:rFonts w:eastAsia="Times New Roman" w:cstheme="minorHAnsi"/>
                <w:snapToGrid w:val="0"/>
                <w:sz w:val="24"/>
                <w:szCs w:val="24"/>
              </w:rPr>
              <w:lastRenderedPageBreak/>
              <w:t>другото;</w:t>
            </w:r>
          </w:p>
          <w:p w14:paraId="1F657095" w14:textId="77777777" w:rsidR="003C6307" w:rsidRPr="00425A09" w:rsidRDefault="003C6307" w:rsidP="003C6307">
            <w:pPr>
              <w:spacing w:after="0" w:line="240" w:lineRule="auto"/>
              <w:jc w:val="both"/>
              <w:rPr>
                <w:rFonts w:eastAsia="Times New Roman" w:cstheme="minorHAnsi"/>
                <w:snapToGrid w:val="0"/>
                <w:sz w:val="24"/>
                <w:szCs w:val="24"/>
              </w:rPr>
            </w:pPr>
            <w:r w:rsidRPr="00425A09">
              <w:rPr>
                <w:rFonts w:eastAsia="Times New Roman" w:cstheme="minorHAnsi"/>
                <w:snapToGrid w:val="0"/>
                <w:sz w:val="24"/>
                <w:szCs w:val="24"/>
              </w:rPr>
              <w:t>9. лицата, едното от които е направило дарение в полза на другото.</w:t>
            </w:r>
          </w:p>
          <w:p w14:paraId="119CCC83" w14:textId="77777777" w:rsidR="003C6307" w:rsidRPr="00425A09" w:rsidRDefault="003C6307" w:rsidP="003C6307">
            <w:pPr>
              <w:spacing w:before="100" w:beforeAutospacing="1" w:after="100" w:afterAutospacing="1" w:line="240" w:lineRule="auto"/>
              <w:jc w:val="both"/>
              <w:rPr>
                <w:rFonts w:eastAsia="Times New Roman" w:cstheme="minorHAnsi"/>
                <w:snapToGrid w:val="0"/>
                <w:sz w:val="24"/>
                <w:szCs w:val="24"/>
              </w:rPr>
            </w:pPr>
            <w:r w:rsidRPr="00425A09">
              <w:rPr>
                <w:rFonts w:eastAsia="Times New Roman" w:cstheme="minorHAnsi"/>
                <w:snapToGrid w:val="0"/>
                <w:sz w:val="24"/>
                <w:szCs w:val="24"/>
              </w:rPr>
              <w:t>(2) „Свързани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tc>
      </w:tr>
      <w:tr w:rsidR="003C6307" w:rsidRPr="00425A09" w14:paraId="11504932" w14:textId="77777777" w:rsidTr="00ED0D72">
        <w:tc>
          <w:tcPr>
            <w:tcW w:w="2660" w:type="dxa"/>
            <w:shd w:val="clear" w:color="auto" w:fill="E6E6E6"/>
          </w:tcPr>
          <w:p w14:paraId="0FD08C12" w14:textId="77777777" w:rsidR="003C6307" w:rsidRPr="00425A09" w:rsidRDefault="003C6307" w:rsidP="003C6307">
            <w:pPr>
              <w:spacing w:before="100" w:beforeAutospacing="1" w:after="100" w:afterAutospacing="1" w:line="240" w:lineRule="auto"/>
              <w:rPr>
                <w:rFonts w:eastAsia="Times New Roman" w:cstheme="minorHAnsi"/>
                <w:b/>
                <w:snapToGrid w:val="0"/>
                <w:sz w:val="24"/>
                <w:szCs w:val="24"/>
              </w:rPr>
            </w:pPr>
            <w:r w:rsidRPr="00425A09">
              <w:rPr>
                <w:rFonts w:eastAsia="Times New Roman" w:cstheme="minorHAnsi"/>
                <w:b/>
                <w:snapToGrid w:val="0"/>
                <w:sz w:val="24"/>
                <w:szCs w:val="24"/>
              </w:rPr>
              <w:lastRenderedPageBreak/>
              <w:t>Сделка между несвързани лица</w:t>
            </w:r>
          </w:p>
        </w:tc>
        <w:tc>
          <w:tcPr>
            <w:tcW w:w="6628" w:type="dxa"/>
            <w:shd w:val="clear" w:color="auto" w:fill="F3F3F3"/>
          </w:tcPr>
          <w:p w14:paraId="4E9A5233" w14:textId="77777777" w:rsidR="003C6307" w:rsidRPr="00425A09" w:rsidRDefault="003C6307" w:rsidP="003C6307">
            <w:pPr>
              <w:spacing w:before="100" w:beforeAutospacing="1" w:after="100" w:afterAutospacing="1" w:line="240" w:lineRule="auto"/>
              <w:jc w:val="both"/>
              <w:rPr>
                <w:rFonts w:eastAsia="Times New Roman" w:cstheme="minorHAnsi"/>
                <w:snapToGrid w:val="0"/>
                <w:sz w:val="24"/>
                <w:szCs w:val="24"/>
                <w:lang w:val="en-US"/>
              </w:rPr>
            </w:pPr>
            <w:r w:rsidRPr="00425A09">
              <w:rPr>
                <w:rFonts w:eastAsia="Times New Roman" w:cstheme="minorHAnsi"/>
                <w:snapToGrid w:val="0"/>
                <w:sz w:val="24"/>
                <w:szCs w:val="24"/>
              </w:rPr>
              <w:t>Сделка между несвързани лица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r w:rsidRPr="00425A09">
              <w:rPr>
                <w:rFonts w:eastAsia="Times New Roman" w:cstheme="minorHAnsi"/>
                <w:snapToGrid w:val="0"/>
                <w:sz w:val="24"/>
                <w:szCs w:val="24"/>
                <w:lang w:val="en-US"/>
              </w:rPr>
              <w:t>.</w:t>
            </w:r>
          </w:p>
        </w:tc>
      </w:tr>
      <w:tr w:rsidR="003C6307" w:rsidRPr="00425A09" w14:paraId="170987AB" w14:textId="77777777" w:rsidTr="00ED0D72">
        <w:tc>
          <w:tcPr>
            <w:tcW w:w="2660" w:type="dxa"/>
            <w:shd w:val="clear" w:color="auto" w:fill="E6E6E6"/>
          </w:tcPr>
          <w:p w14:paraId="5014AE66" w14:textId="77777777" w:rsidR="003C6307" w:rsidRPr="00425A09" w:rsidRDefault="003C6307" w:rsidP="003C6307">
            <w:pPr>
              <w:spacing w:before="100" w:beforeAutospacing="1" w:after="100" w:afterAutospacing="1" w:line="240" w:lineRule="auto"/>
              <w:rPr>
                <w:rFonts w:eastAsia="Times New Roman" w:cstheme="minorHAnsi"/>
                <w:b/>
                <w:snapToGrid w:val="0"/>
                <w:sz w:val="24"/>
                <w:szCs w:val="24"/>
              </w:rPr>
            </w:pPr>
            <w:r w:rsidRPr="00425A09">
              <w:rPr>
                <w:rFonts w:eastAsia="Times New Roman" w:cstheme="minorHAnsi"/>
                <w:b/>
                <w:snapToGrid w:val="0"/>
                <w:sz w:val="24"/>
                <w:szCs w:val="24"/>
              </w:rPr>
              <w:t>Селскостопански продукт</w:t>
            </w:r>
          </w:p>
        </w:tc>
        <w:tc>
          <w:tcPr>
            <w:tcW w:w="6628" w:type="dxa"/>
            <w:shd w:val="clear" w:color="auto" w:fill="F3F3F3"/>
          </w:tcPr>
          <w:p w14:paraId="4473517A" w14:textId="77777777" w:rsidR="003C6307" w:rsidRPr="00425A09" w:rsidRDefault="003C6307" w:rsidP="003C6307">
            <w:pPr>
              <w:spacing w:before="100" w:beforeAutospacing="1" w:after="100" w:afterAutospacing="1" w:line="240" w:lineRule="auto"/>
              <w:jc w:val="both"/>
              <w:rPr>
                <w:rFonts w:eastAsia="Times New Roman" w:cstheme="minorHAnsi"/>
                <w:snapToGrid w:val="0"/>
                <w:sz w:val="24"/>
                <w:szCs w:val="24"/>
              </w:rPr>
            </w:pPr>
            <w:r w:rsidRPr="00425A09">
              <w:rPr>
                <w:rFonts w:eastAsia="Times New Roman" w:cstheme="minorHAnsi"/>
                <w:snapToGrid w:val="0"/>
                <w:sz w:val="24"/>
                <w:szCs w:val="24"/>
              </w:rPr>
              <w:t>Съгласно чл. 2, пар. 11 от Регламент (ЕС) № 651/2014 „селскостопански продукт“ означава продукти, изброени в приложение I към Договора, с изключение на продукти на рибарството и аквакултурите, изброени в приложение I към Регламент (ЕС) № 1379/2013 на Европейския парламент и на Съвета от 11 декември 2013 г.</w:t>
            </w:r>
          </w:p>
        </w:tc>
      </w:tr>
      <w:tr w:rsidR="003C6307" w:rsidRPr="00425A09" w14:paraId="4B4B3CB6" w14:textId="77777777" w:rsidTr="00ED0D72">
        <w:tc>
          <w:tcPr>
            <w:tcW w:w="2660" w:type="dxa"/>
            <w:shd w:val="clear" w:color="auto" w:fill="E6E6E6"/>
          </w:tcPr>
          <w:p w14:paraId="63A6767F" w14:textId="77777777" w:rsidR="003C6307" w:rsidRPr="00425A09" w:rsidRDefault="003C6307" w:rsidP="003C6307">
            <w:pPr>
              <w:spacing w:before="100" w:beforeAutospacing="1" w:after="100" w:afterAutospacing="1" w:line="240" w:lineRule="auto"/>
              <w:rPr>
                <w:rFonts w:eastAsia="Times New Roman" w:cstheme="minorHAnsi"/>
                <w:b/>
                <w:snapToGrid w:val="0"/>
                <w:sz w:val="24"/>
                <w:szCs w:val="24"/>
              </w:rPr>
            </w:pPr>
            <w:r w:rsidRPr="00425A09">
              <w:rPr>
                <w:rFonts w:eastAsia="Times New Roman" w:cstheme="minorHAnsi"/>
                <w:b/>
                <w:snapToGrid w:val="0"/>
                <w:sz w:val="24"/>
                <w:szCs w:val="24"/>
              </w:rPr>
              <w:t>Транспортни средства</w:t>
            </w:r>
          </w:p>
        </w:tc>
        <w:tc>
          <w:tcPr>
            <w:tcW w:w="6628" w:type="dxa"/>
            <w:shd w:val="clear" w:color="auto" w:fill="F3F3F3"/>
          </w:tcPr>
          <w:p w14:paraId="041CDC01" w14:textId="77777777" w:rsidR="003C6307" w:rsidRPr="00425A09" w:rsidRDefault="003C6307" w:rsidP="003C6307">
            <w:pPr>
              <w:pStyle w:val="FootnoteText"/>
              <w:spacing w:after="60"/>
              <w:jc w:val="both"/>
              <w:rPr>
                <w:rFonts w:cstheme="minorHAnsi"/>
                <w:sz w:val="24"/>
                <w:szCs w:val="24"/>
              </w:rPr>
            </w:pPr>
            <w:r w:rsidRPr="00425A09">
              <w:rPr>
                <w:rFonts w:cstheme="minorHAnsi"/>
                <w:sz w:val="24"/>
                <w:szCs w:val="24"/>
              </w:rPr>
              <w:t>Включва следните дефиниции:</w:t>
            </w:r>
          </w:p>
          <w:p w14:paraId="6230BB1F" w14:textId="77777777" w:rsidR="003C6307" w:rsidRPr="00425A09" w:rsidRDefault="003C6307" w:rsidP="003C6307">
            <w:pPr>
              <w:pStyle w:val="FootnoteText"/>
              <w:spacing w:after="60"/>
              <w:jc w:val="both"/>
              <w:rPr>
                <w:rFonts w:cstheme="minorHAnsi"/>
                <w:sz w:val="24"/>
                <w:szCs w:val="24"/>
              </w:rPr>
            </w:pPr>
            <w:r w:rsidRPr="00425A09">
              <w:rPr>
                <w:rFonts w:cstheme="minorHAnsi"/>
                <w:sz w:val="24"/>
                <w:szCs w:val="24"/>
              </w:rPr>
              <w:t xml:space="preserve"> - </w:t>
            </w:r>
            <w:r w:rsidRPr="00425A09">
              <w:rPr>
                <w:rFonts w:cstheme="minorHAnsi"/>
                <w:i/>
                <w:sz w:val="24"/>
                <w:szCs w:val="24"/>
              </w:rPr>
              <w:t>Съгласно Закона за движението по пътищата:</w:t>
            </w:r>
          </w:p>
          <w:p w14:paraId="02878D46" w14:textId="77777777" w:rsidR="003C6307" w:rsidRPr="00425A09" w:rsidRDefault="003C6307" w:rsidP="003C6307">
            <w:pPr>
              <w:pStyle w:val="FootnoteText"/>
              <w:spacing w:after="60"/>
              <w:jc w:val="both"/>
              <w:rPr>
                <w:rFonts w:cstheme="minorHAnsi"/>
                <w:sz w:val="24"/>
                <w:szCs w:val="24"/>
              </w:rPr>
            </w:pPr>
            <w:r w:rsidRPr="00425A09">
              <w:rPr>
                <w:rFonts w:cstheme="minorHAnsi"/>
                <w:sz w:val="24"/>
                <w:szCs w:val="24"/>
              </w:rPr>
              <w:t>1. "Пътно превозно средство" е съоръжение, придвижвано по пътя на колела и използвано за превозване на хора и/или товари. Към пътните превозни средства се приравняват трамваите и самоходните машини, когато се придвижват по пътищата.</w:t>
            </w:r>
          </w:p>
          <w:p w14:paraId="25437752" w14:textId="77777777" w:rsidR="003C6307" w:rsidRPr="00425A09" w:rsidRDefault="003C6307" w:rsidP="003C6307">
            <w:pPr>
              <w:pStyle w:val="FootnoteText"/>
              <w:spacing w:after="60"/>
              <w:jc w:val="both"/>
              <w:rPr>
                <w:rFonts w:cstheme="minorHAnsi"/>
                <w:sz w:val="24"/>
                <w:szCs w:val="24"/>
              </w:rPr>
            </w:pPr>
            <w:r w:rsidRPr="00425A09">
              <w:rPr>
                <w:rFonts w:cstheme="minorHAnsi"/>
                <w:sz w:val="24"/>
                <w:szCs w:val="24"/>
              </w:rPr>
              <w:t>2. "Моторно превозно средство" е пътно превозно средство, снабдено с двигател за придвижване, с изключение на релсовите превозни средства.</w:t>
            </w:r>
          </w:p>
          <w:p w14:paraId="284543CF" w14:textId="77777777" w:rsidR="003C6307" w:rsidRPr="00425A09" w:rsidRDefault="003C6307" w:rsidP="003C6307">
            <w:pPr>
              <w:pStyle w:val="FootnoteText"/>
              <w:spacing w:after="60"/>
              <w:jc w:val="both"/>
              <w:rPr>
                <w:rFonts w:cstheme="minorHAnsi"/>
                <w:i/>
                <w:sz w:val="24"/>
                <w:szCs w:val="24"/>
              </w:rPr>
            </w:pPr>
            <w:r w:rsidRPr="00425A09">
              <w:rPr>
                <w:rFonts w:cstheme="minorHAnsi"/>
                <w:sz w:val="24"/>
                <w:szCs w:val="24"/>
              </w:rPr>
              <w:t xml:space="preserve">- </w:t>
            </w:r>
            <w:r w:rsidRPr="00425A09">
              <w:rPr>
                <w:rFonts w:cstheme="minorHAnsi"/>
                <w:i/>
                <w:sz w:val="24"/>
                <w:szCs w:val="24"/>
              </w:rPr>
              <w:t>Съгласно Закона за гражданското въздухоплаване:</w:t>
            </w:r>
          </w:p>
          <w:p w14:paraId="04471D77" w14:textId="77777777" w:rsidR="003C6307" w:rsidRPr="00425A09" w:rsidRDefault="003C6307" w:rsidP="003C6307">
            <w:pPr>
              <w:pStyle w:val="FootnoteText"/>
              <w:spacing w:after="60"/>
              <w:jc w:val="both"/>
              <w:rPr>
                <w:rFonts w:cstheme="minorHAnsi"/>
                <w:sz w:val="24"/>
                <w:szCs w:val="24"/>
              </w:rPr>
            </w:pPr>
            <w:r w:rsidRPr="00425A09">
              <w:rPr>
                <w:rFonts w:cstheme="minorHAnsi"/>
                <w:sz w:val="24"/>
                <w:szCs w:val="24"/>
              </w:rPr>
              <w:t>1. "Въздухоплавателно средство"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14:paraId="374219B9" w14:textId="77777777" w:rsidR="003C6307" w:rsidRPr="00425A09" w:rsidRDefault="003C6307" w:rsidP="003C6307">
            <w:pPr>
              <w:pStyle w:val="FootnoteText"/>
              <w:spacing w:after="60"/>
              <w:jc w:val="both"/>
              <w:rPr>
                <w:rFonts w:cstheme="minorHAnsi"/>
                <w:sz w:val="24"/>
                <w:szCs w:val="24"/>
              </w:rPr>
            </w:pPr>
            <w:r w:rsidRPr="00425A09">
              <w:rPr>
                <w:rFonts w:cstheme="minorHAnsi"/>
                <w:sz w:val="24"/>
                <w:szCs w:val="24"/>
              </w:rPr>
              <w:t xml:space="preserve"> - </w:t>
            </w:r>
            <w:r w:rsidRPr="00425A09">
              <w:rPr>
                <w:rFonts w:cstheme="minorHAnsi"/>
                <w:i/>
                <w:sz w:val="24"/>
                <w:szCs w:val="24"/>
              </w:rPr>
              <w:t>Съгласно Закона за железопътния транспорт:</w:t>
            </w:r>
          </w:p>
          <w:p w14:paraId="7DE1B096" w14:textId="77777777" w:rsidR="003C6307" w:rsidRPr="00425A09" w:rsidRDefault="003C6307" w:rsidP="003C6307">
            <w:pPr>
              <w:pStyle w:val="FootnoteText"/>
              <w:spacing w:after="60"/>
              <w:jc w:val="both"/>
              <w:rPr>
                <w:rFonts w:cstheme="minorHAnsi"/>
                <w:sz w:val="24"/>
                <w:szCs w:val="24"/>
              </w:rPr>
            </w:pPr>
            <w:r w:rsidRPr="00425A09">
              <w:rPr>
                <w:rFonts w:cstheme="minorHAnsi"/>
                <w:sz w:val="24"/>
                <w:szCs w:val="24"/>
              </w:rPr>
              <w:t xml:space="preserve">1. „Влак” е подреден и скачен състав от вагони с един или повече локомотиви в работно състояние, снабден със сигнали </w:t>
            </w:r>
            <w:r w:rsidRPr="00425A09">
              <w:rPr>
                <w:rFonts w:cstheme="minorHAnsi"/>
                <w:sz w:val="24"/>
                <w:szCs w:val="24"/>
              </w:rPr>
              <w:lastRenderedPageBreak/>
              <w:t xml:space="preserve">и влакови документи. Локомотиви, </w:t>
            </w:r>
            <w:proofErr w:type="spellStart"/>
            <w:r w:rsidRPr="00425A09">
              <w:rPr>
                <w:rFonts w:cstheme="minorHAnsi"/>
                <w:sz w:val="24"/>
                <w:szCs w:val="24"/>
              </w:rPr>
              <w:t>мотрисни</w:t>
            </w:r>
            <w:proofErr w:type="spellEnd"/>
            <w:r w:rsidRPr="00425A09">
              <w:rPr>
                <w:rFonts w:cstheme="minorHAnsi"/>
                <w:sz w:val="24"/>
                <w:szCs w:val="24"/>
              </w:rPr>
              <w:t xml:space="preserve"> влакове, мотриси, моторни дрезини и други моторни возила, </w:t>
            </w:r>
            <w:proofErr w:type="spellStart"/>
            <w:r w:rsidRPr="00425A09">
              <w:rPr>
                <w:rFonts w:cstheme="minorHAnsi"/>
                <w:sz w:val="24"/>
                <w:szCs w:val="24"/>
              </w:rPr>
              <w:t>несваляеми</w:t>
            </w:r>
            <w:proofErr w:type="spellEnd"/>
            <w:r w:rsidRPr="00425A09">
              <w:rPr>
                <w:rFonts w:cstheme="minorHAnsi"/>
                <w:sz w:val="24"/>
                <w:szCs w:val="24"/>
              </w:rPr>
              <w:t xml:space="preserve"> от пътя, отправени на </w:t>
            </w:r>
            <w:proofErr w:type="spellStart"/>
            <w:r w:rsidRPr="00425A09">
              <w:rPr>
                <w:rFonts w:cstheme="minorHAnsi"/>
                <w:sz w:val="24"/>
                <w:szCs w:val="24"/>
              </w:rPr>
              <w:t>междугарие</w:t>
            </w:r>
            <w:proofErr w:type="spellEnd"/>
            <w:r w:rsidRPr="00425A09">
              <w:rPr>
                <w:rFonts w:cstheme="minorHAnsi"/>
                <w:sz w:val="24"/>
                <w:szCs w:val="24"/>
              </w:rPr>
              <w:t>, се смятат за влакове.</w:t>
            </w:r>
          </w:p>
          <w:p w14:paraId="56405749" w14:textId="77777777" w:rsidR="003C6307" w:rsidRPr="00425A09" w:rsidRDefault="003C6307" w:rsidP="003C6307">
            <w:pPr>
              <w:pStyle w:val="FootnoteText"/>
              <w:spacing w:after="60"/>
              <w:jc w:val="both"/>
              <w:rPr>
                <w:rFonts w:cstheme="minorHAnsi"/>
                <w:sz w:val="24"/>
                <w:szCs w:val="24"/>
              </w:rPr>
            </w:pPr>
            <w:r w:rsidRPr="00425A09">
              <w:rPr>
                <w:rFonts w:cstheme="minorHAnsi"/>
                <w:sz w:val="24"/>
                <w:szCs w:val="24"/>
              </w:rPr>
              <w:t xml:space="preserve"> - </w:t>
            </w:r>
            <w:r w:rsidRPr="00425A09">
              <w:rPr>
                <w:rFonts w:cstheme="minorHAnsi"/>
                <w:i/>
                <w:sz w:val="24"/>
                <w:szCs w:val="24"/>
              </w:rPr>
              <w:t>Съгласно Закона за морските пространства, вътрешните водни пътища и пристанищата на Република България:</w:t>
            </w:r>
          </w:p>
          <w:p w14:paraId="7D6181D4" w14:textId="77777777" w:rsidR="003C6307" w:rsidRPr="00425A09" w:rsidRDefault="003C6307" w:rsidP="003C6307">
            <w:pPr>
              <w:pStyle w:val="FootnoteText"/>
              <w:spacing w:after="60"/>
              <w:jc w:val="both"/>
              <w:rPr>
                <w:rFonts w:cstheme="minorHAnsi"/>
                <w:sz w:val="24"/>
                <w:szCs w:val="24"/>
              </w:rPr>
            </w:pPr>
            <w:r w:rsidRPr="00425A09">
              <w:rPr>
                <w:rFonts w:cstheme="minorHAnsi"/>
                <w:sz w:val="24"/>
                <w:szCs w:val="24"/>
              </w:rPr>
              <w:t>1. „Яхта”  е кораб, използван за туризъм, спорт, спортен риболов или развлечение.</w:t>
            </w:r>
          </w:p>
          <w:p w14:paraId="20BE9AF4" w14:textId="77777777" w:rsidR="003C6307" w:rsidRPr="00425A09" w:rsidRDefault="003C6307" w:rsidP="003C6307">
            <w:pPr>
              <w:pStyle w:val="FootnoteText"/>
              <w:spacing w:after="60"/>
              <w:jc w:val="both"/>
              <w:rPr>
                <w:rFonts w:cstheme="minorHAnsi"/>
                <w:sz w:val="24"/>
                <w:szCs w:val="24"/>
              </w:rPr>
            </w:pPr>
            <w:r w:rsidRPr="00425A09">
              <w:rPr>
                <w:rFonts w:cstheme="minorHAnsi"/>
                <w:sz w:val="24"/>
                <w:szCs w:val="24"/>
              </w:rPr>
              <w:t>2. „Кораб</w:t>
            </w:r>
            <w:r w:rsidRPr="00425A09">
              <w:rPr>
                <w:rFonts w:cstheme="minorHAnsi"/>
                <w:bCs/>
                <w:sz w:val="24"/>
                <w:szCs w:val="24"/>
              </w:rPr>
              <w:t>”</w:t>
            </w:r>
            <w:r w:rsidRPr="00425A09">
              <w:rPr>
                <w:rFonts w:cstheme="minorHAnsi"/>
                <w:sz w:val="24"/>
                <w:szCs w:val="24"/>
              </w:rPr>
              <w:t xml:space="preserve">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tc>
      </w:tr>
      <w:tr w:rsidR="003C6307" w:rsidRPr="00425A09" w14:paraId="35E24C08" w14:textId="77777777" w:rsidTr="00ED0D72">
        <w:tc>
          <w:tcPr>
            <w:tcW w:w="2660" w:type="dxa"/>
            <w:shd w:val="clear" w:color="auto" w:fill="E6E6E6"/>
          </w:tcPr>
          <w:p w14:paraId="2064E331" w14:textId="77777777" w:rsidR="003C6307" w:rsidRPr="00425A09" w:rsidRDefault="003C6307" w:rsidP="003C6307">
            <w:pPr>
              <w:spacing w:before="100" w:beforeAutospacing="1" w:after="100" w:afterAutospacing="1" w:line="240" w:lineRule="auto"/>
              <w:rPr>
                <w:rFonts w:cstheme="minorHAnsi"/>
                <w:sz w:val="24"/>
                <w:szCs w:val="24"/>
              </w:rPr>
            </w:pPr>
            <w:r w:rsidRPr="00425A09">
              <w:rPr>
                <w:rFonts w:eastAsia="Times New Roman" w:cstheme="minorHAnsi"/>
                <w:b/>
                <w:snapToGrid w:val="0"/>
                <w:sz w:val="24"/>
                <w:szCs w:val="24"/>
              </w:rPr>
              <w:lastRenderedPageBreak/>
              <w:t>Търговия със селскостопански продукт</w:t>
            </w:r>
          </w:p>
        </w:tc>
        <w:tc>
          <w:tcPr>
            <w:tcW w:w="6628" w:type="dxa"/>
            <w:shd w:val="clear" w:color="auto" w:fill="F3F3F3"/>
          </w:tcPr>
          <w:p w14:paraId="596C96CE" w14:textId="77777777" w:rsidR="003C6307" w:rsidRPr="00425A09" w:rsidRDefault="003C6307" w:rsidP="003C6307">
            <w:pPr>
              <w:spacing w:line="240" w:lineRule="auto"/>
              <w:jc w:val="both"/>
              <w:rPr>
                <w:rFonts w:eastAsia="Times New Roman" w:cstheme="minorHAnsi"/>
                <w:snapToGrid w:val="0"/>
                <w:sz w:val="24"/>
                <w:szCs w:val="24"/>
              </w:rPr>
            </w:pPr>
            <w:r w:rsidRPr="00425A09">
              <w:rPr>
                <w:rFonts w:eastAsia="Times New Roman" w:cstheme="minorHAnsi"/>
                <w:snapToGrid w:val="0"/>
                <w:sz w:val="24"/>
                <w:szCs w:val="24"/>
              </w:rPr>
              <w:t>Държане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 ако се осъществява в отделни помещения, предвидени за тази цел.</w:t>
            </w:r>
          </w:p>
        </w:tc>
      </w:tr>
      <w:tr w:rsidR="007472EC" w:rsidRPr="00425A09" w14:paraId="17C6786B" w14:textId="77777777" w:rsidTr="00ED0D72">
        <w:tc>
          <w:tcPr>
            <w:tcW w:w="2660" w:type="dxa"/>
            <w:shd w:val="clear" w:color="auto" w:fill="E6E6E6"/>
          </w:tcPr>
          <w:p w14:paraId="7DB75F92" w14:textId="13224582" w:rsidR="007472EC" w:rsidRPr="00425A09" w:rsidRDefault="007472EC" w:rsidP="003C6307">
            <w:pPr>
              <w:spacing w:before="100" w:beforeAutospacing="1" w:after="100" w:afterAutospacing="1" w:line="240" w:lineRule="auto"/>
              <w:rPr>
                <w:rFonts w:eastAsia="Times New Roman" w:cstheme="minorHAnsi"/>
                <w:b/>
                <w:snapToGrid w:val="0"/>
                <w:sz w:val="24"/>
                <w:szCs w:val="24"/>
              </w:rPr>
            </w:pPr>
            <w:r w:rsidRPr="00425A09">
              <w:rPr>
                <w:rFonts w:eastAsia="Times New Roman" w:cs="Times New Roman"/>
                <w:b/>
                <w:snapToGrid w:val="0"/>
                <w:sz w:val="24"/>
                <w:szCs w:val="24"/>
              </w:rPr>
              <w:t>Харта на основните права на Европейския съюз</w:t>
            </w:r>
          </w:p>
        </w:tc>
        <w:tc>
          <w:tcPr>
            <w:tcW w:w="6628" w:type="dxa"/>
            <w:shd w:val="clear" w:color="auto" w:fill="F3F3F3"/>
          </w:tcPr>
          <w:p w14:paraId="7EDA4CEF" w14:textId="5EA667E4" w:rsidR="007472EC" w:rsidRPr="00425A09" w:rsidRDefault="007472EC" w:rsidP="003C6307">
            <w:pPr>
              <w:spacing w:line="240" w:lineRule="auto"/>
              <w:jc w:val="both"/>
              <w:rPr>
                <w:rFonts w:eastAsia="Times New Roman" w:cstheme="minorHAnsi"/>
                <w:snapToGrid w:val="0"/>
                <w:sz w:val="24"/>
                <w:szCs w:val="24"/>
              </w:rPr>
            </w:pPr>
            <w:r w:rsidRPr="00425A09">
              <w:rPr>
                <w:rFonts w:eastAsia="Times New Roman" w:cstheme="minorHAnsi"/>
                <w:snapToGrid w:val="0"/>
                <w:sz w:val="24"/>
                <w:szCs w:val="24"/>
              </w:rPr>
              <w:t xml:space="preserve">Прилагането и изпълнението на Хартата на основните права на Европейския съюз (ЕС) цели осигуряване на зачитането и защитата на всички основни права на ЕС, сред които са: защита на личните данни, недискриминация, равенство между жените и мъжете, интеграция на хората с увреждания, равенство пред закона,  опазване на околната среда, право на ефективни правни средства за защита и на справедлив съдебен процес, справедливи условия на труд, правата на детето, свобода на изразяване на мнение и свобода на информация, свобода на събранията и сдруженията,  право на образование, свобода на стопанската инициатива, право на собственост, защита в случай на принудително отвеждане, </w:t>
            </w:r>
            <w:r w:rsidRPr="00425A09">
              <w:rPr>
                <w:rFonts w:eastAsia="Times New Roman" w:cstheme="minorHAnsi"/>
                <w:snapToGrid w:val="0"/>
                <w:sz w:val="24"/>
                <w:szCs w:val="24"/>
              </w:rPr>
              <w:lastRenderedPageBreak/>
              <w:t>експулсиране и екстрадиране, зачитане на личния и семейния живот, право на убежище.</w:t>
            </w:r>
          </w:p>
        </w:tc>
      </w:tr>
      <w:tr w:rsidR="00425A09" w:rsidRPr="00425A09" w14:paraId="28C0E1BC" w14:textId="77777777" w:rsidTr="00ED0D72">
        <w:tc>
          <w:tcPr>
            <w:tcW w:w="2660" w:type="dxa"/>
            <w:shd w:val="clear" w:color="auto" w:fill="E6E6E6"/>
          </w:tcPr>
          <w:p w14:paraId="0E714FF1" w14:textId="2EC9D318" w:rsidR="00425A09" w:rsidRPr="00425A09" w:rsidRDefault="00425A09" w:rsidP="003C6307">
            <w:pPr>
              <w:spacing w:before="100" w:beforeAutospacing="1" w:after="100" w:afterAutospacing="1" w:line="240" w:lineRule="auto"/>
              <w:rPr>
                <w:rFonts w:eastAsia="Times New Roman" w:cs="Times New Roman"/>
                <w:b/>
                <w:snapToGrid w:val="0"/>
                <w:sz w:val="24"/>
                <w:szCs w:val="24"/>
              </w:rPr>
            </w:pPr>
            <w:r>
              <w:rPr>
                <w:rFonts w:eastAsia="Times New Roman" w:cs="Times New Roman"/>
                <w:b/>
                <w:snapToGrid w:val="0"/>
                <w:sz w:val="24"/>
                <w:szCs w:val="24"/>
              </w:rPr>
              <w:lastRenderedPageBreak/>
              <w:t>Широко разпространение</w:t>
            </w:r>
          </w:p>
        </w:tc>
        <w:tc>
          <w:tcPr>
            <w:tcW w:w="6628" w:type="dxa"/>
            <w:shd w:val="clear" w:color="auto" w:fill="F3F3F3"/>
          </w:tcPr>
          <w:p w14:paraId="2C147B09" w14:textId="4107CAE0" w:rsidR="00425A09" w:rsidRPr="00425A09" w:rsidRDefault="00937C2E" w:rsidP="00425A09">
            <w:pPr>
              <w:spacing w:line="240" w:lineRule="auto"/>
              <w:jc w:val="both"/>
              <w:rPr>
                <w:rFonts w:eastAsia="Times New Roman" w:cstheme="minorHAnsi"/>
                <w:snapToGrid w:val="0"/>
                <w:sz w:val="24"/>
                <w:szCs w:val="24"/>
              </w:rPr>
            </w:pPr>
            <w:r w:rsidRPr="00937C2E">
              <w:rPr>
                <w:rFonts w:eastAsia="Times New Roman" w:cstheme="minorHAnsi"/>
                <w:snapToGrid w:val="0"/>
                <w:sz w:val="24"/>
                <w:szCs w:val="24"/>
              </w:rPr>
              <w:t xml:space="preserve">За целите на настоящата процедура под широкото разпространение на резултатите от проекта следва да се разбира свободното предоставяне на национално, европейско и /или световно ниво на цялостните </w:t>
            </w:r>
            <w:r w:rsidR="006B7F88">
              <w:rPr>
                <w:rFonts w:eastAsia="Times New Roman" w:cstheme="minorHAnsi"/>
                <w:snapToGrid w:val="0"/>
                <w:sz w:val="24"/>
                <w:szCs w:val="24"/>
              </w:rPr>
              <w:t>резултатите от проекта на страните</w:t>
            </w:r>
            <w:r w:rsidRPr="00937C2E">
              <w:rPr>
                <w:rFonts w:eastAsia="Times New Roman" w:cstheme="minorHAnsi"/>
                <w:snapToGrid w:val="0"/>
                <w:sz w:val="24"/>
                <w:szCs w:val="24"/>
              </w:rPr>
              <w:t>, които имат интерес да ги използват, напр. научна общност, предприятия и др. Широкото разпространение трябва да се осъществи възможно най-скоро след приключване на дейностите по разработване на иновацията и трябва да се предприеме с най-подходящите за това средства (напр. чрез уебсайтове, бази данни с отворен достъп, публикации и др. в зависимост от спецификата на съответната иновация), за да се гарантира, че резултатите ще останат достъпни за неограничен период от време.</w:t>
            </w:r>
          </w:p>
        </w:tc>
      </w:tr>
    </w:tbl>
    <w:p w14:paraId="67325119" w14:textId="77777777" w:rsidR="000C2624" w:rsidRPr="00DF7E05" w:rsidRDefault="000C2624">
      <w:pPr>
        <w:rPr>
          <w:lang w:val="en-US"/>
        </w:rPr>
      </w:pPr>
    </w:p>
    <w:sectPr w:rsidR="000C2624" w:rsidRPr="00DF7E05" w:rsidSect="007F6ED0">
      <w:headerReference w:type="even" r:id="rId8"/>
      <w:headerReference w:type="default" r:id="rId9"/>
      <w:footerReference w:type="even" r:id="rId10"/>
      <w:footerReference w:type="default" r:id="rId11"/>
      <w:headerReference w:type="first" r:id="rId12"/>
      <w:footerReference w:type="first" r:id="rId13"/>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820CE9" w14:textId="77777777" w:rsidR="00F457CF" w:rsidRDefault="00F457CF" w:rsidP="00364204">
      <w:pPr>
        <w:spacing w:after="0" w:line="240" w:lineRule="auto"/>
      </w:pPr>
      <w:r>
        <w:separator/>
      </w:r>
    </w:p>
  </w:endnote>
  <w:endnote w:type="continuationSeparator" w:id="0">
    <w:p w14:paraId="2CC5387F" w14:textId="77777777" w:rsidR="00F457CF" w:rsidRDefault="00F457CF"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A469D" w14:textId="77777777" w:rsidR="008F4E02" w:rsidRDefault="008F4E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A5A37" w14:textId="77777777" w:rsidR="008F4E02" w:rsidRDefault="008F4E0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6A039" w14:textId="77777777" w:rsidR="008F4E02" w:rsidRDefault="008F4E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445A27" w14:textId="77777777" w:rsidR="00F457CF" w:rsidRDefault="00F457CF" w:rsidP="00364204">
      <w:pPr>
        <w:spacing w:after="0" w:line="240" w:lineRule="auto"/>
      </w:pPr>
      <w:r>
        <w:separator/>
      </w:r>
    </w:p>
  </w:footnote>
  <w:footnote w:type="continuationSeparator" w:id="0">
    <w:p w14:paraId="59013FA5" w14:textId="77777777" w:rsidR="00F457CF" w:rsidRDefault="00F457CF" w:rsidP="00364204">
      <w:pPr>
        <w:spacing w:after="0" w:line="240" w:lineRule="auto"/>
      </w:pPr>
      <w:r>
        <w:continuationSeparator/>
      </w:r>
    </w:p>
  </w:footnote>
  <w:footnote w:id="1">
    <w:p w14:paraId="5D515E4C" w14:textId="4D2FF36C" w:rsidR="00622A4E" w:rsidRDefault="00622A4E">
      <w:pPr>
        <w:pStyle w:val="FootnoteText"/>
      </w:pPr>
      <w:r>
        <w:rPr>
          <w:rStyle w:val="FootnoteReference"/>
        </w:rPr>
        <w:footnoteRef/>
      </w:r>
      <w:r>
        <w:t xml:space="preserve"> По процедурата подкрепа ще получат иновации в бизнес процесите, насочени</w:t>
      </w:r>
      <w:r w:rsidRPr="00622A4E">
        <w:t xml:space="preserve"> към производство на стоки и предоставяне на услуги</w:t>
      </w:r>
      <w:r>
        <w:t>.</w:t>
      </w:r>
    </w:p>
  </w:footnote>
  <w:footnote w:id="2">
    <w:p w14:paraId="249010C7" w14:textId="50D218E4" w:rsidR="002A3700" w:rsidRDefault="002A3700" w:rsidP="002A3700">
      <w:pPr>
        <w:pStyle w:val="FootnoteText"/>
        <w:jc w:val="both"/>
      </w:pPr>
      <w:r>
        <w:rPr>
          <w:rStyle w:val="FootnoteReference"/>
        </w:rPr>
        <w:footnoteRef/>
      </w:r>
      <w:r>
        <w:t xml:space="preserve"> </w:t>
      </w:r>
      <w:r w:rsidR="00D12393">
        <w:t>За проекти, в рамките на които с</w:t>
      </w:r>
      <w:r>
        <w:t xml:space="preserve">а заявени разходи за външни услуги </w:t>
      </w:r>
      <w:r w:rsidR="008B1BB2">
        <w:t>(</w:t>
      </w:r>
      <w:r>
        <w:t>по т.</w:t>
      </w:r>
      <w:r w:rsidR="00D12393">
        <w:t xml:space="preserve"> </w:t>
      </w:r>
      <w:r>
        <w:t xml:space="preserve">4 от Условията за кандидатстване), под място на изпълнение на проекта </w:t>
      </w:r>
      <w:r w:rsidR="00D12393">
        <w:t xml:space="preserve">следва да </w:t>
      </w:r>
      <w:r>
        <w:t xml:space="preserve">се разбира </w:t>
      </w:r>
      <w:r w:rsidRPr="002A3700">
        <w:t>мястото на доставяне на услугата, където същата ще се ползва от страна на бенефициента</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FC535" w14:textId="29D1A832" w:rsidR="008F4E02" w:rsidRDefault="008F4E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92" w:type="dxa"/>
      <w:tblInd w:w="-72" w:type="dxa"/>
      <w:tblCellMar>
        <w:left w:w="70" w:type="dxa"/>
        <w:right w:w="70" w:type="dxa"/>
      </w:tblCellMar>
      <w:tblLook w:val="0000" w:firstRow="0" w:lastRow="0" w:firstColumn="0" w:lastColumn="0" w:noHBand="0" w:noVBand="0"/>
    </w:tblPr>
    <w:tblGrid>
      <w:gridCol w:w="376"/>
      <w:gridCol w:w="2944"/>
      <w:gridCol w:w="376"/>
      <w:gridCol w:w="2231"/>
      <w:gridCol w:w="376"/>
      <w:gridCol w:w="3213"/>
      <w:gridCol w:w="376"/>
    </w:tblGrid>
    <w:tr w:rsidR="005D5C12" w:rsidRPr="00AF1339" w14:paraId="009708A5" w14:textId="77777777" w:rsidTr="007F6ED0">
      <w:trPr>
        <w:gridBefore w:val="1"/>
        <w:wBefore w:w="376" w:type="dxa"/>
        <w:trHeight w:val="684"/>
      </w:trPr>
      <w:tc>
        <w:tcPr>
          <w:tcW w:w="3320" w:type="dxa"/>
          <w:gridSpan w:val="2"/>
        </w:tcPr>
        <w:p w14:paraId="51AD7E39" w14:textId="6B2E4E78" w:rsidR="005D5C12" w:rsidRPr="00AF1339" w:rsidRDefault="005D5C12" w:rsidP="007F6ED0">
          <w:pPr>
            <w:spacing w:after="160" w:line="259" w:lineRule="auto"/>
            <w:rPr>
              <w:rFonts w:ascii="Calibri" w:eastAsia="Calibri" w:hAnsi="Calibri" w:cs="Times New Roman"/>
              <w:b/>
              <w:sz w:val="18"/>
              <w:szCs w:val="18"/>
            </w:rPr>
          </w:pPr>
        </w:p>
      </w:tc>
      <w:tc>
        <w:tcPr>
          <w:tcW w:w="2607" w:type="dxa"/>
          <w:gridSpan w:val="2"/>
        </w:tcPr>
        <w:p w14:paraId="07D02D66" w14:textId="77777777" w:rsidR="005D5C12" w:rsidRPr="00AF1339" w:rsidRDefault="005D5C12" w:rsidP="00F14642">
          <w:pPr>
            <w:spacing w:after="160" w:line="259" w:lineRule="auto"/>
            <w:jc w:val="center"/>
            <w:rPr>
              <w:rFonts w:ascii="Calibri" w:eastAsia="Calibri" w:hAnsi="Calibri" w:cs="Times New Roman"/>
            </w:rPr>
          </w:pPr>
        </w:p>
      </w:tc>
      <w:tc>
        <w:tcPr>
          <w:tcW w:w="3589" w:type="dxa"/>
          <w:gridSpan w:val="2"/>
        </w:tcPr>
        <w:p w14:paraId="586A499E" w14:textId="77777777" w:rsidR="005D5C12" w:rsidRPr="00AF1339" w:rsidRDefault="005D5C12" w:rsidP="00F14642">
          <w:pPr>
            <w:spacing w:after="160" w:line="259" w:lineRule="auto"/>
            <w:jc w:val="center"/>
            <w:rPr>
              <w:rFonts w:ascii="Calibri" w:eastAsia="Calibri" w:hAnsi="Calibri" w:cs="Times New Roman"/>
            </w:rPr>
          </w:pPr>
        </w:p>
      </w:tc>
    </w:tr>
    <w:tr w:rsidR="00920C83" w:rsidRPr="009563D3" w14:paraId="3F341BB5" w14:textId="77777777" w:rsidTr="007F6ED0">
      <w:trPr>
        <w:gridAfter w:val="1"/>
        <w:wAfter w:w="376" w:type="dxa"/>
        <w:trHeight w:val="684"/>
      </w:trPr>
      <w:tc>
        <w:tcPr>
          <w:tcW w:w="3320" w:type="dxa"/>
          <w:gridSpan w:val="2"/>
        </w:tcPr>
        <w:p w14:paraId="3D33580A" w14:textId="77777777" w:rsidR="00920C83" w:rsidRPr="00920C83" w:rsidRDefault="00920C83" w:rsidP="00920C83">
          <w:pPr>
            <w:spacing w:after="160" w:line="259" w:lineRule="auto"/>
            <w:jc w:val="center"/>
            <w:rPr>
              <w:rFonts w:ascii="Calibri" w:eastAsia="Calibri" w:hAnsi="Calibri" w:cs="Times New Roman"/>
              <w:b/>
              <w:sz w:val="18"/>
              <w:szCs w:val="18"/>
            </w:rPr>
          </w:pPr>
          <w:r w:rsidRPr="00920C83">
            <w:rPr>
              <w:rFonts w:ascii="Calibri" w:eastAsia="Calibri" w:hAnsi="Calibri" w:cs="Times New Roman"/>
              <w:b/>
              <w:noProof/>
              <w:sz w:val="18"/>
              <w:szCs w:val="18"/>
              <w:lang w:eastAsia="bg-BG"/>
            </w:rPr>
            <w:drawing>
              <wp:inline distT="0" distB="0" distL="0" distR="0" wp14:anchorId="4A83A3A8" wp14:editId="372A3DDF">
                <wp:extent cx="2009775" cy="469265"/>
                <wp:effectExtent l="0" t="0" r="9525"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9265"/>
                        </a:xfrm>
                        <a:prstGeom prst="rect">
                          <a:avLst/>
                        </a:prstGeom>
                        <a:noFill/>
                        <a:ln>
                          <a:noFill/>
                        </a:ln>
                      </pic:spPr>
                    </pic:pic>
                  </a:graphicData>
                </a:graphic>
              </wp:inline>
            </w:drawing>
          </w:r>
        </w:p>
      </w:tc>
      <w:tc>
        <w:tcPr>
          <w:tcW w:w="2607" w:type="dxa"/>
          <w:gridSpan w:val="2"/>
        </w:tcPr>
        <w:p w14:paraId="75C55704" w14:textId="77777777" w:rsidR="00920C83" w:rsidRPr="00920C83" w:rsidRDefault="00920C83" w:rsidP="00920C83">
          <w:pPr>
            <w:spacing w:after="160" w:line="259" w:lineRule="auto"/>
            <w:jc w:val="center"/>
            <w:rPr>
              <w:rFonts w:ascii="Calibri" w:eastAsia="Calibri" w:hAnsi="Calibri" w:cs="Times New Roman"/>
            </w:rPr>
          </w:pPr>
        </w:p>
        <w:p w14:paraId="2EA82286" w14:textId="77777777" w:rsidR="00920C83" w:rsidRPr="00920C83" w:rsidRDefault="00920C83" w:rsidP="00920C83">
          <w:pPr>
            <w:spacing w:after="160" w:line="259" w:lineRule="auto"/>
            <w:jc w:val="center"/>
            <w:rPr>
              <w:rFonts w:ascii="Calibri" w:eastAsia="Calibri" w:hAnsi="Calibri" w:cs="Times New Roman"/>
            </w:rPr>
          </w:pPr>
        </w:p>
        <w:p w14:paraId="03414214" w14:textId="77777777" w:rsidR="00920C83" w:rsidRPr="00920C83" w:rsidRDefault="00920C83" w:rsidP="007F6ED0">
          <w:pPr>
            <w:spacing w:after="160" w:line="259" w:lineRule="auto"/>
            <w:jc w:val="right"/>
            <w:rPr>
              <w:rFonts w:ascii="Calibri" w:eastAsia="Calibri" w:hAnsi="Calibri" w:cs="Times New Roman"/>
            </w:rPr>
          </w:pPr>
        </w:p>
      </w:tc>
      <w:tc>
        <w:tcPr>
          <w:tcW w:w="3589" w:type="dxa"/>
          <w:gridSpan w:val="2"/>
        </w:tcPr>
        <w:p w14:paraId="7990B31B" w14:textId="77777777" w:rsidR="00920C83" w:rsidRPr="00920C83" w:rsidRDefault="00920C83" w:rsidP="00920C83">
          <w:pPr>
            <w:spacing w:after="160" w:line="259" w:lineRule="auto"/>
            <w:jc w:val="center"/>
            <w:rPr>
              <w:rFonts w:ascii="Calibri" w:eastAsia="Calibri" w:hAnsi="Calibri" w:cs="Times New Roman"/>
            </w:rPr>
          </w:pPr>
          <w:r w:rsidRPr="00920C83">
            <w:rPr>
              <w:rFonts w:ascii="Calibri" w:eastAsia="Calibri" w:hAnsi="Calibri" w:cs="Times New Roman"/>
            </w:rPr>
            <w:fldChar w:fldCharType="begin"/>
          </w:r>
          <w:r w:rsidRPr="00920C83">
            <w:rPr>
              <w:rFonts w:ascii="Calibri" w:eastAsia="Calibri" w:hAnsi="Calibri" w:cs="Times New Roman"/>
            </w:rPr>
            <w:instrText xml:space="preserve"> INCLUDEPICTURE  "cid:image001.png@01D8FB39.06A872C0" \* MERGEFORMATINET </w:instrText>
          </w:r>
          <w:r w:rsidRPr="00920C83">
            <w:rPr>
              <w:rFonts w:ascii="Calibri" w:eastAsia="Calibri" w:hAnsi="Calibri" w:cs="Times New Roman"/>
            </w:rPr>
            <w:fldChar w:fldCharType="separate"/>
          </w:r>
          <w:r w:rsidRPr="00920C83">
            <w:rPr>
              <w:rFonts w:ascii="Calibri" w:eastAsia="Calibri" w:hAnsi="Calibri" w:cs="Times New Roman"/>
            </w:rPr>
            <w:fldChar w:fldCharType="begin"/>
          </w:r>
          <w:r w:rsidRPr="00920C83">
            <w:rPr>
              <w:rFonts w:ascii="Calibri" w:eastAsia="Calibri" w:hAnsi="Calibri" w:cs="Times New Roman"/>
            </w:rPr>
            <w:instrText xml:space="preserve"> INCLUDEPICTURE  "cid:image001.png@01D8FB39.06A872C0" \* MERGEFORMATINET </w:instrText>
          </w:r>
          <w:r w:rsidRPr="00920C83">
            <w:rPr>
              <w:rFonts w:ascii="Calibri" w:eastAsia="Calibri" w:hAnsi="Calibri" w:cs="Times New Roman"/>
            </w:rPr>
            <w:fldChar w:fldCharType="separate"/>
          </w:r>
          <w:r w:rsidR="00B70CA1">
            <w:rPr>
              <w:rFonts w:ascii="Calibri" w:eastAsia="Calibri" w:hAnsi="Calibri" w:cs="Times New Roman"/>
            </w:rPr>
            <w:fldChar w:fldCharType="begin"/>
          </w:r>
          <w:r w:rsidR="00B70CA1">
            <w:rPr>
              <w:rFonts w:ascii="Calibri" w:eastAsia="Calibri" w:hAnsi="Calibri" w:cs="Times New Roman"/>
            </w:rPr>
            <w:instrText xml:space="preserve"> INCLUDEPICTURE  "cid:image001.png@01D8FB39.06A872C0" \* MERGEFORMATINET </w:instrText>
          </w:r>
          <w:r w:rsidR="00B70CA1">
            <w:rPr>
              <w:rFonts w:ascii="Calibri" w:eastAsia="Calibri" w:hAnsi="Calibri" w:cs="Times New Roman"/>
            </w:rPr>
            <w:fldChar w:fldCharType="separate"/>
          </w:r>
          <w:r w:rsidR="002B3048">
            <w:rPr>
              <w:rFonts w:ascii="Calibri" w:eastAsia="Calibri" w:hAnsi="Calibri" w:cs="Times New Roman"/>
            </w:rPr>
            <w:fldChar w:fldCharType="begin"/>
          </w:r>
          <w:r w:rsidR="002B3048">
            <w:rPr>
              <w:rFonts w:ascii="Calibri" w:eastAsia="Calibri" w:hAnsi="Calibri" w:cs="Times New Roman"/>
            </w:rPr>
            <w:instrText xml:space="preserve"> INCLUDEPICTURE  "cid:image001.png@01D8FB39.06A872C0" \* MERGEFORMATINET </w:instrText>
          </w:r>
          <w:r w:rsidR="002B3048">
            <w:rPr>
              <w:rFonts w:ascii="Calibri" w:eastAsia="Calibri" w:hAnsi="Calibri" w:cs="Times New Roman"/>
            </w:rPr>
            <w:fldChar w:fldCharType="separate"/>
          </w:r>
          <w:r w:rsidR="00BB17AB">
            <w:rPr>
              <w:rFonts w:ascii="Calibri" w:eastAsia="Calibri" w:hAnsi="Calibri" w:cs="Times New Roman"/>
            </w:rPr>
            <w:fldChar w:fldCharType="begin"/>
          </w:r>
          <w:r w:rsidR="00BB17AB">
            <w:rPr>
              <w:rFonts w:ascii="Calibri" w:eastAsia="Calibri" w:hAnsi="Calibri" w:cs="Times New Roman"/>
            </w:rPr>
            <w:instrText xml:space="preserve"> INCLUDEPICTURE  "cid:image001.png@01D8FB39.06A872C0" \* MERGEFORMATINET </w:instrText>
          </w:r>
          <w:r w:rsidR="00BB17AB">
            <w:rPr>
              <w:rFonts w:ascii="Calibri" w:eastAsia="Calibri" w:hAnsi="Calibri" w:cs="Times New Roman"/>
            </w:rPr>
            <w:fldChar w:fldCharType="separate"/>
          </w:r>
          <w:r w:rsidR="001D40C6">
            <w:rPr>
              <w:rFonts w:ascii="Calibri" w:eastAsia="Calibri" w:hAnsi="Calibri" w:cs="Times New Roman"/>
            </w:rPr>
            <w:fldChar w:fldCharType="begin"/>
          </w:r>
          <w:r w:rsidR="001D40C6">
            <w:rPr>
              <w:rFonts w:ascii="Calibri" w:eastAsia="Calibri" w:hAnsi="Calibri" w:cs="Times New Roman"/>
            </w:rPr>
            <w:instrText xml:space="preserve"> INCLUDEPICTURE  "cid:image001.png@01D8FB39.06A872C0" \* MERGEFORMATINET </w:instrText>
          </w:r>
          <w:r w:rsidR="001D40C6">
            <w:rPr>
              <w:rFonts w:ascii="Calibri" w:eastAsia="Calibri" w:hAnsi="Calibri" w:cs="Times New Roman"/>
            </w:rPr>
            <w:fldChar w:fldCharType="separate"/>
          </w:r>
          <w:r w:rsidR="003F31D2">
            <w:rPr>
              <w:rFonts w:ascii="Calibri" w:eastAsia="Calibri" w:hAnsi="Calibri" w:cs="Times New Roman"/>
            </w:rPr>
            <w:fldChar w:fldCharType="begin"/>
          </w:r>
          <w:r w:rsidR="003F31D2">
            <w:rPr>
              <w:rFonts w:ascii="Calibri" w:eastAsia="Calibri" w:hAnsi="Calibri" w:cs="Times New Roman"/>
            </w:rPr>
            <w:instrText xml:space="preserve"> INCLUDEPICTURE  "cid:image001.png@01D8FB39.06A872C0" \* MERGEFORMATINET </w:instrText>
          </w:r>
          <w:r w:rsidR="003F31D2">
            <w:rPr>
              <w:rFonts w:ascii="Calibri" w:eastAsia="Calibri" w:hAnsi="Calibri" w:cs="Times New Roman"/>
            </w:rPr>
            <w:fldChar w:fldCharType="separate"/>
          </w:r>
          <w:r w:rsidR="005458FC">
            <w:rPr>
              <w:rFonts w:ascii="Calibri" w:eastAsia="Calibri" w:hAnsi="Calibri" w:cs="Times New Roman"/>
            </w:rPr>
            <w:fldChar w:fldCharType="begin"/>
          </w:r>
          <w:r w:rsidR="005458FC">
            <w:rPr>
              <w:rFonts w:ascii="Calibri" w:eastAsia="Calibri" w:hAnsi="Calibri" w:cs="Times New Roman"/>
            </w:rPr>
            <w:instrText xml:space="preserve"> INCLUDEPICTURE  "cid:image001.png@01D8FB39.06A872C0" \* MERGEFORMATINET </w:instrText>
          </w:r>
          <w:r w:rsidR="005458FC">
            <w:rPr>
              <w:rFonts w:ascii="Calibri" w:eastAsia="Calibri" w:hAnsi="Calibri" w:cs="Times New Roman"/>
            </w:rPr>
            <w:fldChar w:fldCharType="separate"/>
          </w:r>
          <w:r w:rsidR="001E2927">
            <w:rPr>
              <w:rFonts w:ascii="Calibri" w:eastAsia="Calibri" w:hAnsi="Calibri" w:cs="Times New Roman"/>
            </w:rPr>
            <w:fldChar w:fldCharType="begin"/>
          </w:r>
          <w:r w:rsidR="001E2927">
            <w:rPr>
              <w:rFonts w:ascii="Calibri" w:eastAsia="Calibri" w:hAnsi="Calibri" w:cs="Times New Roman"/>
            </w:rPr>
            <w:instrText xml:space="preserve"> INCLUDEPICTURE  "cid:image001.png@01D8FB39.06A872C0" \* MERGEFORMATINET </w:instrText>
          </w:r>
          <w:r w:rsidR="001E2927">
            <w:rPr>
              <w:rFonts w:ascii="Calibri" w:eastAsia="Calibri" w:hAnsi="Calibri" w:cs="Times New Roman"/>
            </w:rPr>
            <w:fldChar w:fldCharType="separate"/>
          </w:r>
          <w:r w:rsidR="00F035C7">
            <w:rPr>
              <w:rFonts w:ascii="Calibri" w:eastAsia="Calibri" w:hAnsi="Calibri" w:cs="Times New Roman"/>
            </w:rPr>
            <w:fldChar w:fldCharType="begin"/>
          </w:r>
          <w:r w:rsidR="00F035C7">
            <w:rPr>
              <w:rFonts w:ascii="Calibri" w:eastAsia="Calibri" w:hAnsi="Calibri" w:cs="Times New Roman"/>
            </w:rPr>
            <w:instrText xml:space="preserve"> INCLUDEPICTURE  "cid:image001.png@01D8FB39.06A872C0" \* MERGEFORMATINET </w:instrText>
          </w:r>
          <w:r w:rsidR="00F035C7">
            <w:rPr>
              <w:rFonts w:ascii="Calibri" w:eastAsia="Calibri" w:hAnsi="Calibri" w:cs="Times New Roman"/>
            </w:rPr>
            <w:fldChar w:fldCharType="separate"/>
          </w:r>
          <w:r w:rsidR="00EC2F03">
            <w:rPr>
              <w:rFonts w:ascii="Calibri" w:eastAsia="Calibri" w:hAnsi="Calibri" w:cs="Times New Roman"/>
            </w:rPr>
            <w:fldChar w:fldCharType="begin"/>
          </w:r>
          <w:r w:rsidR="00EC2F03">
            <w:rPr>
              <w:rFonts w:ascii="Calibri" w:eastAsia="Calibri" w:hAnsi="Calibri" w:cs="Times New Roman"/>
            </w:rPr>
            <w:instrText xml:space="preserve"> INCLUDEPICTURE  "cid:image001.png@01D8FB39.06A872C0" \* MERGEFORMATINET </w:instrText>
          </w:r>
          <w:r w:rsidR="00EC2F03">
            <w:rPr>
              <w:rFonts w:ascii="Calibri" w:eastAsia="Calibri" w:hAnsi="Calibri" w:cs="Times New Roman"/>
            </w:rPr>
            <w:fldChar w:fldCharType="separate"/>
          </w:r>
          <w:r w:rsidR="007F2CA8">
            <w:rPr>
              <w:rFonts w:ascii="Calibri" w:eastAsia="Calibri" w:hAnsi="Calibri" w:cs="Times New Roman"/>
            </w:rPr>
            <w:fldChar w:fldCharType="begin"/>
          </w:r>
          <w:r w:rsidR="007F2CA8">
            <w:rPr>
              <w:rFonts w:ascii="Calibri" w:eastAsia="Calibri" w:hAnsi="Calibri" w:cs="Times New Roman"/>
            </w:rPr>
            <w:instrText xml:space="preserve"> INCLUDEPICTURE  "cid:image001.png@01D8FB39.06A872C0" \* MERGEFORMATINET </w:instrText>
          </w:r>
          <w:r w:rsidR="007F2CA8">
            <w:rPr>
              <w:rFonts w:ascii="Calibri" w:eastAsia="Calibri" w:hAnsi="Calibri" w:cs="Times New Roman"/>
            </w:rPr>
            <w:fldChar w:fldCharType="separate"/>
          </w:r>
          <w:r w:rsidR="00C44833">
            <w:rPr>
              <w:rFonts w:ascii="Calibri" w:eastAsia="Calibri" w:hAnsi="Calibri" w:cs="Times New Roman"/>
            </w:rPr>
            <w:fldChar w:fldCharType="begin"/>
          </w:r>
          <w:r w:rsidR="00C44833">
            <w:rPr>
              <w:rFonts w:ascii="Calibri" w:eastAsia="Calibri" w:hAnsi="Calibri" w:cs="Times New Roman"/>
            </w:rPr>
            <w:instrText xml:space="preserve"> INCLUDEPICTURE  "cid:image001.png@01D8FB39.06A872C0" \* MERGEFORMATINET </w:instrText>
          </w:r>
          <w:r w:rsidR="00C44833">
            <w:rPr>
              <w:rFonts w:ascii="Calibri" w:eastAsia="Calibri" w:hAnsi="Calibri" w:cs="Times New Roman"/>
            </w:rPr>
            <w:fldChar w:fldCharType="separate"/>
          </w:r>
          <w:r w:rsidR="00A75871">
            <w:rPr>
              <w:rFonts w:ascii="Calibri" w:eastAsia="Calibri" w:hAnsi="Calibri" w:cs="Times New Roman"/>
            </w:rPr>
            <w:fldChar w:fldCharType="begin"/>
          </w:r>
          <w:r w:rsidR="00A75871">
            <w:rPr>
              <w:rFonts w:ascii="Calibri" w:eastAsia="Calibri" w:hAnsi="Calibri" w:cs="Times New Roman"/>
            </w:rPr>
            <w:instrText xml:space="preserve"> INCLUDEPICTURE  "cid:image001.png@01D8FB39.06A872C0" \* MERGEFORMATINET </w:instrText>
          </w:r>
          <w:r w:rsidR="00A75871">
            <w:rPr>
              <w:rFonts w:ascii="Calibri" w:eastAsia="Calibri" w:hAnsi="Calibri" w:cs="Times New Roman"/>
            </w:rPr>
            <w:fldChar w:fldCharType="separate"/>
          </w:r>
          <w:r w:rsidR="00C11A61">
            <w:rPr>
              <w:rFonts w:ascii="Calibri" w:eastAsia="Calibri" w:hAnsi="Calibri" w:cs="Times New Roman"/>
            </w:rPr>
            <w:fldChar w:fldCharType="begin"/>
          </w:r>
          <w:r w:rsidR="00C11A61">
            <w:rPr>
              <w:rFonts w:ascii="Calibri" w:eastAsia="Calibri" w:hAnsi="Calibri" w:cs="Times New Roman"/>
            </w:rPr>
            <w:instrText xml:space="preserve"> INCLUDEPICTURE  "cid:image001.png@01D8FB39.06A872C0" \* MERGEFORMATINET </w:instrText>
          </w:r>
          <w:r w:rsidR="00C11A61">
            <w:rPr>
              <w:rFonts w:ascii="Calibri" w:eastAsia="Calibri" w:hAnsi="Calibri" w:cs="Times New Roman"/>
            </w:rPr>
            <w:fldChar w:fldCharType="separate"/>
          </w:r>
          <w:r w:rsidR="00685401">
            <w:rPr>
              <w:rFonts w:ascii="Calibri" w:eastAsia="Calibri" w:hAnsi="Calibri" w:cs="Times New Roman"/>
            </w:rPr>
            <w:fldChar w:fldCharType="begin"/>
          </w:r>
          <w:r w:rsidR="00685401">
            <w:rPr>
              <w:rFonts w:ascii="Calibri" w:eastAsia="Calibri" w:hAnsi="Calibri" w:cs="Times New Roman"/>
            </w:rPr>
            <w:instrText xml:space="preserve"> INCLUDEPICTURE  "cid:image001.png@01D8FB39.06A872C0" \* MERGEFORMATINET </w:instrText>
          </w:r>
          <w:r w:rsidR="00685401">
            <w:rPr>
              <w:rFonts w:ascii="Calibri" w:eastAsia="Calibri" w:hAnsi="Calibri" w:cs="Times New Roman"/>
            </w:rPr>
            <w:fldChar w:fldCharType="separate"/>
          </w:r>
          <w:r w:rsidR="0017605C">
            <w:rPr>
              <w:rFonts w:ascii="Calibri" w:eastAsia="Calibri" w:hAnsi="Calibri" w:cs="Times New Roman"/>
            </w:rPr>
            <w:fldChar w:fldCharType="begin"/>
          </w:r>
          <w:r w:rsidR="0017605C">
            <w:rPr>
              <w:rFonts w:ascii="Calibri" w:eastAsia="Calibri" w:hAnsi="Calibri" w:cs="Times New Roman"/>
            </w:rPr>
            <w:instrText xml:space="preserve"> INCLUDEPICTURE  "cid:image001.png@01D8FB39.06A872C0" \* MERGEFORMATINET </w:instrText>
          </w:r>
          <w:r w:rsidR="0017605C">
            <w:rPr>
              <w:rFonts w:ascii="Calibri" w:eastAsia="Calibri" w:hAnsi="Calibri" w:cs="Times New Roman"/>
            </w:rPr>
            <w:fldChar w:fldCharType="separate"/>
          </w:r>
          <w:r w:rsidR="00F34A55">
            <w:rPr>
              <w:rFonts w:ascii="Calibri" w:eastAsia="Calibri" w:hAnsi="Calibri" w:cs="Times New Roman"/>
            </w:rPr>
            <w:fldChar w:fldCharType="begin"/>
          </w:r>
          <w:r w:rsidR="00F34A55">
            <w:rPr>
              <w:rFonts w:ascii="Calibri" w:eastAsia="Calibri" w:hAnsi="Calibri" w:cs="Times New Roman"/>
            </w:rPr>
            <w:instrText xml:space="preserve"> INCLUDEPICTURE  "cid:image001.png@01D8FB39.06A872C0" \* MERGEFORMATINET </w:instrText>
          </w:r>
          <w:r w:rsidR="00F34A55">
            <w:rPr>
              <w:rFonts w:ascii="Calibri" w:eastAsia="Calibri" w:hAnsi="Calibri" w:cs="Times New Roman"/>
            </w:rPr>
            <w:fldChar w:fldCharType="separate"/>
          </w:r>
          <w:r w:rsidR="001555D6">
            <w:rPr>
              <w:rFonts w:ascii="Calibri" w:eastAsia="Calibri" w:hAnsi="Calibri" w:cs="Times New Roman"/>
            </w:rPr>
            <w:fldChar w:fldCharType="begin"/>
          </w:r>
          <w:r w:rsidR="001555D6">
            <w:rPr>
              <w:rFonts w:ascii="Calibri" w:eastAsia="Calibri" w:hAnsi="Calibri" w:cs="Times New Roman"/>
            </w:rPr>
            <w:instrText xml:space="preserve"> INCLUDEPICTURE  "cid:image001.png@01D8FB39.06A872C0" \* MERGEFORMATINET </w:instrText>
          </w:r>
          <w:r w:rsidR="001555D6">
            <w:rPr>
              <w:rFonts w:ascii="Calibri" w:eastAsia="Calibri" w:hAnsi="Calibri" w:cs="Times New Roman"/>
            </w:rPr>
            <w:fldChar w:fldCharType="separate"/>
          </w:r>
          <w:r w:rsidR="006A6805">
            <w:rPr>
              <w:rFonts w:ascii="Calibri" w:eastAsia="Calibri" w:hAnsi="Calibri" w:cs="Times New Roman"/>
            </w:rPr>
            <w:fldChar w:fldCharType="begin"/>
          </w:r>
          <w:r w:rsidR="006A6805">
            <w:rPr>
              <w:rFonts w:ascii="Calibri" w:eastAsia="Calibri" w:hAnsi="Calibri" w:cs="Times New Roman"/>
            </w:rPr>
            <w:instrText xml:space="preserve"> INCLUDEPICTURE  "cid:image001.png@01D8FB39.06A872C0" \* MERGEFORMATINET </w:instrText>
          </w:r>
          <w:r w:rsidR="006A6805">
            <w:rPr>
              <w:rFonts w:ascii="Calibri" w:eastAsia="Calibri" w:hAnsi="Calibri" w:cs="Times New Roman"/>
            </w:rPr>
            <w:fldChar w:fldCharType="separate"/>
          </w:r>
          <w:r w:rsidR="008D73A2">
            <w:rPr>
              <w:rFonts w:ascii="Calibri" w:eastAsia="Calibri" w:hAnsi="Calibri" w:cs="Times New Roman"/>
            </w:rPr>
            <w:fldChar w:fldCharType="begin"/>
          </w:r>
          <w:r w:rsidR="008D73A2">
            <w:rPr>
              <w:rFonts w:ascii="Calibri" w:eastAsia="Calibri" w:hAnsi="Calibri" w:cs="Times New Roman"/>
            </w:rPr>
            <w:instrText xml:space="preserve"> INCLUDEPICTURE  "cid:image001.png@01D8FB39.06A872C0" \* MERGEFORMATINET </w:instrText>
          </w:r>
          <w:r w:rsidR="008D73A2">
            <w:rPr>
              <w:rFonts w:ascii="Calibri" w:eastAsia="Calibri" w:hAnsi="Calibri" w:cs="Times New Roman"/>
            </w:rPr>
            <w:fldChar w:fldCharType="separate"/>
          </w:r>
          <w:r w:rsidR="00D01862">
            <w:rPr>
              <w:rFonts w:ascii="Calibri" w:eastAsia="Calibri" w:hAnsi="Calibri" w:cs="Times New Roman"/>
            </w:rPr>
            <w:fldChar w:fldCharType="begin"/>
          </w:r>
          <w:r w:rsidR="00D01862">
            <w:rPr>
              <w:rFonts w:ascii="Calibri" w:eastAsia="Calibri" w:hAnsi="Calibri" w:cs="Times New Roman"/>
            </w:rPr>
            <w:instrText xml:space="preserve"> INCLUDEPICTURE  "cid:image001.png@01D8FB39.06A872C0" \* MERGEFORMATINET </w:instrText>
          </w:r>
          <w:r w:rsidR="00D01862">
            <w:rPr>
              <w:rFonts w:ascii="Calibri" w:eastAsia="Calibri" w:hAnsi="Calibri" w:cs="Times New Roman"/>
            </w:rPr>
            <w:fldChar w:fldCharType="separate"/>
          </w:r>
          <w:r w:rsidR="008A31A7">
            <w:rPr>
              <w:rFonts w:ascii="Calibri" w:eastAsia="Calibri" w:hAnsi="Calibri" w:cs="Times New Roman"/>
            </w:rPr>
            <w:fldChar w:fldCharType="begin"/>
          </w:r>
          <w:r w:rsidR="008A31A7">
            <w:rPr>
              <w:rFonts w:ascii="Calibri" w:eastAsia="Calibri" w:hAnsi="Calibri" w:cs="Times New Roman"/>
            </w:rPr>
            <w:instrText xml:space="preserve"> INCLUDEPICTURE  "cid:image001.png@01D8FB39.06A872C0" \* MERGEFORMATINET </w:instrText>
          </w:r>
          <w:r w:rsidR="008A31A7">
            <w:rPr>
              <w:rFonts w:ascii="Calibri" w:eastAsia="Calibri" w:hAnsi="Calibri" w:cs="Times New Roman"/>
            </w:rPr>
            <w:fldChar w:fldCharType="separate"/>
          </w:r>
          <w:r w:rsidR="00FA5933">
            <w:rPr>
              <w:rFonts w:ascii="Calibri" w:eastAsia="Calibri" w:hAnsi="Calibri" w:cs="Times New Roman"/>
            </w:rPr>
            <w:fldChar w:fldCharType="begin"/>
          </w:r>
          <w:r w:rsidR="00FA5933">
            <w:rPr>
              <w:rFonts w:ascii="Calibri" w:eastAsia="Calibri" w:hAnsi="Calibri" w:cs="Times New Roman"/>
            </w:rPr>
            <w:instrText xml:space="preserve"> INCLUDEPICTURE  "cid:image001.png@01D8FB39.06A872C0" \* MERGEFORMATINET </w:instrText>
          </w:r>
          <w:r w:rsidR="00FA5933">
            <w:rPr>
              <w:rFonts w:ascii="Calibri" w:eastAsia="Calibri" w:hAnsi="Calibri" w:cs="Times New Roman"/>
            </w:rPr>
            <w:fldChar w:fldCharType="separate"/>
          </w:r>
          <w:r w:rsidR="00F547F9">
            <w:rPr>
              <w:rFonts w:ascii="Calibri" w:eastAsia="Calibri" w:hAnsi="Calibri" w:cs="Times New Roman"/>
            </w:rPr>
            <w:fldChar w:fldCharType="begin"/>
          </w:r>
          <w:r w:rsidR="00F547F9">
            <w:rPr>
              <w:rFonts w:ascii="Calibri" w:eastAsia="Calibri" w:hAnsi="Calibri" w:cs="Times New Roman"/>
            </w:rPr>
            <w:instrText xml:space="preserve"> INCLUDEPICTURE  "cid:image001.png@01D8FB39.06A872C0" \* MERGEFORMATINET </w:instrText>
          </w:r>
          <w:r w:rsidR="00F547F9">
            <w:rPr>
              <w:rFonts w:ascii="Calibri" w:eastAsia="Calibri" w:hAnsi="Calibri" w:cs="Times New Roman"/>
            </w:rPr>
            <w:fldChar w:fldCharType="separate"/>
          </w:r>
          <w:r w:rsidR="003C1508">
            <w:rPr>
              <w:rFonts w:ascii="Calibri" w:eastAsia="Calibri" w:hAnsi="Calibri" w:cs="Times New Roman"/>
            </w:rPr>
            <w:fldChar w:fldCharType="begin"/>
          </w:r>
          <w:r w:rsidR="003C1508">
            <w:rPr>
              <w:rFonts w:ascii="Calibri" w:eastAsia="Calibri" w:hAnsi="Calibri" w:cs="Times New Roman"/>
            </w:rPr>
            <w:instrText xml:space="preserve"> INCLUDEPICTURE  "cid:image001.png@01D8FB39.06A872C0" \* MERGEFORMATINET </w:instrText>
          </w:r>
          <w:r w:rsidR="003C1508">
            <w:rPr>
              <w:rFonts w:ascii="Calibri" w:eastAsia="Calibri" w:hAnsi="Calibri" w:cs="Times New Roman"/>
            </w:rPr>
            <w:fldChar w:fldCharType="separate"/>
          </w:r>
          <w:r w:rsidR="00E664BC">
            <w:rPr>
              <w:rFonts w:ascii="Calibri" w:eastAsia="Calibri" w:hAnsi="Calibri" w:cs="Times New Roman"/>
            </w:rPr>
            <w:fldChar w:fldCharType="begin"/>
          </w:r>
          <w:r w:rsidR="00E664BC">
            <w:rPr>
              <w:rFonts w:ascii="Calibri" w:eastAsia="Calibri" w:hAnsi="Calibri" w:cs="Times New Roman"/>
            </w:rPr>
            <w:instrText xml:space="preserve"> INCLUDEPICTURE  "cid:image001.png@01D8FB39.06A872C0" \* MERGEFORMATINET </w:instrText>
          </w:r>
          <w:r w:rsidR="00E664BC">
            <w:rPr>
              <w:rFonts w:ascii="Calibri" w:eastAsia="Calibri" w:hAnsi="Calibri" w:cs="Times New Roman"/>
            </w:rPr>
            <w:fldChar w:fldCharType="separate"/>
          </w:r>
          <w:r w:rsidR="0016592D">
            <w:rPr>
              <w:rFonts w:ascii="Calibri" w:eastAsia="Calibri" w:hAnsi="Calibri" w:cs="Times New Roman"/>
            </w:rPr>
            <w:fldChar w:fldCharType="begin"/>
          </w:r>
          <w:r w:rsidR="0016592D">
            <w:rPr>
              <w:rFonts w:ascii="Calibri" w:eastAsia="Calibri" w:hAnsi="Calibri" w:cs="Times New Roman"/>
            </w:rPr>
            <w:instrText xml:space="preserve"> INCLUDEPICTURE  "cid:image001.png@01D8FB39.06A872C0" \* MERGEFORMATINET </w:instrText>
          </w:r>
          <w:r w:rsidR="0016592D">
            <w:rPr>
              <w:rFonts w:ascii="Calibri" w:eastAsia="Calibri" w:hAnsi="Calibri" w:cs="Times New Roman"/>
            </w:rPr>
            <w:fldChar w:fldCharType="separate"/>
          </w:r>
          <w:r w:rsidR="00606D3C">
            <w:rPr>
              <w:rFonts w:ascii="Calibri" w:eastAsia="Calibri" w:hAnsi="Calibri" w:cs="Times New Roman"/>
            </w:rPr>
            <w:fldChar w:fldCharType="begin"/>
          </w:r>
          <w:r w:rsidR="00606D3C">
            <w:rPr>
              <w:rFonts w:ascii="Calibri" w:eastAsia="Calibri" w:hAnsi="Calibri" w:cs="Times New Roman"/>
            </w:rPr>
            <w:instrText xml:space="preserve"> INCLUDEPICTURE  "cid:image001.png@01D8FB39.06A872C0" \* MERGEFORMATINET </w:instrText>
          </w:r>
          <w:r w:rsidR="00606D3C">
            <w:rPr>
              <w:rFonts w:ascii="Calibri" w:eastAsia="Calibri" w:hAnsi="Calibri" w:cs="Times New Roman"/>
            </w:rPr>
            <w:fldChar w:fldCharType="separate"/>
          </w:r>
          <w:r w:rsidR="00BE4032">
            <w:rPr>
              <w:rFonts w:ascii="Calibri" w:eastAsia="Calibri" w:hAnsi="Calibri" w:cs="Times New Roman"/>
            </w:rPr>
            <w:fldChar w:fldCharType="begin"/>
          </w:r>
          <w:r w:rsidR="00BE4032">
            <w:rPr>
              <w:rFonts w:ascii="Calibri" w:eastAsia="Calibri" w:hAnsi="Calibri" w:cs="Times New Roman"/>
            </w:rPr>
            <w:instrText xml:space="preserve"> INCLUDEPICTURE  "cid:image001.png@01D8FB39.06A872C0" \* MERGEFORMATINET </w:instrText>
          </w:r>
          <w:r w:rsidR="00BE4032">
            <w:rPr>
              <w:rFonts w:ascii="Calibri" w:eastAsia="Calibri" w:hAnsi="Calibri" w:cs="Times New Roman"/>
            </w:rPr>
            <w:fldChar w:fldCharType="separate"/>
          </w:r>
          <w:r w:rsidR="00F53913">
            <w:rPr>
              <w:rFonts w:ascii="Calibri" w:eastAsia="Calibri" w:hAnsi="Calibri" w:cs="Times New Roman"/>
            </w:rPr>
            <w:fldChar w:fldCharType="begin"/>
          </w:r>
          <w:r w:rsidR="00F53913">
            <w:rPr>
              <w:rFonts w:ascii="Calibri" w:eastAsia="Calibri" w:hAnsi="Calibri" w:cs="Times New Roman"/>
            </w:rPr>
            <w:instrText xml:space="preserve"> INCLUDEPICTURE  "cid:image001.png@01D8FB39.06A872C0" \* MERGEFORMATINET </w:instrText>
          </w:r>
          <w:r w:rsidR="00F53913">
            <w:rPr>
              <w:rFonts w:ascii="Calibri" w:eastAsia="Calibri" w:hAnsi="Calibri" w:cs="Times New Roman"/>
            </w:rPr>
            <w:fldChar w:fldCharType="separate"/>
          </w:r>
          <w:r w:rsidR="00D12CF4">
            <w:rPr>
              <w:rFonts w:ascii="Calibri" w:eastAsia="Calibri" w:hAnsi="Calibri" w:cs="Times New Roman"/>
            </w:rPr>
            <w:fldChar w:fldCharType="begin"/>
          </w:r>
          <w:r w:rsidR="00D12CF4">
            <w:rPr>
              <w:rFonts w:ascii="Calibri" w:eastAsia="Calibri" w:hAnsi="Calibri" w:cs="Times New Roman"/>
            </w:rPr>
            <w:instrText xml:space="preserve"> INCLUDEPICTURE  "cid:image001.png@01D8FB39.06A872C0" \* MERGEFORMATINET </w:instrText>
          </w:r>
          <w:r w:rsidR="00D12CF4">
            <w:rPr>
              <w:rFonts w:ascii="Calibri" w:eastAsia="Calibri" w:hAnsi="Calibri" w:cs="Times New Roman"/>
            </w:rPr>
            <w:fldChar w:fldCharType="separate"/>
          </w:r>
          <w:r w:rsidR="00F027BB">
            <w:rPr>
              <w:rFonts w:ascii="Calibri" w:eastAsia="Calibri" w:hAnsi="Calibri" w:cs="Times New Roman"/>
            </w:rPr>
            <w:fldChar w:fldCharType="begin"/>
          </w:r>
          <w:r w:rsidR="00F027BB">
            <w:rPr>
              <w:rFonts w:ascii="Calibri" w:eastAsia="Calibri" w:hAnsi="Calibri" w:cs="Times New Roman"/>
            </w:rPr>
            <w:instrText xml:space="preserve"> INCLUDEPICTURE  "cid:image001.png@01D8FB39.06A872C0" \* MERGEFORMATINET </w:instrText>
          </w:r>
          <w:r w:rsidR="00F027BB">
            <w:rPr>
              <w:rFonts w:ascii="Calibri" w:eastAsia="Calibri" w:hAnsi="Calibri" w:cs="Times New Roman"/>
            </w:rPr>
            <w:fldChar w:fldCharType="separate"/>
          </w:r>
          <w:r w:rsidR="00120590">
            <w:rPr>
              <w:rFonts w:ascii="Calibri" w:eastAsia="Calibri" w:hAnsi="Calibri" w:cs="Times New Roman"/>
            </w:rPr>
            <w:fldChar w:fldCharType="begin"/>
          </w:r>
          <w:r w:rsidR="00120590">
            <w:rPr>
              <w:rFonts w:ascii="Calibri" w:eastAsia="Calibri" w:hAnsi="Calibri" w:cs="Times New Roman"/>
            </w:rPr>
            <w:instrText xml:space="preserve"> INCLUDEPICTURE  "cid:image001.png@01D8FB39.06A872C0" \* MERGEFORMATINET </w:instrText>
          </w:r>
          <w:r w:rsidR="00120590">
            <w:rPr>
              <w:rFonts w:ascii="Calibri" w:eastAsia="Calibri" w:hAnsi="Calibri" w:cs="Times New Roman"/>
            </w:rPr>
            <w:fldChar w:fldCharType="separate"/>
          </w:r>
          <w:r w:rsidR="00090662">
            <w:rPr>
              <w:rFonts w:ascii="Calibri" w:eastAsia="Calibri" w:hAnsi="Calibri" w:cs="Times New Roman"/>
            </w:rPr>
            <w:fldChar w:fldCharType="begin"/>
          </w:r>
          <w:r w:rsidR="00090662">
            <w:rPr>
              <w:rFonts w:ascii="Calibri" w:eastAsia="Calibri" w:hAnsi="Calibri" w:cs="Times New Roman"/>
            </w:rPr>
            <w:instrText xml:space="preserve"> INCLUDEPICTURE  "cid:image001.png@01D8FB39.06A872C0" \* MERGEFORMATINET </w:instrText>
          </w:r>
          <w:r w:rsidR="00090662">
            <w:rPr>
              <w:rFonts w:ascii="Calibri" w:eastAsia="Calibri" w:hAnsi="Calibri" w:cs="Times New Roman"/>
            </w:rPr>
            <w:fldChar w:fldCharType="separate"/>
          </w:r>
          <w:r w:rsidR="0093672A">
            <w:rPr>
              <w:rFonts w:ascii="Calibri" w:eastAsia="Calibri" w:hAnsi="Calibri" w:cs="Times New Roman"/>
            </w:rPr>
            <w:fldChar w:fldCharType="begin"/>
          </w:r>
          <w:r w:rsidR="0093672A">
            <w:rPr>
              <w:rFonts w:ascii="Calibri" w:eastAsia="Calibri" w:hAnsi="Calibri" w:cs="Times New Roman"/>
            </w:rPr>
            <w:instrText xml:space="preserve"> INCLUDEPICTURE  "cid:image001.png@01D8FB39.06A872C0" \* MERGEFORMATINET </w:instrText>
          </w:r>
          <w:r w:rsidR="0093672A">
            <w:rPr>
              <w:rFonts w:ascii="Calibri" w:eastAsia="Calibri" w:hAnsi="Calibri" w:cs="Times New Roman"/>
            </w:rPr>
            <w:fldChar w:fldCharType="separate"/>
          </w:r>
          <w:r w:rsidR="00917A7C">
            <w:rPr>
              <w:rFonts w:ascii="Calibri" w:eastAsia="Calibri" w:hAnsi="Calibri" w:cs="Times New Roman"/>
            </w:rPr>
            <w:fldChar w:fldCharType="begin"/>
          </w:r>
          <w:r w:rsidR="00917A7C">
            <w:rPr>
              <w:rFonts w:ascii="Calibri" w:eastAsia="Calibri" w:hAnsi="Calibri" w:cs="Times New Roman"/>
            </w:rPr>
            <w:instrText xml:space="preserve"> INCLUDEPICTURE  "cid:image001.png@01D8FB39.06A872C0" \* MERGEFORMATINET </w:instrText>
          </w:r>
          <w:r w:rsidR="00917A7C">
            <w:rPr>
              <w:rFonts w:ascii="Calibri" w:eastAsia="Calibri" w:hAnsi="Calibri" w:cs="Times New Roman"/>
            </w:rPr>
            <w:fldChar w:fldCharType="separate"/>
          </w:r>
          <w:r w:rsidR="001F3C37">
            <w:rPr>
              <w:rFonts w:ascii="Calibri" w:eastAsia="Calibri" w:hAnsi="Calibri" w:cs="Times New Roman"/>
            </w:rPr>
            <w:fldChar w:fldCharType="begin"/>
          </w:r>
          <w:r w:rsidR="001F3C37">
            <w:rPr>
              <w:rFonts w:ascii="Calibri" w:eastAsia="Calibri" w:hAnsi="Calibri" w:cs="Times New Roman"/>
            </w:rPr>
            <w:instrText xml:space="preserve"> INCLUDEPICTURE  "cid:image001.png@01D8FB39.06A872C0" \* MERGEFORMATINET </w:instrText>
          </w:r>
          <w:r w:rsidR="001F3C37">
            <w:rPr>
              <w:rFonts w:ascii="Calibri" w:eastAsia="Calibri" w:hAnsi="Calibri" w:cs="Times New Roman"/>
            </w:rPr>
            <w:fldChar w:fldCharType="separate"/>
          </w:r>
          <w:r w:rsidR="00855B04">
            <w:rPr>
              <w:rFonts w:ascii="Calibri" w:eastAsia="Calibri" w:hAnsi="Calibri" w:cs="Times New Roman"/>
            </w:rPr>
            <w:fldChar w:fldCharType="begin"/>
          </w:r>
          <w:r w:rsidR="00855B04">
            <w:rPr>
              <w:rFonts w:ascii="Calibri" w:eastAsia="Calibri" w:hAnsi="Calibri" w:cs="Times New Roman"/>
            </w:rPr>
            <w:instrText xml:space="preserve"> INCLUDEPICTURE  "cid:image001.png@01D8FB39.06A872C0" \* MERGEFORMATINET </w:instrText>
          </w:r>
          <w:r w:rsidR="00855B04">
            <w:rPr>
              <w:rFonts w:ascii="Calibri" w:eastAsia="Calibri" w:hAnsi="Calibri" w:cs="Times New Roman"/>
            </w:rPr>
            <w:fldChar w:fldCharType="separate"/>
          </w:r>
          <w:r w:rsidR="00702795">
            <w:rPr>
              <w:rFonts w:ascii="Calibri" w:eastAsia="Calibri" w:hAnsi="Calibri" w:cs="Times New Roman"/>
            </w:rPr>
            <w:fldChar w:fldCharType="begin"/>
          </w:r>
          <w:r w:rsidR="00702795">
            <w:rPr>
              <w:rFonts w:ascii="Calibri" w:eastAsia="Calibri" w:hAnsi="Calibri" w:cs="Times New Roman"/>
            </w:rPr>
            <w:instrText xml:space="preserve"> INCLUDEPICTURE  "cid:image001.png@01D8FB39.06A872C0" \* MERGEFORMATINET </w:instrText>
          </w:r>
          <w:r w:rsidR="00702795">
            <w:rPr>
              <w:rFonts w:ascii="Calibri" w:eastAsia="Calibri" w:hAnsi="Calibri" w:cs="Times New Roman"/>
            </w:rPr>
            <w:fldChar w:fldCharType="separate"/>
          </w:r>
          <w:r w:rsidR="00846FFF">
            <w:rPr>
              <w:rFonts w:ascii="Calibri" w:eastAsia="Calibri" w:hAnsi="Calibri" w:cs="Times New Roman"/>
            </w:rPr>
            <w:fldChar w:fldCharType="begin"/>
          </w:r>
          <w:r w:rsidR="00846FFF">
            <w:rPr>
              <w:rFonts w:ascii="Calibri" w:eastAsia="Calibri" w:hAnsi="Calibri" w:cs="Times New Roman"/>
            </w:rPr>
            <w:instrText xml:space="preserve"> INCLUDEPICTURE  "cid:image001.png@01D8FB39.06A872C0" \* MERGEFORMATINET </w:instrText>
          </w:r>
          <w:r w:rsidR="00846FFF">
            <w:rPr>
              <w:rFonts w:ascii="Calibri" w:eastAsia="Calibri" w:hAnsi="Calibri" w:cs="Times New Roman"/>
            </w:rPr>
            <w:fldChar w:fldCharType="separate"/>
          </w:r>
          <w:r w:rsidR="007E16FF">
            <w:rPr>
              <w:rFonts w:ascii="Calibri" w:eastAsia="Calibri" w:hAnsi="Calibri" w:cs="Times New Roman"/>
            </w:rPr>
            <w:fldChar w:fldCharType="begin"/>
          </w:r>
          <w:r w:rsidR="007E16FF">
            <w:rPr>
              <w:rFonts w:ascii="Calibri" w:eastAsia="Calibri" w:hAnsi="Calibri" w:cs="Times New Roman"/>
            </w:rPr>
            <w:instrText xml:space="preserve"> INCLUDEPICTURE  "cid:image001.png@01D8FB39.06A872C0" \* MERGEFORMATINET </w:instrText>
          </w:r>
          <w:r w:rsidR="007E16FF">
            <w:rPr>
              <w:rFonts w:ascii="Calibri" w:eastAsia="Calibri" w:hAnsi="Calibri" w:cs="Times New Roman"/>
            </w:rPr>
            <w:fldChar w:fldCharType="separate"/>
          </w:r>
          <w:r w:rsidR="00D47FF5">
            <w:rPr>
              <w:rFonts w:ascii="Calibri" w:eastAsia="Calibri" w:hAnsi="Calibri" w:cs="Times New Roman"/>
            </w:rPr>
            <w:fldChar w:fldCharType="begin"/>
          </w:r>
          <w:r w:rsidR="00D47FF5">
            <w:rPr>
              <w:rFonts w:ascii="Calibri" w:eastAsia="Calibri" w:hAnsi="Calibri" w:cs="Times New Roman"/>
            </w:rPr>
            <w:instrText xml:space="preserve"> INCLUDEPICTURE  "cid:image001.png@01D8FB39.06A872C0" \* MERGEFORMATINET </w:instrText>
          </w:r>
          <w:r w:rsidR="00D47FF5">
            <w:rPr>
              <w:rFonts w:ascii="Calibri" w:eastAsia="Calibri" w:hAnsi="Calibri" w:cs="Times New Roman"/>
            </w:rPr>
            <w:fldChar w:fldCharType="separate"/>
          </w:r>
          <w:r w:rsidR="00864E9D">
            <w:rPr>
              <w:rFonts w:ascii="Calibri" w:eastAsia="Calibri" w:hAnsi="Calibri" w:cs="Times New Roman"/>
            </w:rPr>
            <w:fldChar w:fldCharType="begin"/>
          </w:r>
          <w:r w:rsidR="00864E9D">
            <w:rPr>
              <w:rFonts w:ascii="Calibri" w:eastAsia="Calibri" w:hAnsi="Calibri" w:cs="Times New Roman"/>
            </w:rPr>
            <w:instrText xml:space="preserve"> INCLUDEPICTURE  "cid:image001.png@01D8FB39.06A872C0" \* MERGEFORMATINET </w:instrText>
          </w:r>
          <w:r w:rsidR="00864E9D">
            <w:rPr>
              <w:rFonts w:ascii="Calibri" w:eastAsia="Calibri" w:hAnsi="Calibri" w:cs="Times New Roman"/>
            </w:rPr>
            <w:fldChar w:fldCharType="separate"/>
          </w:r>
          <w:r w:rsidR="006F21CD">
            <w:rPr>
              <w:rFonts w:ascii="Calibri" w:eastAsia="Calibri" w:hAnsi="Calibri" w:cs="Times New Roman"/>
            </w:rPr>
            <w:fldChar w:fldCharType="begin"/>
          </w:r>
          <w:r w:rsidR="006F21CD">
            <w:rPr>
              <w:rFonts w:ascii="Calibri" w:eastAsia="Calibri" w:hAnsi="Calibri" w:cs="Times New Roman"/>
            </w:rPr>
            <w:instrText xml:space="preserve"> INCLUDEPICTURE  "cid:image001.png@01D8FB39.06A872C0" \* MERGEFORMATINET </w:instrText>
          </w:r>
          <w:r w:rsidR="006F21CD">
            <w:rPr>
              <w:rFonts w:ascii="Calibri" w:eastAsia="Calibri" w:hAnsi="Calibri" w:cs="Times New Roman"/>
            </w:rPr>
            <w:fldChar w:fldCharType="separate"/>
          </w:r>
          <w:r w:rsidR="00F457CF">
            <w:rPr>
              <w:rFonts w:ascii="Calibri" w:eastAsia="Calibri" w:hAnsi="Calibri" w:cs="Times New Roman"/>
            </w:rPr>
            <w:fldChar w:fldCharType="begin"/>
          </w:r>
          <w:r w:rsidR="00F457CF">
            <w:rPr>
              <w:rFonts w:ascii="Calibri" w:eastAsia="Calibri" w:hAnsi="Calibri" w:cs="Times New Roman"/>
            </w:rPr>
            <w:instrText xml:space="preserve"> </w:instrText>
          </w:r>
          <w:r w:rsidR="00F457CF">
            <w:rPr>
              <w:rFonts w:ascii="Calibri" w:eastAsia="Calibri" w:hAnsi="Calibri" w:cs="Times New Roman"/>
            </w:rPr>
            <w:instrText>INCLUDEPICTURE  "cid:image001.png@01D8FB39.06A872C0" \* MERGEFORMATINET</w:instrText>
          </w:r>
          <w:r w:rsidR="00F457CF">
            <w:rPr>
              <w:rFonts w:ascii="Calibri" w:eastAsia="Calibri" w:hAnsi="Calibri" w:cs="Times New Roman"/>
            </w:rPr>
            <w:instrText xml:space="preserve"> </w:instrText>
          </w:r>
          <w:r w:rsidR="00F457CF">
            <w:rPr>
              <w:rFonts w:ascii="Calibri" w:eastAsia="Calibri" w:hAnsi="Calibri" w:cs="Times New Roman"/>
            </w:rPr>
            <w:fldChar w:fldCharType="separate"/>
          </w:r>
          <w:r w:rsidR="00A64AA8">
            <w:rPr>
              <w:rFonts w:ascii="Calibri" w:eastAsia="Calibri" w:hAnsi="Calibri" w:cs="Times New Roman"/>
            </w:rPr>
            <w:pict w14:anchorId="6A9465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1.75pt;height:41.15pt;visibility:visible">
                <v:imagedata r:id="rId2" r:href="rId3"/>
              </v:shape>
            </w:pict>
          </w:r>
          <w:r w:rsidR="00F457CF">
            <w:rPr>
              <w:rFonts w:ascii="Calibri" w:eastAsia="Calibri" w:hAnsi="Calibri" w:cs="Times New Roman"/>
            </w:rPr>
            <w:fldChar w:fldCharType="end"/>
          </w:r>
          <w:r w:rsidR="006F21CD">
            <w:rPr>
              <w:rFonts w:ascii="Calibri" w:eastAsia="Calibri" w:hAnsi="Calibri" w:cs="Times New Roman"/>
            </w:rPr>
            <w:fldChar w:fldCharType="end"/>
          </w:r>
          <w:r w:rsidR="00864E9D">
            <w:rPr>
              <w:rFonts w:ascii="Calibri" w:eastAsia="Calibri" w:hAnsi="Calibri" w:cs="Times New Roman"/>
            </w:rPr>
            <w:fldChar w:fldCharType="end"/>
          </w:r>
          <w:r w:rsidR="00D47FF5">
            <w:rPr>
              <w:rFonts w:ascii="Calibri" w:eastAsia="Calibri" w:hAnsi="Calibri" w:cs="Times New Roman"/>
            </w:rPr>
            <w:fldChar w:fldCharType="end"/>
          </w:r>
          <w:r w:rsidR="007E16FF">
            <w:rPr>
              <w:rFonts w:ascii="Calibri" w:eastAsia="Calibri" w:hAnsi="Calibri" w:cs="Times New Roman"/>
            </w:rPr>
            <w:fldChar w:fldCharType="end"/>
          </w:r>
          <w:r w:rsidR="00846FFF">
            <w:rPr>
              <w:rFonts w:ascii="Calibri" w:eastAsia="Calibri" w:hAnsi="Calibri" w:cs="Times New Roman"/>
            </w:rPr>
            <w:fldChar w:fldCharType="end"/>
          </w:r>
          <w:r w:rsidR="00702795">
            <w:rPr>
              <w:rFonts w:ascii="Calibri" w:eastAsia="Calibri" w:hAnsi="Calibri" w:cs="Times New Roman"/>
            </w:rPr>
            <w:fldChar w:fldCharType="end"/>
          </w:r>
          <w:r w:rsidR="00855B04">
            <w:rPr>
              <w:rFonts w:ascii="Calibri" w:eastAsia="Calibri" w:hAnsi="Calibri" w:cs="Times New Roman"/>
            </w:rPr>
            <w:fldChar w:fldCharType="end"/>
          </w:r>
          <w:r w:rsidR="001F3C37">
            <w:rPr>
              <w:rFonts w:ascii="Calibri" w:eastAsia="Calibri" w:hAnsi="Calibri" w:cs="Times New Roman"/>
            </w:rPr>
            <w:fldChar w:fldCharType="end"/>
          </w:r>
          <w:r w:rsidR="00917A7C">
            <w:rPr>
              <w:rFonts w:ascii="Calibri" w:eastAsia="Calibri" w:hAnsi="Calibri" w:cs="Times New Roman"/>
            </w:rPr>
            <w:fldChar w:fldCharType="end"/>
          </w:r>
          <w:r w:rsidR="0093672A">
            <w:rPr>
              <w:rFonts w:ascii="Calibri" w:eastAsia="Calibri" w:hAnsi="Calibri" w:cs="Times New Roman"/>
            </w:rPr>
            <w:fldChar w:fldCharType="end"/>
          </w:r>
          <w:r w:rsidR="00090662">
            <w:rPr>
              <w:rFonts w:ascii="Calibri" w:eastAsia="Calibri" w:hAnsi="Calibri" w:cs="Times New Roman"/>
            </w:rPr>
            <w:fldChar w:fldCharType="end"/>
          </w:r>
          <w:r w:rsidR="00120590">
            <w:rPr>
              <w:rFonts w:ascii="Calibri" w:eastAsia="Calibri" w:hAnsi="Calibri" w:cs="Times New Roman"/>
            </w:rPr>
            <w:fldChar w:fldCharType="end"/>
          </w:r>
          <w:r w:rsidR="00F027BB">
            <w:rPr>
              <w:rFonts w:ascii="Calibri" w:eastAsia="Calibri" w:hAnsi="Calibri" w:cs="Times New Roman"/>
            </w:rPr>
            <w:fldChar w:fldCharType="end"/>
          </w:r>
          <w:r w:rsidR="00D12CF4">
            <w:rPr>
              <w:rFonts w:ascii="Calibri" w:eastAsia="Calibri" w:hAnsi="Calibri" w:cs="Times New Roman"/>
            </w:rPr>
            <w:fldChar w:fldCharType="end"/>
          </w:r>
          <w:r w:rsidR="00F53913">
            <w:rPr>
              <w:rFonts w:ascii="Calibri" w:eastAsia="Calibri" w:hAnsi="Calibri" w:cs="Times New Roman"/>
            </w:rPr>
            <w:fldChar w:fldCharType="end"/>
          </w:r>
          <w:r w:rsidR="00BE4032">
            <w:rPr>
              <w:rFonts w:ascii="Calibri" w:eastAsia="Calibri" w:hAnsi="Calibri" w:cs="Times New Roman"/>
            </w:rPr>
            <w:fldChar w:fldCharType="end"/>
          </w:r>
          <w:r w:rsidR="00606D3C">
            <w:rPr>
              <w:rFonts w:ascii="Calibri" w:eastAsia="Calibri" w:hAnsi="Calibri" w:cs="Times New Roman"/>
            </w:rPr>
            <w:fldChar w:fldCharType="end"/>
          </w:r>
          <w:r w:rsidR="0016592D">
            <w:rPr>
              <w:rFonts w:ascii="Calibri" w:eastAsia="Calibri" w:hAnsi="Calibri" w:cs="Times New Roman"/>
            </w:rPr>
            <w:fldChar w:fldCharType="end"/>
          </w:r>
          <w:r w:rsidR="00E664BC">
            <w:rPr>
              <w:rFonts w:ascii="Calibri" w:eastAsia="Calibri" w:hAnsi="Calibri" w:cs="Times New Roman"/>
            </w:rPr>
            <w:fldChar w:fldCharType="end"/>
          </w:r>
          <w:r w:rsidR="003C1508">
            <w:rPr>
              <w:rFonts w:ascii="Calibri" w:eastAsia="Calibri" w:hAnsi="Calibri" w:cs="Times New Roman"/>
            </w:rPr>
            <w:fldChar w:fldCharType="end"/>
          </w:r>
          <w:r w:rsidR="00F547F9">
            <w:rPr>
              <w:rFonts w:ascii="Calibri" w:eastAsia="Calibri" w:hAnsi="Calibri" w:cs="Times New Roman"/>
            </w:rPr>
            <w:fldChar w:fldCharType="end"/>
          </w:r>
          <w:r w:rsidR="00FA5933">
            <w:rPr>
              <w:rFonts w:ascii="Calibri" w:eastAsia="Calibri" w:hAnsi="Calibri" w:cs="Times New Roman"/>
            </w:rPr>
            <w:fldChar w:fldCharType="end"/>
          </w:r>
          <w:r w:rsidR="008A31A7">
            <w:rPr>
              <w:rFonts w:ascii="Calibri" w:eastAsia="Calibri" w:hAnsi="Calibri" w:cs="Times New Roman"/>
            </w:rPr>
            <w:fldChar w:fldCharType="end"/>
          </w:r>
          <w:r w:rsidR="00D01862">
            <w:rPr>
              <w:rFonts w:ascii="Calibri" w:eastAsia="Calibri" w:hAnsi="Calibri" w:cs="Times New Roman"/>
            </w:rPr>
            <w:fldChar w:fldCharType="end"/>
          </w:r>
          <w:r w:rsidR="008D73A2">
            <w:rPr>
              <w:rFonts w:ascii="Calibri" w:eastAsia="Calibri" w:hAnsi="Calibri" w:cs="Times New Roman"/>
            </w:rPr>
            <w:fldChar w:fldCharType="end"/>
          </w:r>
          <w:r w:rsidR="006A6805">
            <w:rPr>
              <w:rFonts w:ascii="Calibri" w:eastAsia="Calibri" w:hAnsi="Calibri" w:cs="Times New Roman"/>
            </w:rPr>
            <w:fldChar w:fldCharType="end"/>
          </w:r>
          <w:r w:rsidR="001555D6">
            <w:rPr>
              <w:rFonts w:ascii="Calibri" w:eastAsia="Calibri" w:hAnsi="Calibri" w:cs="Times New Roman"/>
            </w:rPr>
            <w:fldChar w:fldCharType="end"/>
          </w:r>
          <w:r w:rsidR="00F34A55">
            <w:rPr>
              <w:rFonts w:ascii="Calibri" w:eastAsia="Calibri" w:hAnsi="Calibri" w:cs="Times New Roman"/>
            </w:rPr>
            <w:fldChar w:fldCharType="end"/>
          </w:r>
          <w:r w:rsidR="0017605C">
            <w:rPr>
              <w:rFonts w:ascii="Calibri" w:eastAsia="Calibri" w:hAnsi="Calibri" w:cs="Times New Roman"/>
            </w:rPr>
            <w:fldChar w:fldCharType="end"/>
          </w:r>
          <w:r w:rsidR="00685401">
            <w:rPr>
              <w:rFonts w:ascii="Calibri" w:eastAsia="Calibri" w:hAnsi="Calibri" w:cs="Times New Roman"/>
            </w:rPr>
            <w:fldChar w:fldCharType="end"/>
          </w:r>
          <w:r w:rsidR="00C11A61">
            <w:rPr>
              <w:rFonts w:ascii="Calibri" w:eastAsia="Calibri" w:hAnsi="Calibri" w:cs="Times New Roman"/>
            </w:rPr>
            <w:fldChar w:fldCharType="end"/>
          </w:r>
          <w:r w:rsidR="00A75871">
            <w:rPr>
              <w:rFonts w:ascii="Calibri" w:eastAsia="Calibri" w:hAnsi="Calibri" w:cs="Times New Roman"/>
            </w:rPr>
            <w:fldChar w:fldCharType="end"/>
          </w:r>
          <w:r w:rsidR="00C44833">
            <w:rPr>
              <w:rFonts w:ascii="Calibri" w:eastAsia="Calibri" w:hAnsi="Calibri" w:cs="Times New Roman"/>
            </w:rPr>
            <w:fldChar w:fldCharType="end"/>
          </w:r>
          <w:r w:rsidR="007F2CA8">
            <w:rPr>
              <w:rFonts w:ascii="Calibri" w:eastAsia="Calibri" w:hAnsi="Calibri" w:cs="Times New Roman"/>
            </w:rPr>
            <w:fldChar w:fldCharType="end"/>
          </w:r>
          <w:r w:rsidR="00EC2F03">
            <w:rPr>
              <w:rFonts w:ascii="Calibri" w:eastAsia="Calibri" w:hAnsi="Calibri" w:cs="Times New Roman"/>
            </w:rPr>
            <w:fldChar w:fldCharType="end"/>
          </w:r>
          <w:r w:rsidR="00F035C7">
            <w:rPr>
              <w:rFonts w:ascii="Calibri" w:eastAsia="Calibri" w:hAnsi="Calibri" w:cs="Times New Roman"/>
            </w:rPr>
            <w:fldChar w:fldCharType="end"/>
          </w:r>
          <w:r w:rsidR="001E2927">
            <w:rPr>
              <w:rFonts w:ascii="Calibri" w:eastAsia="Calibri" w:hAnsi="Calibri" w:cs="Times New Roman"/>
            </w:rPr>
            <w:fldChar w:fldCharType="end"/>
          </w:r>
          <w:r w:rsidR="005458FC">
            <w:rPr>
              <w:rFonts w:ascii="Calibri" w:eastAsia="Calibri" w:hAnsi="Calibri" w:cs="Times New Roman"/>
            </w:rPr>
            <w:fldChar w:fldCharType="end"/>
          </w:r>
          <w:r w:rsidR="003F31D2">
            <w:rPr>
              <w:rFonts w:ascii="Calibri" w:eastAsia="Calibri" w:hAnsi="Calibri" w:cs="Times New Roman"/>
            </w:rPr>
            <w:fldChar w:fldCharType="end"/>
          </w:r>
          <w:r w:rsidR="001D40C6">
            <w:rPr>
              <w:rFonts w:ascii="Calibri" w:eastAsia="Calibri" w:hAnsi="Calibri" w:cs="Times New Roman"/>
            </w:rPr>
            <w:fldChar w:fldCharType="end"/>
          </w:r>
          <w:r w:rsidR="00BB17AB">
            <w:rPr>
              <w:rFonts w:ascii="Calibri" w:eastAsia="Calibri" w:hAnsi="Calibri" w:cs="Times New Roman"/>
            </w:rPr>
            <w:fldChar w:fldCharType="end"/>
          </w:r>
          <w:r w:rsidR="002B3048">
            <w:rPr>
              <w:rFonts w:ascii="Calibri" w:eastAsia="Calibri" w:hAnsi="Calibri" w:cs="Times New Roman"/>
            </w:rPr>
            <w:fldChar w:fldCharType="end"/>
          </w:r>
          <w:r w:rsidR="00B70CA1">
            <w:rPr>
              <w:rFonts w:ascii="Calibri" w:eastAsia="Calibri" w:hAnsi="Calibri" w:cs="Times New Roman"/>
            </w:rPr>
            <w:fldChar w:fldCharType="end"/>
          </w:r>
          <w:r w:rsidRPr="00920C83">
            <w:rPr>
              <w:rFonts w:ascii="Calibri" w:eastAsia="Calibri" w:hAnsi="Calibri" w:cs="Times New Roman"/>
            </w:rPr>
            <w:fldChar w:fldCharType="end"/>
          </w:r>
          <w:r w:rsidRPr="00920C83">
            <w:rPr>
              <w:rFonts w:ascii="Calibri" w:eastAsia="Calibri" w:hAnsi="Calibri" w:cs="Times New Roman"/>
            </w:rPr>
            <w:fldChar w:fldCharType="end"/>
          </w:r>
        </w:p>
      </w:tc>
    </w:tr>
  </w:tbl>
  <w:p w14:paraId="4D17B3C3" w14:textId="77777777" w:rsidR="005D5C12" w:rsidRDefault="005D5C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07427" w14:textId="3BFE6767" w:rsidR="008F4E02" w:rsidRDefault="008F4E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 w15:restartNumberingAfterBreak="0">
    <w:nsid w:val="2AB8221E"/>
    <w:multiLevelType w:val="hybridMultilevel"/>
    <w:tmpl w:val="F5F67F3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proofState w:spelling="clean" w:grammar="clean"/>
  <w:trackRevision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44B"/>
    <w:rsid w:val="0000173C"/>
    <w:rsid w:val="0000386A"/>
    <w:rsid w:val="00006A1F"/>
    <w:rsid w:val="00013B0F"/>
    <w:rsid w:val="00015702"/>
    <w:rsid w:val="00016E0B"/>
    <w:rsid w:val="00020E0B"/>
    <w:rsid w:val="00021DCF"/>
    <w:rsid w:val="00023FFA"/>
    <w:rsid w:val="00033801"/>
    <w:rsid w:val="0003699C"/>
    <w:rsid w:val="000379D7"/>
    <w:rsid w:val="0004005C"/>
    <w:rsid w:val="00044D0F"/>
    <w:rsid w:val="00045584"/>
    <w:rsid w:val="00046C41"/>
    <w:rsid w:val="00052BD0"/>
    <w:rsid w:val="000568E4"/>
    <w:rsid w:val="00062143"/>
    <w:rsid w:val="00090662"/>
    <w:rsid w:val="000972C6"/>
    <w:rsid w:val="000A0132"/>
    <w:rsid w:val="000A4E76"/>
    <w:rsid w:val="000B38AD"/>
    <w:rsid w:val="000B6360"/>
    <w:rsid w:val="000C2624"/>
    <w:rsid w:val="000C2A46"/>
    <w:rsid w:val="000C6413"/>
    <w:rsid w:val="000C731A"/>
    <w:rsid w:val="000D040C"/>
    <w:rsid w:val="000D418B"/>
    <w:rsid w:val="000D7F0D"/>
    <w:rsid w:val="000E43C4"/>
    <w:rsid w:val="000E4FFF"/>
    <w:rsid w:val="000F48C5"/>
    <w:rsid w:val="001005B4"/>
    <w:rsid w:val="00112DD2"/>
    <w:rsid w:val="001172F3"/>
    <w:rsid w:val="00120590"/>
    <w:rsid w:val="0012614C"/>
    <w:rsid w:val="00133436"/>
    <w:rsid w:val="001375DA"/>
    <w:rsid w:val="00147A80"/>
    <w:rsid w:val="0015185C"/>
    <w:rsid w:val="00151B68"/>
    <w:rsid w:val="001555D6"/>
    <w:rsid w:val="001566B9"/>
    <w:rsid w:val="00156B42"/>
    <w:rsid w:val="001637DA"/>
    <w:rsid w:val="0016592D"/>
    <w:rsid w:val="001675DC"/>
    <w:rsid w:val="0017605C"/>
    <w:rsid w:val="00176AD2"/>
    <w:rsid w:val="00177AF4"/>
    <w:rsid w:val="001826B1"/>
    <w:rsid w:val="0019069B"/>
    <w:rsid w:val="001B133A"/>
    <w:rsid w:val="001B3181"/>
    <w:rsid w:val="001B57E3"/>
    <w:rsid w:val="001B61A7"/>
    <w:rsid w:val="001C2977"/>
    <w:rsid w:val="001D40C6"/>
    <w:rsid w:val="001D505E"/>
    <w:rsid w:val="001D6D99"/>
    <w:rsid w:val="001E2927"/>
    <w:rsid w:val="001F0D5A"/>
    <w:rsid w:val="001F3C37"/>
    <w:rsid w:val="00207A2E"/>
    <w:rsid w:val="0021679D"/>
    <w:rsid w:val="0021691B"/>
    <w:rsid w:val="00226AD4"/>
    <w:rsid w:val="002407B4"/>
    <w:rsid w:val="00265938"/>
    <w:rsid w:val="00270FA9"/>
    <w:rsid w:val="00277725"/>
    <w:rsid w:val="0028583C"/>
    <w:rsid w:val="002938F6"/>
    <w:rsid w:val="00294A6E"/>
    <w:rsid w:val="002A0B0D"/>
    <w:rsid w:val="002A3700"/>
    <w:rsid w:val="002A512B"/>
    <w:rsid w:val="002A570D"/>
    <w:rsid w:val="002A6026"/>
    <w:rsid w:val="002B03EC"/>
    <w:rsid w:val="002B20F2"/>
    <w:rsid w:val="002B3048"/>
    <w:rsid w:val="002B31B0"/>
    <w:rsid w:val="002B3E57"/>
    <w:rsid w:val="00301649"/>
    <w:rsid w:val="003048BD"/>
    <w:rsid w:val="00311B06"/>
    <w:rsid w:val="00311D57"/>
    <w:rsid w:val="00322E2E"/>
    <w:rsid w:val="003234D8"/>
    <w:rsid w:val="00323E63"/>
    <w:rsid w:val="0032781F"/>
    <w:rsid w:val="00333624"/>
    <w:rsid w:val="003339E9"/>
    <w:rsid w:val="00342683"/>
    <w:rsid w:val="003461C6"/>
    <w:rsid w:val="0035095C"/>
    <w:rsid w:val="00350A75"/>
    <w:rsid w:val="00357D8C"/>
    <w:rsid w:val="00363FB2"/>
    <w:rsid w:val="00364204"/>
    <w:rsid w:val="00380C77"/>
    <w:rsid w:val="00392471"/>
    <w:rsid w:val="003C0505"/>
    <w:rsid w:val="003C1508"/>
    <w:rsid w:val="003C6307"/>
    <w:rsid w:val="003D5F84"/>
    <w:rsid w:val="003E2225"/>
    <w:rsid w:val="003E6A7D"/>
    <w:rsid w:val="003E7DFA"/>
    <w:rsid w:val="003F31D2"/>
    <w:rsid w:val="003F63FF"/>
    <w:rsid w:val="003F74C3"/>
    <w:rsid w:val="00403D6C"/>
    <w:rsid w:val="00413F4A"/>
    <w:rsid w:val="00425A09"/>
    <w:rsid w:val="00425D7E"/>
    <w:rsid w:val="00434D2A"/>
    <w:rsid w:val="00442F9C"/>
    <w:rsid w:val="00443FF4"/>
    <w:rsid w:val="00453858"/>
    <w:rsid w:val="00455569"/>
    <w:rsid w:val="004802B5"/>
    <w:rsid w:val="0048471A"/>
    <w:rsid w:val="00486046"/>
    <w:rsid w:val="00487B87"/>
    <w:rsid w:val="0049425D"/>
    <w:rsid w:val="004C5A98"/>
    <w:rsid w:val="004D06FB"/>
    <w:rsid w:val="004E15B4"/>
    <w:rsid w:val="004E6D9F"/>
    <w:rsid w:val="00502F9C"/>
    <w:rsid w:val="005155E4"/>
    <w:rsid w:val="00515FB4"/>
    <w:rsid w:val="00521924"/>
    <w:rsid w:val="005458FC"/>
    <w:rsid w:val="00546517"/>
    <w:rsid w:val="00562CDD"/>
    <w:rsid w:val="0057352F"/>
    <w:rsid w:val="00590097"/>
    <w:rsid w:val="005B109C"/>
    <w:rsid w:val="005B31B9"/>
    <w:rsid w:val="005B66E8"/>
    <w:rsid w:val="005C3A6A"/>
    <w:rsid w:val="005D31D2"/>
    <w:rsid w:val="005D5C12"/>
    <w:rsid w:val="005D5D2C"/>
    <w:rsid w:val="005E04B9"/>
    <w:rsid w:val="005E3ADC"/>
    <w:rsid w:val="00606D3C"/>
    <w:rsid w:val="00622A4E"/>
    <w:rsid w:val="006235CE"/>
    <w:rsid w:val="00624B99"/>
    <w:rsid w:val="0062729B"/>
    <w:rsid w:val="00647A60"/>
    <w:rsid w:val="00650331"/>
    <w:rsid w:val="00655AB9"/>
    <w:rsid w:val="00655CC9"/>
    <w:rsid w:val="00666644"/>
    <w:rsid w:val="006675E7"/>
    <w:rsid w:val="00677E30"/>
    <w:rsid w:val="00685401"/>
    <w:rsid w:val="00686332"/>
    <w:rsid w:val="006904FF"/>
    <w:rsid w:val="006932EA"/>
    <w:rsid w:val="006A6805"/>
    <w:rsid w:val="006B35B9"/>
    <w:rsid w:val="006B7F88"/>
    <w:rsid w:val="006C0465"/>
    <w:rsid w:val="006C7B36"/>
    <w:rsid w:val="006D243B"/>
    <w:rsid w:val="006D2D81"/>
    <w:rsid w:val="006D5204"/>
    <w:rsid w:val="006D56CD"/>
    <w:rsid w:val="006E74DD"/>
    <w:rsid w:val="006F21CD"/>
    <w:rsid w:val="006F5552"/>
    <w:rsid w:val="00702795"/>
    <w:rsid w:val="007039E1"/>
    <w:rsid w:val="007110EB"/>
    <w:rsid w:val="00725DB9"/>
    <w:rsid w:val="007268F0"/>
    <w:rsid w:val="00734B42"/>
    <w:rsid w:val="00741F45"/>
    <w:rsid w:val="0074385D"/>
    <w:rsid w:val="0074665C"/>
    <w:rsid w:val="007472EC"/>
    <w:rsid w:val="00750D4C"/>
    <w:rsid w:val="007540A9"/>
    <w:rsid w:val="00761D80"/>
    <w:rsid w:val="00764CC7"/>
    <w:rsid w:val="0076760F"/>
    <w:rsid w:val="0078029D"/>
    <w:rsid w:val="00784610"/>
    <w:rsid w:val="00785637"/>
    <w:rsid w:val="00792531"/>
    <w:rsid w:val="0079544B"/>
    <w:rsid w:val="007B2C0A"/>
    <w:rsid w:val="007B5FF0"/>
    <w:rsid w:val="007B60CB"/>
    <w:rsid w:val="007D41F2"/>
    <w:rsid w:val="007E16FF"/>
    <w:rsid w:val="007E18D5"/>
    <w:rsid w:val="007E4C7D"/>
    <w:rsid w:val="007F2CA8"/>
    <w:rsid w:val="007F4E6D"/>
    <w:rsid w:val="007F6ED0"/>
    <w:rsid w:val="007F75CF"/>
    <w:rsid w:val="00800A99"/>
    <w:rsid w:val="00805079"/>
    <w:rsid w:val="0080517F"/>
    <w:rsid w:val="00812B62"/>
    <w:rsid w:val="00814198"/>
    <w:rsid w:val="0082616B"/>
    <w:rsid w:val="00830873"/>
    <w:rsid w:val="00831362"/>
    <w:rsid w:val="008423D6"/>
    <w:rsid w:val="00844602"/>
    <w:rsid w:val="00844A97"/>
    <w:rsid w:val="00846FFF"/>
    <w:rsid w:val="00855B04"/>
    <w:rsid w:val="00857CD1"/>
    <w:rsid w:val="00862EEE"/>
    <w:rsid w:val="00864E9D"/>
    <w:rsid w:val="00870D1D"/>
    <w:rsid w:val="00876B7B"/>
    <w:rsid w:val="00880021"/>
    <w:rsid w:val="00884591"/>
    <w:rsid w:val="00893228"/>
    <w:rsid w:val="008A31A7"/>
    <w:rsid w:val="008A3B65"/>
    <w:rsid w:val="008A58FF"/>
    <w:rsid w:val="008A6036"/>
    <w:rsid w:val="008B1BB2"/>
    <w:rsid w:val="008D22C2"/>
    <w:rsid w:val="008D51DE"/>
    <w:rsid w:val="008D73A2"/>
    <w:rsid w:val="008E4D35"/>
    <w:rsid w:val="008E7DBD"/>
    <w:rsid w:val="008F1A06"/>
    <w:rsid w:val="008F1F1D"/>
    <w:rsid w:val="008F29AD"/>
    <w:rsid w:val="008F2DBC"/>
    <w:rsid w:val="008F4E02"/>
    <w:rsid w:val="00907DA1"/>
    <w:rsid w:val="0091098E"/>
    <w:rsid w:val="00911F09"/>
    <w:rsid w:val="00915527"/>
    <w:rsid w:val="00917A7C"/>
    <w:rsid w:val="009200B0"/>
    <w:rsid w:val="00920C83"/>
    <w:rsid w:val="009228BD"/>
    <w:rsid w:val="00922D50"/>
    <w:rsid w:val="00924D9B"/>
    <w:rsid w:val="0093063E"/>
    <w:rsid w:val="00934B28"/>
    <w:rsid w:val="0093672A"/>
    <w:rsid w:val="00936946"/>
    <w:rsid w:val="00937C2E"/>
    <w:rsid w:val="00950DAB"/>
    <w:rsid w:val="0095447F"/>
    <w:rsid w:val="00960116"/>
    <w:rsid w:val="009944A0"/>
    <w:rsid w:val="00995611"/>
    <w:rsid w:val="009B112E"/>
    <w:rsid w:val="009D0973"/>
    <w:rsid w:val="009D265E"/>
    <w:rsid w:val="009D632B"/>
    <w:rsid w:val="009F3B82"/>
    <w:rsid w:val="009F6C1F"/>
    <w:rsid w:val="009F7BB2"/>
    <w:rsid w:val="00A00FBE"/>
    <w:rsid w:val="00A0285B"/>
    <w:rsid w:val="00A07D6D"/>
    <w:rsid w:val="00A14845"/>
    <w:rsid w:val="00A1789B"/>
    <w:rsid w:val="00A24C36"/>
    <w:rsid w:val="00A26995"/>
    <w:rsid w:val="00A3057D"/>
    <w:rsid w:val="00A32D97"/>
    <w:rsid w:val="00A33C33"/>
    <w:rsid w:val="00A52C19"/>
    <w:rsid w:val="00A641AE"/>
    <w:rsid w:val="00A64487"/>
    <w:rsid w:val="00A64AA8"/>
    <w:rsid w:val="00A704B4"/>
    <w:rsid w:val="00A75871"/>
    <w:rsid w:val="00A90EA8"/>
    <w:rsid w:val="00A94692"/>
    <w:rsid w:val="00AA5F85"/>
    <w:rsid w:val="00AB66B3"/>
    <w:rsid w:val="00AC0C92"/>
    <w:rsid w:val="00AC5A69"/>
    <w:rsid w:val="00AC6678"/>
    <w:rsid w:val="00AC6F3F"/>
    <w:rsid w:val="00AD2903"/>
    <w:rsid w:val="00AD39DA"/>
    <w:rsid w:val="00AD60D3"/>
    <w:rsid w:val="00AE06FF"/>
    <w:rsid w:val="00AE2167"/>
    <w:rsid w:val="00B14E85"/>
    <w:rsid w:val="00B219EC"/>
    <w:rsid w:val="00B33CC1"/>
    <w:rsid w:val="00B47A1F"/>
    <w:rsid w:val="00B50A28"/>
    <w:rsid w:val="00B53955"/>
    <w:rsid w:val="00B54D6C"/>
    <w:rsid w:val="00B570F3"/>
    <w:rsid w:val="00B70CA1"/>
    <w:rsid w:val="00B71DD6"/>
    <w:rsid w:val="00B72A66"/>
    <w:rsid w:val="00B74C34"/>
    <w:rsid w:val="00B918EA"/>
    <w:rsid w:val="00B96F15"/>
    <w:rsid w:val="00BA0725"/>
    <w:rsid w:val="00BB17AB"/>
    <w:rsid w:val="00BC06E5"/>
    <w:rsid w:val="00BD6E52"/>
    <w:rsid w:val="00BE4032"/>
    <w:rsid w:val="00BF171D"/>
    <w:rsid w:val="00C1144B"/>
    <w:rsid w:val="00C11A61"/>
    <w:rsid w:val="00C22321"/>
    <w:rsid w:val="00C227AA"/>
    <w:rsid w:val="00C31ADB"/>
    <w:rsid w:val="00C35B51"/>
    <w:rsid w:val="00C44833"/>
    <w:rsid w:val="00C470C9"/>
    <w:rsid w:val="00C5289A"/>
    <w:rsid w:val="00C60101"/>
    <w:rsid w:val="00C64722"/>
    <w:rsid w:val="00C66498"/>
    <w:rsid w:val="00C67B6D"/>
    <w:rsid w:val="00C77AA5"/>
    <w:rsid w:val="00C835D4"/>
    <w:rsid w:val="00C83BE5"/>
    <w:rsid w:val="00C86681"/>
    <w:rsid w:val="00C918D5"/>
    <w:rsid w:val="00CA653D"/>
    <w:rsid w:val="00CB0C05"/>
    <w:rsid w:val="00CB12DF"/>
    <w:rsid w:val="00CE3DEC"/>
    <w:rsid w:val="00CF0900"/>
    <w:rsid w:val="00CF381D"/>
    <w:rsid w:val="00D012AB"/>
    <w:rsid w:val="00D01862"/>
    <w:rsid w:val="00D01AE0"/>
    <w:rsid w:val="00D077BE"/>
    <w:rsid w:val="00D12393"/>
    <w:rsid w:val="00D12CF4"/>
    <w:rsid w:val="00D23A11"/>
    <w:rsid w:val="00D31E18"/>
    <w:rsid w:val="00D36727"/>
    <w:rsid w:val="00D37325"/>
    <w:rsid w:val="00D43E3C"/>
    <w:rsid w:val="00D45B42"/>
    <w:rsid w:val="00D47FF5"/>
    <w:rsid w:val="00D554F0"/>
    <w:rsid w:val="00D55DC2"/>
    <w:rsid w:val="00D64D8A"/>
    <w:rsid w:val="00D72655"/>
    <w:rsid w:val="00D73B92"/>
    <w:rsid w:val="00D772ED"/>
    <w:rsid w:val="00D819FE"/>
    <w:rsid w:val="00D93460"/>
    <w:rsid w:val="00D97129"/>
    <w:rsid w:val="00DA2FCF"/>
    <w:rsid w:val="00DA3619"/>
    <w:rsid w:val="00DB5F63"/>
    <w:rsid w:val="00DD1DE4"/>
    <w:rsid w:val="00DF094A"/>
    <w:rsid w:val="00DF2DF7"/>
    <w:rsid w:val="00DF5409"/>
    <w:rsid w:val="00DF71C8"/>
    <w:rsid w:val="00DF7E05"/>
    <w:rsid w:val="00E03C0C"/>
    <w:rsid w:val="00E0744A"/>
    <w:rsid w:val="00E12165"/>
    <w:rsid w:val="00E12EB9"/>
    <w:rsid w:val="00E17783"/>
    <w:rsid w:val="00E20EE5"/>
    <w:rsid w:val="00E2578D"/>
    <w:rsid w:val="00E26093"/>
    <w:rsid w:val="00E304D8"/>
    <w:rsid w:val="00E32E04"/>
    <w:rsid w:val="00E3682E"/>
    <w:rsid w:val="00E42994"/>
    <w:rsid w:val="00E43262"/>
    <w:rsid w:val="00E6244E"/>
    <w:rsid w:val="00E664BC"/>
    <w:rsid w:val="00E67D8F"/>
    <w:rsid w:val="00E80306"/>
    <w:rsid w:val="00E86682"/>
    <w:rsid w:val="00EA1E54"/>
    <w:rsid w:val="00EB0D94"/>
    <w:rsid w:val="00EC2F03"/>
    <w:rsid w:val="00EC6570"/>
    <w:rsid w:val="00ED0D72"/>
    <w:rsid w:val="00EE7F6C"/>
    <w:rsid w:val="00F01208"/>
    <w:rsid w:val="00F027BB"/>
    <w:rsid w:val="00F035C7"/>
    <w:rsid w:val="00F06A3C"/>
    <w:rsid w:val="00F14642"/>
    <w:rsid w:val="00F15327"/>
    <w:rsid w:val="00F15645"/>
    <w:rsid w:val="00F25879"/>
    <w:rsid w:val="00F27621"/>
    <w:rsid w:val="00F34A55"/>
    <w:rsid w:val="00F41D4C"/>
    <w:rsid w:val="00F457CF"/>
    <w:rsid w:val="00F46AA0"/>
    <w:rsid w:val="00F53913"/>
    <w:rsid w:val="00F547F9"/>
    <w:rsid w:val="00F56BC0"/>
    <w:rsid w:val="00F6168F"/>
    <w:rsid w:val="00F702F0"/>
    <w:rsid w:val="00F74603"/>
    <w:rsid w:val="00F83726"/>
    <w:rsid w:val="00FA5933"/>
    <w:rsid w:val="00FD2BCA"/>
    <w:rsid w:val="00FE5D62"/>
    <w:rsid w:val="00FE6AF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58AC2"/>
  <w15:docId w15:val="{22C87019-D124-4A85-81CA-738BCE08A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
    <w:basedOn w:val="DefaultParagraphFont"/>
    <w:semiHidden/>
    <w:unhideWhenUsed/>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FE6AF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105910-DE01-49BD-824F-9463DA7EE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15</Pages>
  <Words>4155</Words>
  <Characters>23686</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Стела</dc:creator>
  <cp:lastModifiedBy>Стела</cp:lastModifiedBy>
  <cp:revision>48</cp:revision>
  <cp:lastPrinted>2015-04-30T10:45:00Z</cp:lastPrinted>
  <dcterms:created xsi:type="dcterms:W3CDTF">2023-07-11T12:51:00Z</dcterms:created>
  <dcterms:modified xsi:type="dcterms:W3CDTF">2024-01-09T14:44:00Z</dcterms:modified>
</cp:coreProperties>
</file>