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77777777" w:rsidR="00FB67A6" w:rsidRPr="00BA7DA4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A7DA4">
        <w:rPr>
          <w:rFonts w:ascii="Times New Roman" w:hAnsi="Times New Roman" w:cs="Times New Roman"/>
          <w:b/>
          <w:i/>
          <w:sz w:val="24"/>
          <w:szCs w:val="24"/>
        </w:rPr>
        <w:t>Приложение 10.2</w:t>
      </w:r>
    </w:p>
    <w:p w14:paraId="25040CD6" w14:textId="77777777" w:rsidR="00FB67A6" w:rsidRDefault="00FB67A6" w:rsidP="00FB67A6"/>
    <w:p w14:paraId="276D359A" w14:textId="21087E91" w:rsidR="00FB67A6" w:rsidRPr="0040474C" w:rsidRDefault="00FB67A6" w:rsidP="00FB67A6">
      <w:pPr>
        <w:ind w:left="980" w:right="9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tab/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6F34B1" w:rsidRPr="0040474C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  <w:r w:rsidR="00F46FE7" w:rsidRPr="004047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индикатори</w:t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за </w:t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</w:rPr>
        <w:t>краен продукт</w:t>
      </w: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резултат, приложими към процедура</w:t>
      </w:r>
    </w:p>
    <w:p w14:paraId="23AE0FD7" w14:textId="037F5697" w:rsidR="00FB67A6" w:rsidRPr="0040474C" w:rsidRDefault="00442700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4047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BG16RFPR001-1.001</w:t>
      </w:r>
      <w:r w:rsidR="00FB67A6" w:rsidRPr="004047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"Развитие на иновациите в предприятията"</w:t>
      </w:r>
    </w:p>
    <w:p w14:paraId="67A27C1A" w14:textId="77777777" w:rsidR="00FB67A6" w:rsidRPr="0040474C" w:rsidRDefault="00FB67A6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A5FE196" w14:textId="66043FAF" w:rsidR="00BA7F11" w:rsidRPr="0040474C" w:rsidRDefault="00FB67A6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047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RSO1.1 </w:t>
      </w:r>
      <w:r w:rsidR="00BA7F11" w:rsidRPr="0040474C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4047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 и засилване на капацитета за научни изследвания и иновации и на внедряването на модерни технологиии</w:t>
      </w:r>
      <w:r w:rsidR="00BA7F11" w:rsidRPr="0040474C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Pr="004047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F7FD8D8" w14:textId="4A175239" w:rsidR="00FB67A6" w:rsidRPr="0040474C" w:rsidRDefault="00FB67A6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7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RSO2.6 </w:t>
      </w:r>
      <w:r w:rsidR="00BA7F11" w:rsidRPr="0040474C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4047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Насърчаване на прехода към кръгова и основаваща се на ефективно използване на ресурсите икономика</w:t>
      </w:r>
      <w:r w:rsidR="00BA7F11" w:rsidRPr="0040474C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Pr="004047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по програма „Конкурентоспособност и иновации в предприятията“ 2021-2027 г.</w:t>
      </w:r>
      <w:r w:rsidRPr="0040474C">
        <w:rPr>
          <w:rFonts w:ascii="Times New Roman" w:eastAsia="Times New Roman" w:hAnsi="Times New Roman" w:cs="Times New Roman"/>
          <w:bCs/>
          <w:sz w:val="24"/>
          <w:szCs w:val="24"/>
        </w:rPr>
        <w:t xml:space="preserve"> (ПКИП)</w:t>
      </w:r>
    </w:p>
    <w:p w14:paraId="46AEC9C9" w14:textId="5D52AB8D" w:rsidR="00FB67A6" w:rsidRPr="00671A23" w:rsidRDefault="00FB67A6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4332BC2" w14:textId="77777777" w:rsidR="003B0361" w:rsidRPr="00671A23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A23">
        <w:rPr>
          <w:rFonts w:ascii="Times New Roman" w:hAnsi="Times New Roman" w:cs="Times New Roman"/>
          <w:sz w:val="24"/>
          <w:szCs w:val="24"/>
        </w:rPr>
        <w:t xml:space="preserve">Бюджетът на настоящата процедура е осигурен по линия на два от приоритетите на ПКИП - Приоритет: 1. Иновации и растеж, Специфична цел: RSO1.1. „Развитие и засилване на капацитета за научни изследвания и иновации и на внедряването на модерни технологии“ и Приоритет: 2. Кръгова икономика, Специфична цел: RSO2.6. Насърчаване на прехода към кръгова и основаваща се на ефективно използване на ресурсите икономика. </w:t>
      </w:r>
    </w:p>
    <w:p w14:paraId="5B0700FE" w14:textId="2B0DAF0D" w:rsidR="00651EA7" w:rsidRPr="00671A23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A23">
        <w:rPr>
          <w:rFonts w:ascii="Times New Roman" w:hAnsi="Times New Roman" w:cs="Times New Roman"/>
          <w:sz w:val="24"/>
          <w:szCs w:val="24"/>
        </w:rPr>
        <w:t>Във връзка с посоченото</w:t>
      </w:r>
      <w:r w:rsidR="003B0361" w:rsidRPr="00671A23">
        <w:rPr>
          <w:rFonts w:ascii="Times New Roman" w:hAnsi="Times New Roman" w:cs="Times New Roman"/>
          <w:sz w:val="24"/>
          <w:szCs w:val="24"/>
        </w:rPr>
        <w:t xml:space="preserve">, </w:t>
      </w:r>
      <w:r w:rsidRPr="00671A23">
        <w:rPr>
          <w:rFonts w:ascii="Times New Roman" w:hAnsi="Times New Roman" w:cs="Times New Roman"/>
          <w:sz w:val="24"/>
          <w:szCs w:val="24"/>
        </w:rPr>
        <w:t xml:space="preserve">по процедурата </w:t>
      </w:r>
      <w:r w:rsidR="003B0361" w:rsidRPr="00671A23">
        <w:rPr>
          <w:rFonts w:ascii="Times New Roman" w:hAnsi="Times New Roman" w:cs="Times New Roman"/>
          <w:sz w:val="24"/>
          <w:szCs w:val="24"/>
        </w:rPr>
        <w:t xml:space="preserve">са приложими </w:t>
      </w:r>
      <w:r w:rsidRPr="00671A23">
        <w:rPr>
          <w:rFonts w:ascii="Times New Roman" w:hAnsi="Times New Roman" w:cs="Times New Roman"/>
          <w:sz w:val="24"/>
          <w:szCs w:val="24"/>
        </w:rPr>
        <w:t>индикаторите, съот</w:t>
      </w:r>
      <w:r w:rsidR="003B0361" w:rsidRPr="00671A23">
        <w:rPr>
          <w:rFonts w:ascii="Times New Roman" w:hAnsi="Times New Roman" w:cs="Times New Roman"/>
          <w:sz w:val="24"/>
          <w:szCs w:val="24"/>
        </w:rPr>
        <w:t>носими</w:t>
      </w:r>
      <w:r w:rsidRPr="00671A23">
        <w:rPr>
          <w:rFonts w:ascii="Times New Roman" w:hAnsi="Times New Roman" w:cs="Times New Roman"/>
          <w:sz w:val="24"/>
          <w:szCs w:val="24"/>
        </w:rPr>
        <w:t xml:space="preserve"> </w:t>
      </w:r>
      <w:r w:rsidR="005A0109" w:rsidRPr="00671A23">
        <w:rPr>
          <w:rFonts w:ascii="Times New Roman" w:hAnsi="Times New Roman" w:cs="Times New Roman"/>
          <w:sz w:val="24"/>
          <w:szCs w:val="24"/>
        </w:rPr>
        <w:t xml:space="preserve">и </w:t>
      </w:r>
      <w:r w:rsidR="003B0361" w:rsidRPr="00671A23">
        <w:rPr>
          <w:rFonts w:ascii="Times New Roman" w:hAnsi="Times New Roman" w:cs="Times New Roman"/>
          <w:sz w:val="24"/>
          <w:szCs w:val="24"/>
        </w:rPr>
        <w:t>с</w:t>
      </w:r>
      <w:r w:rsidRPr="00671A23">
        <w:rPr>
          <w:rFonts w:ascii="Times New Roman" w:hAnsi="Times New Roman" w:cs="Times New Roman"/>
          <w:sz w:val="24"/>
          <w:szCs w:val="24"/>
        </w:rPr>
        <w:t xml:space="preserve"> двете специфични цели</w:t>
      </w:r>
      <w:r w:rsidR="006F34B1" w:rsidRPr="00671A23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671A23">
        <w:rPr>
          <w:rFonts w:ascii="Times New Roman" w:hAnsi="Times New Roman" w:cs="Times New Roman"/>
          <w:sz w:val="24"/>
          <w:szCs w:val="24"/>
        </w:rPr>
        <w:t>съгласно</w:t>
      </w:r>
      <w:r w:rsidR="006F34B1" w:rsidRPr="00671A23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671A23">
        <w:rPr>
          <w:rFonts w:ascii="Times New Roman" w:hAnsi="Times New Roman" w:cs="Times New Roman"/>
          <w:sz w:val="24"/>
          <w:szCs w:val="24"/>
        </w:rPr>
        <w:t>П</w:t>
      </w:r>
      <w:r w:rsidR="006F34B1" w:rsidRPr="00671A23">
        <w:rPr>
          <w:rFonts w:ascii="Times New Roman" w:hAnsi="Times New Roman" w:cs="Times New Roman"/>
          <w:sz w:val="24"/>
          <w:szCs w:val="24"/>
        </w:rPr>
        <w:t>рограмата</w:t>
      </w:r>
      <w:r w:rsidRPr="00671A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A4463B" w14:textId="470152AD" w:rsidR="00F54304" w:rsidRPr="00671A23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A23">
        <w:rPr>
          <w:rFonts w:ascii="Times New Roman" w:hAnsi="Times New Roman" w:cs="Times New Roman"/>
          <w:sz w:val="24"/>
          <w:szCs w:val="24"/>
        </w:rPr>
        <w:t xml:space="preserve">Първите три индикатора </w:t>
      </w:r>
      <w:r w:rsidR="006E3049" w:rsidRPr="00671A23">
        <w:rPr>
          <w:rFonts w:ascii="Times New Roman" w:hAnsi="Times New Roman" w:cs="Times New Roman"/>
          <w:sz w:val="24"/>
          <w:szCs w:val="24"/>
        </w:rPr>
        <w:t>от таблиците по-долу (</w:t>
      </w:r>
      <w:r w:rsidR="006C1D84" w:rsidRPr="00671A23">
        <w:rPr>
          <w:rFonts w:ascii="Times New Roman" w:hAnsi="Times New Roman" w:cs="Times New Roman"/>
          <w:sz w:val="24"/>
          <w:szCs w:val="24"/>
        </w:rPr>
        <w:t>с кодове</w:t>
      </w:r>
      <w:r w:rsidR="006E3049" w:rsidRPr="00671A23">
        <w:rPr>
          <w:rFonts w:ascii="Times New Roman" w:hAnsi="Times New Roman" w:cs="Times New Roman"/>
          <w:sz w:val="24"/>
          <w:szCs w:val="24"/>
        </w:rPr>
        <w:t xml:space="preserve"> RCO01; RCO02 RCR02) </w:t>
      </w:r>
      <w:r w:rsidRPr="00671A23">
        <w:rPr>
          <w:rFonts w:ascii="Times New Roman" w:hAnsi="Times New Roman" w:cs="Times New Roman"/>
          <w:sz w:val="24"/>
          <w:szCs w:val="24"/>
        </w:rPr>
        <w:t xml:space="preserve">са </w:t>
      </w:r>
      <w:r w:rsidR="00A400C0" w:rsidRPr="00671A23">
        <w:rPr>
          <w:rFonts w:ascii="Times New Roman" w:hAnsi="Times New Roman" w:cs="Times New Roman"/>
          <w:sz w:val="24"/>
          <w:szCs w:val="24"/>
        </w:rPr>
        <w:t xml:space="preserve">заложени в </w:t>
      </w:r>
      <w:r w:rsidR="003B0361" w:rsidRPr="00671A23">
        <w:rPr>
          <w:rFonts w:ascii="Times New Roman" w:hAnsi="Times New Roman" w:cs="Times New Roman"/>
          <w:sz w:val="24"/>
          <w:szCs w:val="24"/>
        </w:rPr>
        <w:t xml:space="preserve">ПКИП </w:t>
      </w:r>
      <w:r w:rsidR="00A400C0" w:rsidRPr="00671A23">
        <w:rPr>
          <w:rFonts w:ascii="Times New Roman" w:hAnsi="Times New Roman" w:cs="Times New Roman"/>
          <w:sz w:val="24"/>
          <w:szCs w:val="24"/>
        </w:rPr>
        <w:t xml:space="preserve">като </w:t>
      </w:r>
      <w:r w:rsidR="005A0109" w:rsidRPr="00671A23">
        <w:rPr>
          <w:rFonts w:ascii="Times New Roman" w:hAnsi="Times New Roman" w:cs="Times New Roman"/>
          <w:sz w:val="24"/>
          <w:szCs w:val="24"/>
        </w:rPr>
        <w:t xml:space="preserve">приложими и за двете </w:t>
      </w:r>
      <w:r w:rsidR="00F54304" w:rsidRPr="00671A23">
        <w:rPr>
          <w:rFonts w:ascii="Times New Roman" w:hAnsi="Times New Roman" w:cs="Times New Roman"/>
          <w:sz w:val="24"/>
          <w:szCs w:val="24"/>
        </w:rPr>
        <w:t xml:space="preserve">специфични </w:t>
      </w:r>
      <w:r w:rsidR="005A0109" w:rsidRPr="00671A23">
        <w:rPr>
          <w:rFonts w:ascii="Times New Roman" w:hAnsi="Times New Roman" w:cs="Times New Roman"/>
          <w:sz w:val="24"/>
          <w:szCs w:val="24"/>
        </w:rPr>
        <w:t>цели</w:t>
      </w:r>
      <w:r w:rsidR="00F54304" w:rsidRPr="00671A23">
        <w:rPr>
          <w:rFonts w:ascii="Times New Roman" w:hAnsi="Times New Roman" w:cs="Times New Roman"/>
          <w:sz w:val="24"/>
          <w:szCs w:val="24"/>
        </w:rPr>
        <w:t xml:space="preserve"> (СЦ)</w:t>
      </w:r>
      <w:r w:rsidR="005A0109" w:rsidRPr="00671A23">
        <w:rPr>
          <w:rFonts w:ascii="Times New Roman" w:hAnsi="Times New Roman" w:cs="Times New Roman"/>
          <w:sz w:val="24"/>
          <w:szCs w:val="24"/>
        </w:rPr>
        <w:t xml:space="preserve">, докато </w:t>
      </w:r>
      <w:r w:rsidRPr="00671A23">
        <w:rPr>
          <w:rFonts w:ascii="Times New Roman" w:hAnsi="Times New Roman" w:cs="Times New Roman"/>
          <w:sz w:val="24"/>
          <w:szCs w:val="24"/>
        </w:rPr>
        <w:t>с</w:t>
      </w:r>
      <w:r w:rsidR="006E3049" w:rsidRPr="00671A23">
        <w:rPr>
          <w:rFonts w:ascii="Times New Roman" w:hAnsi="Times New Roman" w:cs="Times New Roman"/>
          <w:sz w:val="24"/>
          <w:szCs w:val="24"/>
        </w:rPr>
        <w:t>ледващите</w:t>
      </w:r>
      <w:r w:rsidRPr="00671A23">
        <w:rPr>
          <w:rFonts w:ascii="Times New Roman" w:hAnsi="Times New Roman" w:cs="Times New Roman"/>
          <w:sz w:val="24"/>
          <w:szCs w:val="24"/>
        </w:rPr>
        <w:t xml:space="preserve"> </w:t>
      </w:r>
      <w:r w:rsidR="006E3049" w:rsidRPr="00671A23">
        <w:rPr>
          <w:rFonts w:ascii="Times New Roman" w:hAnsi="Times New Roman" w:cs="Times New Roman"/>
          <w:sz w:val="24"/>
          <w:szCs w:val="24"/>
        </w:rPr>
        <w:t>три (</w:t>
      </w:r>
      <w:r w:rsidR="006C1D84" w:rsidRPr="00671A23">
        <w:rPr>
          <w:rFonts w:ascii="Times New Roman" w:hAnsi="Times New Roman" w:cs="Times New Roman"/>
          <w:sz w:val="24"/>
          <w:szCs w:val="24"/>
        </w:rPr>
        <w:t>с кодове</w:t>
      </w:r>
      <w:r w:rsidR="006E3049" w:rsidRPr="00671A23">
        <w:rPr>
          <w:rFonts w:ascii="Times New Roman" w:hAnsi="Times New Roman" w:cs="Times New Roman"/>
          <w:sz w:val="24"/>
          <w:szCs w:val="24"/>
        </w:rPr>
        <w:t xml:space="preserve"> RCR05; RCR06; RCR07</w:t>
      </w:r>
      <w:r w:rsidR="00A400C0" w:rsidRPr="00671A23">
        <w:rPr>
          <w:rFonts w:ascii="Times New Roman" w:hAnsi="Times New Roman" w:cs="Times New Roman"/>
          <w:sz w:val="24"/>
          <w:szCs w:val="24"/>
        </w:rPr>
        <w:t xml:space="preserve">) – само по първата </w:t>
      </w:r>
      <w:r w:rsidR="003B0361" w:rsidRPr="00671A23">
        <w:rPr>
          <w:rFonts w:ascii="Times New Roman" w:hAnsi="Times New Roman" w:cs="Times New Roman"/>
          <w:sz w:val="24"/>
          <w:szCs w:val="24"/>
        </w:rPr>
        <w:t xml:space="preserve">СЦ </w:t>
      </w:r>
      <w:r w:rsidR="00A400C0" w:rsidRPr="00671A23">
        <w:rPr>
          <w:rFonts w:ascii="Times New Roman" w:hAnsi="Times New Roman" w:cs="Times New Roman"/>
          <w:sz w:val="24"/>
          <w:szCs w:val="24"/>
        </w:rPr>
        <w:t xml:space="preserve">RSO1.1.  </w:t>
      </w:r>
    </w:p>
    <w:p w14:paraId="1A023BF4" w14:textId="72A1D539" w:rsidR="00651EA7" w:rsidRPr="00671A23" w:rsidRDefault="00A400C0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A23">
        <w:rPr>
          <w:rFonts w:ascii="Times New Roman" w:hAnsi="Times New Roman" w:cs="Times New Roman"/>
          <w:sz w:val="24"/>
          <w:szCs w:val="24"/>
        </w:rPr>
        <w:t>С оглед равно третиране на всички кандидати</w:t>
      </w:r>
      <w:r w:rsidR="00F54304" w:rsidRPr="00671A23">
        <w:rPr>
          <w:rFonts w:ascii="Times New Roman" w:hAnsi="Times New Roman" w:cs="Times New Roman"/>
          <w:sz w:val="24"/>
          <w:szCs w:val="24"/>
        </w:rPr>
        <w:t xml:space="preserve"> и заложените еднакви </w:t>
      </w:r>
      <w:r w:rsidR="003B0361" w:rsidRPr="00671A23">
        <w:rPr>
          <w:rFonts w:ascii="Times New Roman" w:hAnsi="Times New Roman" w:cs="Times New Roman"/>
          <w:sz w:val="24"/>
          <w:szCs w:val="24"/>
        </w:rPr>
        <w:t xml:space="preserve">за всички проекти допустими </w:t>
      </w:r>
      <w:r w:rsidR="00F54304" w:rsidRPr="00671A23">
        <w:rPr>
          <w:rFonts w:ascii="Times New Roman" w:hAnsi="Times New Roman" w:cs="Times New Roman"/>
          <w:sz w:val="24"/>
          <w:szCs w:val="24"/>
        </w:rPr>
        <w:t>дейности</w:t>
      </w:r>
      <w:r w:rsidRPr="00671A23">
        <w:rPr>
          <w:rFonts w:ascii="Times New Roman" w:hAnsi="Times New Roman" w:cs="Times New Roman"/>
          <w:sz w:val="24"/>
          <w:szCs w:val="24"/>
        </w:rPr>
        <w:t xml:space="preserve">, УО е взел решение да прилага втората група индикатори, като специфични </w:t>
      </w:r>
      <w:r w:rsidR="00F54304" w:rsidRPr="00671A23">
        <w:rPr>
          <w:rFonts w:ascii="Times New Roman" w:hAnsi="Times New Roman" w:cs="Times New Roman"/>
          <w:sz w:val="24"/>
          <w:szCs w:val="24"/>
        </w:rPr>
        <w:t xml:space="preserve">такива и </w:t>
      </w:r>
      <w:r w:rsidRPr="00671A23">
        <w:rPr>
          <w:rFonts w:ascii="Times New Roman" w:hAnsi="Times New Roman" w:cs="Times New Roman"/>
          <w:sz w:val="24"/>
          <w:szCs w:val="24"/>
        </w:rPr>
        <w:t xml:space="preserve">за втората </w:t>
      </w:r>
      <w:r w:rsidR="00F54304" w:rsidRPr="00671A23">
        <w:rPr>
          <w:rFonts w:ascii="Times New Roman" w:hAnsi="Times New Roman" w:cs="Times New Roman"/>
          <w:sz w:val="24"/>
          <w:szCs w:val="24"/>
        </w:rPr>
        <w:t xml:space="preserve">СЦ </w:t>
      </w:r>
      <w:r w:rsidRPr="00671A23">
        <w:rPr>
          <w:rFonts w:ascii="Times New Roman" w:hAnsi="Times New Roman" w:cs="Times New Roman"/>
          <w:sz w:val="24"/>
          <w:szCs w:val="24"/>
        </w:rPr>
        <w:t>- RSO2.6.</w:t>
      </w:r>
    </w:p>
    <w:p w14:paraId="6EEF2CFF" w14:textId="05094E1B" w:rsidR="00BA7F11" w:rsidRPr="00671A23" w:rsidRDefault="00BA7F11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A23">
        <w:rPr>
          <w:rFonts w:ascii="Times New Roman" w:hAnsi="Times New Roman" w:cs="Times New Roman"/>
          <w:sz w:val="24"/>
          <w:szCs w:val="24"/>
        </w:rPr>
        <w:t>В рамките на приложението е представено описание по отношение</w:t>
      </w:r>
      <w:r w:rsidR="00F34007" w:rsidRPr="00671A23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671A23">
        <w:rPr>
          <w:rFonts w:ascii="Times New Roman" w:hAnsi="Times New Roman" w:cs="Times New Roman"/>
          <w:sz w:val="24"/>
          <w:szCs w:val="24"/>
        </w:rPr>
        <w:t xml:space="preserve">и </w:t>
      </w:r>
      <w:r w:rsidR="00F34007" w:rsidRPr="00671A23">
        <w:rPr>
          <w:rFonts w:ascii="Times New Roman" w:hAnsi="Times New Roman" w:cs="Times New Roman"/>
          <w:sz w:val="24"/>
          <w:szCs w:val="24"/>
        </w:rPr>
        <w:t>на двете групи индикатори.</w:t>
      </w:r>
    </w:p>
    <w:p w14:paraId="1D550AAF" w14:textId="77777777" w:rsidR="00F54304" w:rsidRDefault="00F54304" w:rsidP="006F34B1">
      <w:pPr>
        <w:tabs>
          <w:tab w:val="left" w:pos="3600"/>
        </w:tabs>
        <w:jc w:val="both"/>
      </w:pPr>
    </w:p>
    <w:p w14:paraId="45CE4C71" w14:textId="7730EEA0" w:rsidR="00F34007" w:rsidRPr="00671A23" w:rsidRDefault="00F54304" w:rsidP="006F34B1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A23">
        <w:rPr>
          <w:rFonts w:ascii="Times New Roman" w:hAnsi="Times New Roman" w:cs="Times New Roman"/>
          <w:b/>
          <w:sz w:val="24"/>
          <w:szCs w:val="24"/>
        </w:rPr>
        <w:t>ИНДИКАТОРИ ОТ ПКИП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FB67A6" w:rsidRPr="00FB67A6" w14:paraId="04E011A8" w14:textId="77777777" w:rsidTr="00FB67A6">
        <w:trPr>
          <w:trHeight w:val="556"/>
        </w:trPr>
        <w:tc>
          <w:tcPr>
            <w:tcW w:w="1128" w:type="dxa"/>
            <w:shd w:val="clear" w:color="auto" w:fill="C5D9F0"/>
          </w:tcPr>
          <w:p w14:paraId="3A7FEC67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589CF0B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17CBEA16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FB67A6" w:rsidRPr="00FB67A6" w14:paraId="7E82815E" w14:textId="77777777" w:rsidTr="00FB67A6">
        <w:trPr>
          <w:trHeight w:val="316"/>
        </w:trPr>
        <w:tc>
          <w:tcPr>
            <w:tcW w:w="1128" w:type="dxa"/>
          </w:tcPr>
          <w:p w14:paraId="23120E55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06BCA47B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0DFEAEBF" w14:textId="3E4354F4" w:rsidR="00FB67A6" w:rsidRPr="00FB67A6" w:rsidRDefault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Европейския фонд за регионално развитие (ЕФРР)</w:t>
            </w:r>
          </w:p>
        </w:tc>
      </w:tr>
      <w:tr w:rsidR="00FB67A6" w:rsidRPr="00FB67A6" w14:paraId="75D288E0" w14:textId="77777777" w:rsidTr="00FB67A6">
        <w:trPr>
          <w:trHeight w:val="314"/>
        </w:trPr>
        <w:tc>
          <w:tcPr>
            <w:tcW w:w="1128" w:type="dxa"/>
          </w:tcPr>
          <w:p w14:paraId="6FA9E4E3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63BECE7A" w14:textId="0A236732" w:rsidR="00FB67A6" w:rsidRPr="00FB67A6" w:rsidRDefault="006C1D84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2A03FB75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RCO01</w:t>
            </w:r>
          </w:p>
        </w:tc>
      </w:tr>
      <w:tr w:rsidR="00FB67A6" w:rsidRPr="00FB67A6" w14:paraId="21FEB8BD" w14:textId="77777777" w:rsidTr="00FB67A6">
        <w:trPr>
          <w:trHeight w:val="316"/>
        </w:trPr>
        <w:tc>
          <w:tcPr>
            <w:tcW w:w="1128" w:type="dxa"/>
          </w:tcPr>
          <w:p w14:paraId="28D9DD42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4909E566" w14:textId="381EF201" w:rsidR="00FB67A6" w:rsidRPr="00FB67A6" w:rsidRDefault="004A48F9" w:rsidP="00FB67A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="00FB67A6"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1BB24B48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Подпомaгани предприятия</w:t>
            </w:r>
            <w:r w:rsidRPr="00FB67A6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(в т.ч.: микро-, малки, средни, големи предприятия);</w:t>
            </w:r>
          </w:p>
        </w:tc>
      </w:tr>
      <w:tr w:rsidR="00FB67A6" w:rsidRPr="00FB67A6" w14:paraId="7DDB68D1" w14:textId="77777777" w:rsidTr="00FB67A6">
        <w:trPr>
          <w:trHeight w:val="313"/>
        </w:trPr>
        <w:tc>
          <w:tcPr>
            <w:tcW w:w="1128" w:type="dxa"/>
          </w:tcPr>
          <w:p w14:paraId="0C0DF7D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lastRenderedPageBreak/>
              <w:t>3</w:t>
            </w:r>
          </w:p>
        </w:tc>
        <w:tc>
          <w:tcPr>
            <w:tcW w:w="1935" w:type="dxa"/>
          </w:tcPr>
          <w:p w14:paraId="0EEA0C0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43DC84B2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предприятия</w:t>
            </w:r>
          </w:p>
        </w:tc>
      </w:tr>
      <w:tr w:rsidR="00FB67A6" w:rsidRPr="00FB67A6" w14:paraId="17B381DD" w14:textId="77777777" w:rsidTr="00FB67A6">
        <w:trPr>
          <w:trHeight w:val="314"/>
        </w:trPr>
        <w:tc>
          <w:tcPr>
            <w:tcW w:w="1128" w:type="dxa"/>
          </w:tcPr>
          <w:p w14:paraId="6551170E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72EE5B1C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3D2A3802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за краен продукт</w:t>
            </w:r>
          </w:p>
        </w:tc>
      </w:tr>
      <w:tr w:rsidR="00FB67A6" w:rsidRPr="00FB67A6" w14:paraId="080FFE51" w14:textId="77777777" w:rsidTr="00FB67A6">
        <w:trPr>
          <w:trHeight w:val="314"/>
        </w:trPr>
        <w:tc>
          <w:tcPr>
            <w:tcW w:w="1128" w:type="dxa"/>
          </w:tcPr>
          <w:p w14:paraId="5C89CCA8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2D7D2CE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3630C55B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F34007" w:rsidRPr="00FB67A6" w14:paraId="7D58EED4" w14:textId="77777777" w:rsidTr="00FB67A6">
        <w:trPr>
          <w:trHeight w:val="314"/>
        </w:trPr>
        <w:tc>
          <w:tcPr>
            <w:tcW w:w="1128" w:type="dxa"/>
          </w:tcPr>
          <w:p w14:paraId="3D45854E" w14:textId="5A9D555F" w:rsidR="00F34007" w:rsidRPr="006F34B1" w:rsidRDefault="00F34007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2F17D961" w14:textId="79CBA2F8" w:rsidR="00F34007" w:rsidRPr="006F34B1" w:rsidRDefault="00374759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40FB2220" w14:textId="359A1A14" w:rsidR="00F34007" w:rsidRPr="006F34B1" w:rsidRDefault="00374759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F34007" w:rsidRPr="00FB67A6" w14:paraId="73A5AAA5" w14:textId="77777777" w:rsidTr="00FB67A6">
        <w:trPr>
          <w:trHeight w:val="314"/>
        </w:trPr>
        <w:tc>
          <w:tcPr>
            <w:tcW w:w="1128" w:type="dxa"/>
          </w:tcPr>
          <w:p w14:paraId="4A1754DA" w14:textId="60E11685" w:rsidR="00F34007" w:rsidRPr="006F34B1" w:rsidRDefault="00F34007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35" w:type="dxa"/>
          </w:tcPr>
          <w:p w14:paraId="7C1EF985" w14:textId="290D9728" w:rsidR="00F34007" w:rsidRPr="006F34B1" w:rsidRDefault="00374759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4B576AB6" w14:textId="1180BCE5" w:rsidR="00F34007" w:rsidRPr="006F34B1" w:rsidRDefault="00F5430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</w:t>
            </w:r>
            <w:r w:rsidR="00374759">
              <w:rPr>
                <w:rFonts w:ascii="Times New Roman" w:eastAsia="Times New Roman" w:hAnsi="Times New Roman" w:cs="Times New Roman"/>
                <w:w w:val="99"/>
                <w:sz w:val="20"/>
              </w:rPr>
              <w:t>лед одобрението на финалния отчет</w:t>
            </w:r>
          </w:p>
        </w:tc>
      </w:tr>
      <w:tr w:rsidR="00FB67A6" w:rsidRPr="00FB67A6" w14:paraId="43CECB45" w14:textId="77777777" w:rsidTr="00FB67A6">
        <w:trPr>
          <w:trHeight w:val="313"/>
        </w:trPr>
        <w:tc>
          <w:tcPr>
            <w:tcW w:w="1128" w:type="dxa"/>
          </w:tcPr>
          <w:p w14:paraId="689C1D20" w14:textId="0B3A971A" w:rsidR="00FB67A6" w:rsidRPr="00FB67A6" w:rsidRDefault="00F34007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8</w:t>
            </w:r>
          </w:p>
        </w:tc>
        <w:tc>
          <w:tcPr>
            <w:tcW w:w="1935" w:type="dxa"/>
          </w:tcPr>
          <w:p w14:paraId="48163B34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17EA06EB" w14:textId="3F7F28CE" w:rsidR="00FB67A6" w:rsidRPr="00FB67A6" w:rsidRDefault="00FB67A6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RSO1.1 Развитие и засилване на капацитета за научни изследвания и иновации и на внедряването на модерни технологиии</w:t>
            </w:r>
            <w:r w:rsidR="0052403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081834B9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23AB5E66" w14:textId="0C4D4865" w:rsidR="00FB67A6" w:rsidRPr="00FB67A6" w:rsidRDefault="00FB67A6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RSO2.6 Насърчаване на прехода към кръгова и основаваща се на ефективно използване на ресурсите икономика</w:t>
            </w:r>
            <w:r w:rsidR="0052403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00512395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            </w:t>
            </w:r>
          </w:p>
        </w:tc>
      </w:tr>
      <w:tr w:rsidR="00FB67A6" w:rsidRPr="00FB67A6" w14:paraId="64C1CF34" w14:textId="77777777" w:rsidTr="00FB67A6">
        <w:trPr>
          <w:trHeight w:val="1544"/>
        </w:trPr>
        <w:tc>
          <w:tcPr>
            <w:tcW w:w="1128" w:type="dxa"/>
          </w:tcPr>
          <w:p w14:paraId="6F58DC20" w14:textId="61C36652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3400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35" w:type="dxa"/>
          </w:tcPr>
          <w:p w14:paraId="3F01997B" w14:textId="234B0C90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 w:rsidR="00671F45"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3B69E637" w14:textId="4FE10B4F" w:rsidR="00FB67A6" w:rsidRPr="00FB67A6" w:rsidRDefault="00FB67A6" w:rsidP="00122A4A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Индикаторът включва всички предприятия, които </w:t>
            </w:r>
            <w:r w:rsidR="00414F9D">
              <w:rPr>
                <w:rFonts w:ascii="Times New Roman" w:eastAsia="Times New Roman" w:hAnsi="Times New Roman" w:cs="Times New Roman"/>
                <w:sz w:val="20"/>
              </w:rPr>
              <w:t xml:space="preserve">подават проектни предложения по настоящата процедира. </w:t>
            </w:r>
          </w:p>
          <w:p w14:paraId="68B1A059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1BD8BC70" w14:textId="2CC55D41" w:rsidR="00FB67A6" w:rsidRPr="00FB67A6" w:rsidRDefault="00FB67A6" w:rsidP="00FB67A6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14:paraId="7A36F8C5" w14:textId="77777777" w:rsidR="00FB67A6" w:rsidRDefault="00FB67A6" w:rsidP="00FB67A6">
      <w:pPr>
        <w:tabs>
          <w:tab w:val="left" w:pos="3600"/>
        </w:tabs>
      </w:pPr>
    </w:p>
    <w:tbl>
      <w:tblPr>
        <w:tblpPr w:leftFromText="141" w:rightFromText="141" w:vertAnchor="text" w:horzAnchor="margin" w:tblpY="1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1985"/>
        <w:gridCol w:w="6935"/>
      </w:tblGrid>
      <w:tr w:rsidR="00FB67A6" w:rsidRPr="00FB67A6" w14:paraId="2E2016FC" w14:textId="77777777" w:rsidTr="00FB67A6">
        <w:trPr>
          <w:trHeight w:val="695"/>
        </w:trPr>
        <w:tc>
          <w:tcPr>
            <w:tcW w:w="998" w:type="dxa"/>
            <w:shd w:val="clear" w:color="auto" w:fill="C5D9F0"/>
          </w:tcPr>
          <w:p w14:paraId="29F29993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8" w:lineRule="exact"/>
              <w:ind w:left="239" w:right="129" w:hanging="8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85" w:type="dxa"/>
            <w:shd w:val="clear" w:color="auto" w:fill="C5D9F0"/>
          </w:tcPr>
          <w:p w14:paraId="5AFA678E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935" w:type="dxa"/>
            <w:shd w:val="clear" w:color="auto" w:fill="C5D9F0"/>
          </w:tcPr>
          <w:p w14:paraId="5363938B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FB67A6" w:rsidRPr="00FB67A6" w14:paraId="28ADD607" w14:textId="77777777" w:rsidTr="00FB67A6">
        <w:trPr>
          <w:trHeight w:val="313"/>
        </w:trPr>
        <w:tc>
          <w:tcPr>
            <w:tcW w:w="998" w:type="dxa"/>
          </w:tcPr>
          <w:p w14:paraId="201E9312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85" w:type="dxa"/>
          </w:tcPr>
          <w:p w14:paraId="4FFCE4FE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Фонд</w:t>
            </w:r>
          </w:p>
        </w:tc>
        <w:tc>
          <w:tcPr>
            <w:tcW w:w="6935" w:type="dxa"/>
          </w:tcPr>
          <w:p w14:paraId="33E9BABE" w14:textId="2A9760D4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FB67A6" w:rsidRPr="00FB67A6" w14:paraId="6F1A7F36" w14:textId="77777777" w:rsidTr="00FB67A6">
        <w:trPr>
          <w:trHeight w:val="316"/>
        </w:trPr>
        <w:tc>
          <w:tcPr>
            <w:tcW w:w="998" w:type="dxa"/>
          </w:tcPr>
          <w:p w14:paraId="2FF89D91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6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85" w:type="dxa"/>
          </w:tcPr>
          <w:p w14:paraId="6FC1810A" w14:textId="20393DE2" w:rsidR="00FB67A6" w:rsidRPr="00FB67A6" w:rsidRDefault="006C1D84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Код на Индикатора</w:t>
            </w:r>
          </w:p>
        </w:tc>
        <w:tc>
          <w:tcPr>
            <w:tcW w:w="6935" w:type="dxa"/>
          </w:tcPr>
          <w:p w14:paraId="6D8053C4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RCO02</w:t>
            </w:r>
          </w:p>
        </w:tc>
      </w:tr>
      <w:tr w:rsidR="00FB67A6" w:rsidRPr="00FB67A6" w14:paraId="3751D846" w14:textId="77777777" w:rsidTr="00FB67A6">
        <w:trPr>
          <w:trHeight w:val="314"/>
        </w:trPr>
        <w:tc>
          <w:tcPr>
            <w:tcW w:w="998" w:type="dxa"/>
          </w:tcPr>
          <w:p w14:paraId="668F21F1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85" w:type="dxa"/>
          </w:tcPr>
          <w:p w14:paraId="1C1606F9" w14:textId="0C6A732B" w:rsidR="00FB67A6" w:rsidRPr="00FB67A6" w:rsidRDefault="00671F45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="00FB67A6"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на индикатора</w:t>
            </w:r>
          </w:p>
        </w:tc>
        <w:tc>
          <w:tcPr>
            <w:tcW w:w="6935" w:type="dxa"/>
          </w:tcPr>
          <w:p w14:paraId="141651EE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Подпомагани предприятия чрез безвъзмездни средства</w:t>
            </w:r>
          </w:p>
        </w:tc>
      </w:tr>
      <w:tr w:rsidR="00FB67A6" w:rsidRPr="00FB67A6" w14:paraId="56FF5C1D" w14:textId="77777777" w:rsidTr="00FB67A6">
        <w:trPr>
          <w:trHeight w:val="446"/>
        </w:trPr>
        <w:tc>
          <w:tcPr>
            <w:tcW w:w="998" w:type="dxa"/>
          </w:tcPr>
          <w:p w14:paraId="5B5D5A47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85" w:type="dxa"/>
          </w:tcPr>
          <w:p w14:paraId="275D48F6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Мерна единица</w:t>
            </w:r>
          </w:p>
        </w:tc>
        <w:tc>
          <w:tcPr>
            <w:tcW w:w="6935" w:type="dxa"/>
          </w:tcPr>
          <w:p w14:paraId="40C4BFD0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предприятия</w:t>
            </w:r>
          </w:p>
        </w:tc>
      </w:tr>
      <w:tr w:rsidR="00FB67A6" w:rsidRPr="00FB67A6" w14:paraId="13300347" w14:textId="77777777" w:rsidTr="00FB67A6">
        <w:trPr>
          <w:trHeight w:val="552"/>
        </w:trPr>
        <w:tc>
          <w:tcPr>
            <w:tcW w:w="998" w:type="dxa"/>
          </w:tcPr>
          <w:p w14:paraId="1D7D9E4D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85" w:type="dxa"/>
          </w:tcPr>
          <w:p w14:paraId="772EBAAC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Вид на индикатора</w:t>
            </w:r>
          </w:p>
        </w:tc>
        <w:tc>
          <w:tcPr>
            <w:tcW w:w="6935" w:type="dxa"/>
          </w:tcPr>
          <w:p w14:paraId="56BC5C5B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за краен продукт</w:t>
            </w:r>
          </w:p>
        </w:tc>
      </w:tr>
      <w:tr w:rsidR="00FB67A6" w:rsidRPr="00FB67A6" w14:paraId="4E0E1E5B" w14:textId="77777777" w:rsidTr="00FB67A6">
        <w:trPr>
          <w:trHeight w:val="420"/>
        </w:trPr>
        <w:tc>
          <w:tcPr>
            <w:tcW w:w="998" w:type="dxa"/>
          </w:tcPr>
          <w:p w14:paraId="33FA63B4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85" w:type="dxa"/>
          </w:tcPr>
          <w:p w14:paraId="27CFD0F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935" w:type="dxa"/>
          </w:tcPr>
          <w:p w14:paraId="6A90BF77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374759" w:rsidRPr="00FB67A6" w14:paraId="02C1B309" w14:textId="77777777" w:rsidTr="00FB67A6">
        <w:trPr>
          <w:trHeight w:val="420"/>
        </w:trPr>
        <w:tc>
          <w:tcPr>
            <w:tcW w:w="998" w:type="dxa"/>
          </w:tcPr>
          <w:p w14:paraId="2AF0201E" w14:textId="427F105C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85" w:type="dxa"/>
          </w:tcPr>
          <w:p w14:paraId="590CF032" w14:textId="1437F071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935" w:type="dxa"/>
          </w:tcPr>
          <w:p w14:paraId="6067A214" w14:textId="73E748B4" w:rsidR="00374759" w:rsidRPr="00FB67A6" w:rsidRDefault="00374759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374759" w:rsidRPr="00FB67A6" w14:paraId="4BFAE63D" w14:textId="77777777" w:rsidTr="00FB67A6">
        <w:trPr>
          <w:trHeight w:val="420"/>
        </w:trPr>
        <w:tc>
          <w:tcPr>
            <w:tcW w:w="998" w:type="dxa"/>
          </w:tcPr>
          <w:p w14:paraId="57AAFBEF" w14:textId="60D59F78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85" w:type="dxa"/>
          </w:tcPr>
          <w:p w14:paraId="558FD4F1" w14:textId="7E539FFF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935" w:type="dxa"/>
          </w:tcPr>
          <w:p w14:paraId="09E90895" w14:textId="60547AAC" w:rsidR="00374759" w:rsidRPr="00FB67A6" w:rsidRDefault="001373C5" w:rsidP="006F34B1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</w:t>
            </w:r>
            <w:r w:rsidR="00374759">
              <w:rPr>
                <w:rFonts w:ascii="Times New Roman" w:eastAsia="Times New Roman" w:hAnsi="Times New Roman" w:cs="Times New Roman"/>
                <w:w w:val="99"/>
                <w:sz w:val="20"/>
              </w:rPr>
              <w:t>лед одобрението на финалния отчет</w:t>
            </w:r>
          </w:p>
        </w:tc>
      </w:tr>
      <w:tr w:rsidR="00FB67A6" w:rsidRPr="00FB67A6" w14:paraId="19B5FE46" w14:textId="77777777" w:rsidTr="00FB67A6">
        <w:trPr>
          <w:trHeight w:val="547"/>
        </w:trPr>
        <w:tc>
          <w:tcPr>
            <w:tcW w:w="998" w:type="dxa"/>
          </w:tcPr>
          <w:p w14:paraId="0EAF7901" w14:textId="12DB5850" w:rsidR="00FB67A6" w:rsidRPr="00FB67A6" w:rsidRDefault="00122A4A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14:paraId="7CC1DD12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935" w:type="dxa"/>
          </w:tcPr>
          <w:p w14:paraId="344B0735" w14:textId="0BDF1134" w:rsidR="00FB67A6" w:rsidRPr="00FB67A6" w:rsidRDefault="00FB67A6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RSO1.1 Развитие и засилване на капацитета за научни изследвания и иновации и на внедряването на модерни технологиии</w:t>
            </w:r>
            <w:r w:rsidR="0052403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3D6045E9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3166C454" w14:textId="07A3A873" w:rsidR="00FB67A6" w:rsidRPr="00FB67A6" w:rsidRDefault="00FB67A6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RSO2.6 Насърчаване на прехода към кръгова и основаваща се на ефективно използване на ресурсите икономика</w:t>
            </w:r>
            <w:r w:rsidR="0052403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4E868555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            </w:t>
            </w:r>
          </w:p>
        </w:tc>
      </w:tr>
      <w:tr w:rsidR="00FB67A6" w:rsidRPr="00FB67A6" w14:paraId="29BC01E0" w14:textId="77777777" w:rsidTr="00FB67A6">
        <w:trPr>
          <w:trHeight w:val="1136"/>
        </w:trPr>
        <w:tc>
          <w:tcPr>
            <w:tcW w:w="998" w:type="dxa"/>
          </w:tcPr>
          <w:p w14:paraId="75E88896" w14:textId="03D7B49B" w:rsidR="00FB67A6" w:rsidRPr="00FB67A6" w:rsidRDefault="00FB67A6" w:rsidP="00FB67A6">
            <w:pPr>
              <w:widowControl w:val="0"/>
              <w:autoSpaceDE w:val="0"/>
              <w:autoSpaceDN w:val="0"/>
              <w:spacing w:after="0" w:line="226" w:lineRule="exact"/>
              <w:ind w:left="251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22A4A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14:paraId="74CCD56E" w14:textId="6E964EE1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 w:rsidR="00671F45"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и понятия </w:t>
            </w:r>
          </w:p>
        </w:tc>
        <w:tc>
          <w:tcPr>
            <w:tcW w:w="6935" w:type="dxa"/>
          </w:tcPr>
          <w:p w14:paraId="7124CF60" w14:textId="77777777" w:rsidR="00FB67A6" w:rsidRPr="00FB67A6" w:rsidRDefault="00FB67A6" w:rsidP="00122A4A">
            <w:pPr>
              <w:widowControl w:val="0"/>
              <w:autoSpaceDE w:val="0"/>
              <w:autoSpaceDN w:val="0"/>
              <w:spacing w:after="0" w:line="237" w:lineRule="auto"/>
              <w:ind w:right="285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Брой предприятия, получаващи парична подкрепа под формата на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без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възмездни средства. </w:t>
            </w:r>
          </w:p>
          <w:p w14:paraId="2C347DCD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37" w:lineRule="auto"/>
              <w:ind w:left="107" w:right="285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74CAF8E9" w14:textId="3DA3B682" w:rsidR="00FB67A6" w:rsidRPr="00FB67A6" w:rsidRDefault="00FB67A6" w:rsidP="00FB67A6">
            <w:pPr>
              <w:widowControl w:val="0"/>
              <w:autoSpaceDE w:val="0"/>
              <w:autoSpaceDN w:val="0"/>
              <w:spacing w:after="0" w:line="237" w:lineRule="auto"/>
              <w:ind w:left="107" w:right="285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14:paraId="2BE65D6B" w14:textId="77777777" w:rsidR="00FB67A6" w:rsidRDefault="00FB67A6" w:rsidP="00FB67A6">
      <w:pPr>
        <w:tabs>
          <w:tab w:val="left" w:pos="3600"/>
        </w:tabs>
      </w:pPr>
    </w:p>
    <w:tbl>
      <w:tblPr>
        <w:tblpPr w:leftFromText="141" w:rightFromText="141" w:vertAnchor="text" w:horzAnchor="margin" w:tblpY="-40"/>
        <w:tblW w:w="10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985"/>
        <w:gridCol w:w="7099"/>
      </w:tblGrid>
      <w:tr w:rsidR="00FB67A6" w:rsidRPr="00FB67A6" w14:paraId="38FB633E" w14:textId="77777777" w:rsidTr="00FB67A6">
        <w:trPr>
          <w:trHeight w:val="460"/>
        </w:trPr>
        <w:tc>
          <w:tcPr>
            <w:tcW w:w="993" w:type="dxa"/>
            <w:shd w:val="clear" w:color="auto" w:fill="C5D9F0"/>
          </w:tcPr>
          <w:p w14:paraId="3F9A92FC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8" w:lineRule="exact"/>
              <w:ind w:left="239" w:right="129" w:hanging="8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Номер   на реда</w:t>
            </w:r>
          </w:p>
        </w:tc>
        <w:tc>
          <w:tcPr>
            <w:tcW w:w="1985" w:type="dxa"/>
            <w:shd w:val="clear" w:color="auto" w:fill="C5D9F0"/>
          </w:tcPr>
          <w:p w14:paraId="2805A178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7099" w:type="dxa"/>
            <w:shd w:val="clear" w:color="auto" w:fill="C5D9F0"/>
          </w:tcPr>
          <w:p w14:paraId="7B103CD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FB67A6" w:rsidRPr="00FB67A6" w14:paraId="12012532" w14:textId="77777777" w:rsidTr="00FB67A6">
        <w:trPr>
          <w:trHeight w:val="313"/>
        </w:trPr>
        <w:tc>
          <w:tcPr>
            <w:tcW w:w="993" w:type="dxa"/>
          </w:tcPr>
          <w:p w14:paraId="1F1B18AB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85" w:type="dxa"/>
          </w:tcPr>
          <w:p w14:paraId="6D8E151C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Фонд</w:t>
            </w:r>
          </w:p>
        </w:tc>
        <w:tc>
          <w:tcPr>
            <w:tcW w:w="7099" w:type="dxa"/>
          </w:tcPr>
          <w:p w14:paraId="7ECCCDD3" w14:textId="09FA1088" w:rsidR="00FB67A6" w:rsidRPr="00FB67A6" w:rsidRDefault="00414F9D" w:rsidP="00435C7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FB67A6" w:rsidRPr="00FB67A6" w14:paraId="53D3F560" w14:textId="77777777" w:rsidTr="00FB67A6">
        <w:trPr>
          <w:trHeight w:val="316"/>
        </w:trPr>
        <w:tc>
          <w:tcPr>
            <w:tcW w:w="993" w:type="dxa"/>
          </w:tcPr>
          <w:p w14:paraId="50FCA749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6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85" w:type="dxa"/>
          </w:tcPr>
          <w:p w14:paraId="07AA773C" w14:textId="4F07BA0D" w:rsidR="00FB67A6" w:rsidRPr="00FB67A6" w:rsidRDefault="006C1D84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Код на Индикатора</w:t>
            </w:r>
          </w:p>
        </w:tc>
        <w:tc>
          <w:tcPr>
            <w:tcW w:w="7099" w:type="dxa"/>
          </w:tcPr>
          <w:p w14:paraId="31ACF8DD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RCR02</w:t>
            </w:r>
          </w:p>
        </w:tc>
      </w:tr>
      <w:tr w:rsidR="00FB67A6" w:rsidRPr="00FB67A6" w14:paraId="38A60218" w14:textId="77777777" w:rsidTr="00FB67A6">
        <w:trPr>
          <w:trHeight w:val="457"/>
        </w:trPr>
        <w:tc>
          <w:tcPr>
            <w:tcW w:w="993" w:type="dxa"/>
          </w:tcPr>
          <w:p w14:paraId="05793B78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85" w:type="dxa"/>
          </w:tcPr>
          <w:p w14:paraId="16EB2B09" w14:textId="5958D991" w:rsidR="00FB67A6" w:rsidRPr="00FB67A6" w:rsidRDefault="00671F45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="00FB67A6"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на индикатора</w:t>
            </w:r>
          </w:p>
        </w:tc>
        <w:tc>
          <w:tcPr>
            <w:tcW w:w="7099" w:type="dxa"/>
          </w:tcPr>
          <w:p w14:paraId="56DEB3D6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28" w:lineRule="exact"/>
              <w:ind w:right="780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FB67A6" w:rsidRPr="00FB67A6" w14:paraId="2700DC49" w14:textId="77777777" w:rsidTr="00FB67A6">
        <w:trPr>
          <w:trHeight w:val="316"/>
        </w:trPr>
        <w:tc>
          <w:tcPr>
            <w:tcW w:w="993" w:type="dxa"/>
          </w:tcPr>
          <w:p w14:paraId="6E190E94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85" w:type="dxa"/>
          </w:tcPr>
          <w:p w14:paraId="525128C5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Мерна единица</w:t>
            </w:r>
          </w:p>
        </w:tc>
        <w:tc>
          <w:tcPr>
            <w:tcW w:w="7099" w:type="dxa"/>
          </w:tcPr>
          <w:p w14:paraId="0E95E1B7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евро</w:t>
            </w:r>
          </w:p>
        </w:tc>
      </w:tr>
      <w:tr w:rsidR="00FB67A6" w:rsidRPr="00FB67A6" w14:paraId="2667B366" w14:textId="77777777" w:rsidTr="00FB67A6">
        <w:trPr>
          <w:trHeight w:val="314"/>
        </w:trPr>
        <w:tc>
          <w:tcPr>
            <w:tcW w:w="993" w:type="dxa"/>
          </w:tcPr>
          <w:p w14:paraId="670F95D6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85" w:type="dxa"/>
          </w:tcPr>
          <w:p w14:paraId="5BF43138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Вид на индикатора</w:t>
            </w:r>
          </w:p>
        </w:tc>
        <w:tc>
          <w:tcPr>
            <w:tcW w:w="7099" w:type="dxa"/>
          </w:tcPr>
          <w:p w14:paraId="42112290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за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резултат</w:t>
            </w:r>
          </w:p>
        </w:tc>
      </w:tr>
      <w:tr w:rsidR="00FB67A6" w:rsidRPr="00FB67A6" w14:paraId="50ED5E53" w14:textId="77777777" w:rsidTr="00FB67A6">
        <w:trPr>
          <w:trHeight w:val="313"/>
        </w:trPr>
        <w:tc>
          <w:tcPr>
            <w:tcW w:w="993" w:type="dxa"/>
          </w:tcPr>
          <w:p w14:paraId="735A15A9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85" w:type="dxa"/>
          </w:tcPr>
          <w:p w14:paraId="61FDEAC8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7099" w:type="dxa"/>
          </w:tcPr>
          <w:p w14:paraId="6524D432" w14:textId="77777777" w:rsidR="00FB67A6" w:rsidRPr="00FB67A6" w:rsidRDefault="00FB67A6" w:rsidP="00435C7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374759" w:rsidRPr="00FB67A6" w14:paraId="66CEA95A" w14:textId="77777777" w:rsidTr="00FB67A6">
        <w:trPr>
          <w:trHeight w:val="313"/>
        </w:trPr>
        <w:tc>
          <w:tcPr>
            <w:tcW w:w="993" w:type="dxa"/>
          </w:tcPr>
          <w:p w14:paraId="53FE76D1" w14:textId="5737EFC3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85" w:type="dxa"/>
          </w:tcPr>
          <w:p w14:paraId="642122B7" w14:textId="410FEBB4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7099" w:type="dxa"/>
          </w:tcPr>
          <w:p w14:paraId="663DAACF" w14:textId="50D5080E" w:rsidR="00374759" w:rsidRPr="00FB67A6" w:rsidRDefault="00CC66FF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Подпомогнати проекти</w:t>
            </w:r>
            <w:r w:rsidR="00374759">
              <w:rPr>
                <w:rFonts w:ascii="Times New Roman" w:eastAsia="Times New Roman" w:hAnsi="Times New Roman" w:cs="Times New Roman"/>
                <w:w w:val="99"/>
                <w:sz w:val="20"/>
              </w:rPr>
              <w:t>/</w:t>
            </w:r>
            <w:r w:rsidR="004915C5">
              <w:rPr>
                <w:rFonts w:ascii="Times New Roman" w:eastAsia="Times New Roman" w:hAnsi="Times New Roman" w:cs="Times New Roman"/>
                <w:w w:val="99"/>
                <w:sz w:val="20"/>
              </w:rPr>
              <w:t>Сключен административен договор</w:t>
            </w:r>
          </w:p>
        </w:tc>
      </w:tr>
      <w:tr w:rsidR="00374759" w:rsidRPr="00FB67A6" w14:paraId="5CA386E2" w14:textId="77777777" w:rsidTr="00FB67A6">
        <w:trPr>
          <w:trHeight w:val="313"/>
        </w:trPr>
        <w:tc>
          <w:tcPr>
            <w:tcW w:w="993" w:type="dxa"/>
          </w:tcPr>
          <w:p w14:paraId="379B5287" w14:textId="788A0F7F" w:rsidR="00374759" w:rsidRPr="00FB67A6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85" w:type="dxa"/>
          </w:tcPr>
          <w:p w14:paraId="5CB9E3FA" w14:textId="638175CB" w:rsidR="00374759" w:rsidRPr="00671A23" w:rsidRDefault="00374759" w:rsidP="00374759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671A23"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7099" w:type="dxa"/>
          </w:tcPr>
          <w:p w14:paraId="626BCCFA" w14:textId="51FBD2EB" w:rsidR="00374759" w:rsidRPr="00671A23" w:rsidRDefault="001373C5" w:rsidP="006F34B1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 w:rsidRPr="00671A23">
              <w:rPr>
                <w:rFonts w:ascii="Times New Roman" w:eastAsia="Times New Roman" w:hAnsi="Times New Roman" w:cs="Times New Roman"/>
                <w:w w:val="99"/>
                <w:sz w:val="20"/>
              </w:rPr>
              <w:t>С</w:t>
            </w:r>
            <w:r w:rsidR="00374759" w:rsidRPr="00671A23">
              <w:rPr>
                <w:rFonts w:ascii="Times New Roman" w:eastAsia="Times New Roman" w:hAnsi="Times New Roman" w:cs="Times New Roman"/>
                <w:w w:val="99"/>
                <w:sz w:val="20"/>
              </w:rPr>
              <w:t>лед сключването на Административния договор</w:t>
            </w:r>
          </w:p>
        </w:tc>
      </w:tr>
      <w:tr w:rsidR="00FB67A6" w:rsidRPr="00FB67A6" w14:paraId="278B4CDD" w14:textId="77777777" w:rsidTr="00400795">
        <w:trPr>
          <w:trHeight w:val="1357"/>
        </w:trPr>
        <w:tc>
          <w:tcPr>
            <w:tcW w:w="993" w:type="dxa"/>
          </w:tcPr>
          <w:p w14:paraId="3D488007" w14:textId="053852FD" w:rsidR="00FB67A6" w:rsidRPr="00FB67A6" w:rsidRDefault="00122A4A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14:paraId="21645946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7099" w:type="dxa"/>
          </w:tcPr>
          <w:p w14:paraId="21C185E8" w14:textId="2C81EBDE" w:rsidR="00FB67A6" w:rsidRPr="00524030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RSO1.1 Развитие и засилване на капацитета за научни изследвания и иновации и на внедряването на модерни технологиии</w:t>
            </w:r>
            <w:r w:rsidR="0052403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183AE6F5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26BAF808" w14:textId="0F425DF2" w:rsid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RSO2.6 Насърчаване на прехода към кръгова и основаваща се на ефективно използване на ресурсите икономика</w:t>
            </w:r>
            <w:r w:rsidR="00524030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6DCA1921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7D32F91A" w14:textId="77777777" w:rsidR="00FB67A6" w:rsidRPr="00FB67A6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            </w:t>
            </w:r>
          </w:p>
        </w:tc>
      </w:tr>
      <w:tr w:rsidR="00FB67A6" w:rsidRPr="00FB67A6" w14:paraId="3571C2FD" w14:textId="77777777" w:rsidTr="00FB67A6">
        <w:trPr>
          <w:trHeight w:val="2071"/>
        </w:trPr>
        <w:tc>
          <w:tcPr>
            <w:tcW w:w="993" w:type="dxa"/>
          </w:tcPr>
          <w:p w14:paraId="26107BD9" w14:textId="5CD45B9F" w:rsidR="00FB67A6" w:rsidRPr="00FB67A6" w:rsidRDefault="00122A4A" w:rsidP="00FB67A6">
            <w:pPr>
              <w:widowControl w:val="0"/>
              <w:autoSpaceDE w:val="0"/>
              <w:autoSpaceDN w:val="0"/>
              <w:spacing w:after="0" w:line="226" w:lineRule="exact"/>
              <w:ind w:left="251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14:paraId="616C0B32" w14:textId="40B0A6D4" w:rsidR="00FB67A6" w:rsidRPr="00FB67A6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 w:rsidR="00671F45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е 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и понятия </w:t>
            </w:r>
          </w:p>
        </w:tc>
        <w:tc>
          <w:tcPr>
            <w:tcW w:w="7099" w:type="dxa"/>
          </w:tcPr>
          <w:p w14:paraId="08F6756D" w14:textId="41A08EA2" w:rsidR="00FB67A6" w:rsidRPr="00A138FD" w:rsidRDefault="00FB67A6" w:rsidP="00524030">
            <w:pPr>
              <w:widowControl w:val="0"/>
              <w:autoSpaceDE w:val="0"/>
              <w:autoSpaceDN w:val="0"/>
              <w:spacing w:after="0" w:line="225" w:lineRule="exact"/>
              <w:ind w:left="107" w:right="150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Общ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ият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частен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/собствен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принос на съфинансиране от страна на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подкрепените предприятия</w:t>
            </w:r>
            <w:r w:rsidRPr="00A138FD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. </w:t>
            </w:r>
            <w:r w:rsidRPr="007A4FD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Индикаторът обхваща и недопустимата </w:t>
            </w:r>
            <w:r w:rsidRPr="007A4FD4">
              <w:rPr>
                <w:rFonts w:ascii="Times New Roman" w:eastAsia="Times New Roman" w:hAnsi="Times New Roman" w:cs="Times New Roman"/>
                <w:sz w:val="20"/>
              </w:rPr>
              <w:t xml:space="preserve">за финаниране </w:t>
            </w:r>
            <w:r w:rsidRPr="007A4FD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част от </w:t>
            </w:r>
            <w:r w:rsidR="00671F45" w:rsidRPr="007A4FD4">
              <w:rPr>
                <w:rFonts w:ascii="Times New Roman" w:eastAsia="Times New Roman" w:hAnsi="Times New Roman" w:cs="Times New Roman"/>
                <w:sz w:val="20"/>
              </w:rPr>
              <w:t>разходите</w:t>
            </w:r>
            <w:r w:rsidRPr="007A4FD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на проекта, включително ДДС</w:t>
            </w:r>
            <w:r w:rsidR="00387295" w:rsidRPr="007A4FD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(</w:t>
            </w:r>
            <w:r w:rsidR="00387295" w:rsidRPr="007A4FD4">
              <w:rPr>
                <w:rFonts w:ascii="Times New Roman" w:eastAsia="Times New Roman" w:hAnsi="Times New Roman" w:cs="Times New Roman"/>
                <w:sz w:val="20"/>
              </w:rPr>
              <w:t>ако е приложимо)</w:t>
            </w:r>
            <w:r w:rsidRPr="007A4FD4">
              <w:rPr>
                <w:rFonts w:ascii="Times New Roman" w:eastAsia="Times New Roman" w:hAnsi="Times New Roman" w:cs="Times New Roman"/>
                <w:sz w:val="20"/>
                <w:lang w:val="en-US"/>
              </w:rPr>
              <w:t>.</w:t>
            </w:r>
            <w:r w:rsidRPr="00A138FD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</w:p>
          <w:p w14:paraId="72039E87" w14:textId="3842319B" w:rsidR="00FB67A6" w:rsidRPr="00FB67A6" w:rsidRDefault="00671F45" w:rsidP="00524030">
            <w:pPr>
              <w:widowControl w:val="0"/>
              <w:autoSpaceDE w:val="0"/>
              <w:autoSpaceDN w:val="0"/>
              <w:spacing w:after="0" w:line="225" w:lineRule="exact"/>
              <w:ind w:left="107" w:right="150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A138FD">
              <w:rPr>
                <w:rFonts w:ascii="Times New Roman" w:eastAsia="Times New Roman" w:hAnsi="Times New Roman" w:cs="Times New Roman"/>
                <w:sz w:val="20"/>
              </w:rPr>
              <w:t xml:space="preserve">При </w:t>
            </w:r>
            <w:r w:rsidR="00FB67A6" w:rsidRPr="00A138FD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държавните предприятия показателят обхваща </w:t>
            </w:r>
            <w:r w:rsidRPr="00A138FD">
              <w:rPr>
                <w:rFonts w:ascii="Times New Roman" w:eastAsia="Times New Roman" w:hAnsi="Times New Roman" w:cs="Times New Roman"/>
                <w:sz w:val="20"/>
              </w:rPr>
              <w:t>приноса за суфинансиране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от</w:t>
            </w:r>
            <w:r w:rsidR="00FB67A6"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собствен</w:t>
            </w:r>
            <w:r>
              <w:rPr>
                <w:rFonts w:ascii="Times New Roman" w:eastAsia="Times New Roman" w:hAnsi="Times New Roman" w:cs="Times New Roman"/>
                <w:sz w:val="20"/>
              </w:rPr>
              <w:t>ия им</w:t>
            </w:r>
            <w:r w:rsidR="00FB67A6"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бюджет.</w:t>
            </w:r>
          </w:p>
          <w:p w14:paraId="0FE58946" w14:textId="0819F45D" w:rsidR="00FB67A6" w:rsidRPr="00671F45" w:rsidRDefault="00FB67A6" w:rsidP="00524030">
            <w:pPr>
              <w:widowControl w:val="0"/>
              <w:autoSpaceDE w:val="0"/>
              <w:autoSpaceDN w:val="0"/>
              <w:spacing w:after="0" w:line="225" w:lineRule="exact"/>
              <w:ind w:left="107" w:right="150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671F45">
              <w:rPr>
                <w:rFonts w:ascii="Times New Roman" w:eastAsia="Times New Roman" w:hAnsi="Times New Roman" w:cs="Times New Roman"/>
                <w:sz w:val="20"/>
                <w:lang w:val="en-US"/>
              </w:rPr>
              <w:t>Индикаторът следва да се изчислява въз основа на частното</w:t>
            </w:r>
            <w:r w:rsidRPr="00671F45">
              <w:rPr>
                <w:rFonts w:ascii="Times New Roman" w:eastAsia="Times New Roman" w:hAnsi="Times New Roman" w:cs="Times New Roman"/>
                <w:sz w:val="20"/>
              </w:rPr>
              <w:t>/собствено</w:t>
            </w:r>
            <w:r w:rsidRPr="00671F45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съфинансиране, предвидено в</w:t>
            </w:r>
            <w:r w:rsidR="00414F9D" w:rsidRPr="00671F4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административни</w:t>
            </w:r>
            <w:r w:rsidR="00414F9D" w:rsidRPr="00442700">
              <w:rPr>
                <w:rFonts w:ascii="Times New Roman" w:eastAsia="Times New Roman" w:hAnsi="Times New Roman" w:cs="Times New Roman"/>
                <w:sz w:val="20"/>
              </w:rPr>
              <w:t>те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 xml:space="preserve"> договори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>.</w:t>
            </w:r>
          </w:p>
          <w:p w14:paraId="0A2B2D33" w14:textId="77777777" w:rsidR="00FB67A6" w:rsidRPr="00FB67A6" w:rsidRDefault="00FB67A6" w:rsidP="00524030">
            <w:pPr>
              <w:widowControl w:val="0"/>
              <w:autoSpaceDE w:val="0"/>
              <w:autoSpaceDN w:val="0"/>
              <w:spacing w:after="0" w:line="230" w:lineRule="atLeas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14:paraId="774830C6" w14:textId="77777777" w:rsidR="00623214" w:rsidRDefault="00623214" w:rsidP="006232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3482B" w14:textId="758480A5" w:rsidR="00623214" w:rsidRDefault="00623214" w:rsidP="00623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2B3">
        <w:rPr>
          <w:rFonts w:ascii="Times New Roman" w:hAnsi="Times New Roman" w:cs="Times New Roman"/>
          <w:b/>
          <w:sz w:val="24"/>
          <w:szCs w:val="24"/>
        </w:rPr>
        <w:t xml:space="preserve">ИНДИКАТОРИ ЗА </w:t>
      </w:r>
      <w:r w:rsidRPr="00C000E3">
        <w:rPr>
          <w:rFonts w:ascii="Times New Roman" w:hAnsi="Times New Roman" w:cs="Times New Roman"/>
          <w:b/>
          <w:sz w:val="24"/>
          <w:szCs w:val="24"/>
        </w:rPr>
        <w:t>СПЕЦИФИЧНА ЦЕЛ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447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54E">
        <w:rPr>
          <w:rFonts w:ascii="Times New Roman" w:hAnsi="Times New Roman" w:cs="Times New Roman"/>
          <w:b/>
          <w:sz w:val="24"/>
          <w:szCs w:val="24"/>
        </w:rPr>
        <w:t xml:space="preserve">RSO1.1.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6A754E">
        <w:rPr>
          <w:rFonts w:ascii="Times New Roman" w:hAnsi="Times New Roman" w:cs="Times New Roman"/>
          <w:b/>
          <w:sz w:val="24"/>
          <w:szCs w:val="24"/>
        </w:rPr>
        <w:t>РАЗВИТИЕ И ЗАСИЛВАНЕ НА КАПАЦИТЕТА ЗА НАУЧНИ ИЗСЛЕДВАНИЯ И ИНОВАЦИИ И НА ВНЕДРЯВАНЕТО НА МОДЕРНИ ТЕХНОЛОГИИ (ЕФРР)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14:paraId="685225FF" w14:textId="77777777" w:rsidR="00FB67A6" w:rsidRDefault="00FB67A6" w:rsidP="00FB67A6"/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524030" w:rsidRPr="00FB67A6" w14:paraId="710705F6" w14:textId="77777777" w:rsidTr="006C1D84">
        <w:trPr>
          <w:trHeight w:val="556"/>
        </w:trPr>
        <w:tc>
          <w:tcPr>
            <w:tcW w:w="1128" w:type="dxa"/>
            <w:shd w:val="clear" w:color="auto" w:fill="C5D9F0"/>
          </w:tcPr>
          <w:p w14:paraId="7D7FEB2F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2F6E74EB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3B88252D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524030" w:rsidRPr="00FB67A6" w14:paraId="4B075BE9" w14:textId="77777777" w:rsidTr="006C1D84">
        <w:trPr>
          <w:trHeight w:val="316"/>
        </w:trPr>
        <w:tc>
          <w:tcPr>
            <w:tcW w:w="1128" w:type="dxa"/>
          </w:tcPr>
          <w:p w14:paraId="357CADAC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0B1F6A57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4F3F50B0" w14:textId="496EB5C5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524030" w:rsidRPr="00FB67A6" w14:paraId="58651254" w14:textId="77777777" w:rsidTr="006C1D84">
        <w:trPr>
          <w:trHeight w:val="314"/>
        </w:trPr>
        <w:tc>
          <w:tcPr>
            <w:tcW w:w="1128" w:type="dxa"/>
          </w:tcPr>
          <w:p w14:paraId="745DC9AA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4D0E7EA9" w14:textId="76797257" w:rsidR="00524030" w:rsidRPr="00FB67A6" w:rsidRDefault="006C1D84" w:rsidP="0052403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401DF5A2" w14:textId="33AC15FF" w:rsidR="00524030" w:rsidRPr="00FB67A6" w:rsidRDefault="00524030" w:rsidP="00122A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RCR05</w:t>
            </w:r>
          </w:p>
        </w:tc>
      </w:tr>
      <w:tr w:rsidR="00524030" w:rsidRPr="00FB67A6" w14:paraId="5346908F" w14:textId="77777777" w:rsidTr="006C1D84">
        <w:trPr>
          <w:trHeight w:val="316"/>
        </w:trPr>
        <w:tc>
          <w:tcPr>
            <w:tcW w:w="1128" w:type="dxa"/>
          </w:tcPr>
          <w:p w14:paraId="387D0F7C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30C7E243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7F3FF27D" w14:textId="37AA7125" w:rsidR="00524030" w:rsidRPr="00FB67A6" w:rsidRDefault="00524030" w:rsidP="00122A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Иновации на МСП, извършвани в МСП</w:t>
            </w:r>
          </w:p>
        </w:tc>
      </w:tr>
      <w:tr w:rsidR="00524030" w:rsidRPr="00FB67A6" w14:paraId="5E925830" w14:textId="77777777" w:rsidTr="006C1D84">
        <w:trPr>
          <w:trHeight w:val="313"/>
        </w:trPr>
        <w:tc>
          <w:tcPr>
            <w:tcW w:w="1128" w:type="dxa"/>
          </w:tcPr>
          <w:p w14:paraId="5A1DB140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35" w:type="dxa"/>
          </w:tcPr>
          <w:p w14:paraId="4025C8E1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04983769" w14:textId="219BFD7B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предприятия</w:t>
            </w:r>
          </w:p>
        </w:tc>
      </w:tr>
      <w:tr w:rsidR="00524030" w:rsidRPr="00FB67A6" w14:paraId="6B945EBB" w14:textId="77777777" w:rsidTr="006C1D84">
        <w:trPr>
          <w:trHeight w:val="314"/>
        </w:trPr>
        <w:tc>
          <w:tcPr>
            <w:tcW w:w="1128" w:type="dxa"/>
          </w:tcPr>
          <w:p w14:paraId="2F4E0740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5F78E59C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3C0D76D3" w14:textId="6463590E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 резултат</w:t>
            </w:r>
          </w:p>
        </w:tc>
      </w:tr>
      <w:tr w:rsidR="00524030" w:rsidRPr="00FB67A6" w14:paraId="5B182827" w14:textId="77777777" w:rsidTr="006C1D84">
        <w:trPr>
          <w:trHeight w:val="314"/>
        </w:trPr>
        <w:tc>
          <w:tcPr>
            <w:tcW w:w="1128" w:type="dxa"/>
          </w:tcPr>
          <w:p w14:paraId="36032338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316AFBC7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7049D25D" w14:textId="3E5EE5CC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1373C5" w:rsidRPr="00FB67A6" w14:paraId="03BBC2D3" w14:textId="77777777" w:rsidTr="006C1D84">
        <w:trPr>
          <w:trHeight w:val="314"/>
        </w:trPr>
        <w:tc>
          <w:tcPr>
            <w:tcW w:w="1128" w:type="dxa"/>
          </w:tcPr>
          <w:p w14:paraId="00413A04" w14:textId="2FC8259B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615B696B" w14:textId="6861A868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0AE81008" w14:textId="0E1B8462" w:rsidR="001373C5" w:rsidRPr="00FB67A6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1373C5" w:rsidRPr="00FB67A6" w14:paraId="376173B1" w14:textId="77777777" w:rsidTr="006C1D84">
        <w:trPr>
          <w:trHeight w:val="314"/>
        </w:trPr>
        <w:tc>
          <w:tcPr>
            <w:tcW w:w="1128" w:type="dxa"/>
          </w:tcPr>
          <w:p w14:paraId="27CE2FD2" w14:textId="70FEBF54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35" w:type="dxa"/>
          </w:tcPr>
          <w:p w14:paraId="2C0D65E1" w14:textId="77FEF37F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190A335F" w14:textId="3AB001AE" w:rsidR="001373C5" w:rsidRPr="00FB67A6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След одобрението на финалния отчет</w:t>
            </w:r>
          </w:p>
        </w:tc>
      </w:tr>
      <w:tr w:rsidR="001373C5" w:rsidRPr="00FB67A6" w14:paraId="06204ED2" w14:textId="77777777" w:rsidTr="006C1D84">
        <w:trPr>
          <w:trHeight w:val="313"/>
        </w:trPr>
        <w:tc>
          <w:tcPr>
            <w:tcW w:w="1128" w:type="dxa"/>
          </w:tcPr>
          <w:p w14:paraId="48C94F70" w14:textId="59CBC6F1" w:rsidR="001373C5" w:rsidRPr="00FB67A6" w:rsidRDefault="00122A4A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8</w:t>
            </w:r>
          </w:p>
        </w:tc>
        <w:tc>
          <w:tcPr>
            <w:tcW w:w="1935" w:type="dxa"/>
          </w:tcPr>
          <w:p w14:paraId="6DF94B69" w14:textId="77777777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15DD9802" w14:textId="7B53A06D" w:rsidR="001373C5" w:rsidRPr="00524030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RSO1.1 Развитие и засилване на капацитета за научни изследвания и иновации и на внедряването на модерни технологиии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23DD4249" w14:textId="77777777" w:rsidR="001373C5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462149FD" w14:textId="0FD509B0" w:rsidR="001373C5" w:rsidRPr="00524030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373C5" w:rsidRPr="00FB67A6" w14:paraId="3D66EF82" w14:textId="77777777" w:rsidTr="006C1D84">
        <w:trPr>
          <w:trHeight w:val="1544"/>
        </w:trPr>
        <w:tc>
          <w:tcPr>
            <w:tcW w:w="1128" w:type="dxa"/>
          </w:tcPr>
          <w:p w14:paraId="207C94F3" w14:textId="799BDFC4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  <w:r w:rsidR="00122A4A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35" w:type="dxa"/>
          </w:tcPr>
          <w:p w14:paraId="666AECC4" w14:textId="77777777" w:rsidR="001373C5" w:rsidRPr="00FB67A6" w:rsidRDefault="001373C5" w:rsidP="001373C5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0D2F2012" w14:textId="6E6187BD" w:rsidR="001373C5" w:rsidRPr="00FB67A6" w:rsidRDefault="001373C5" w:rsidP="00122A4A">
            <w:pPr>
              <w:widowControl w:val="0"/>
              <w:autoSpaceDE w:val="0"/>
              <w:autoSpaceDN w:val="0"/>
              <w:spacing w:after="0" w:line="237" w:lineRule="auto"/>
              <w:ind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Брой предприятия, които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реализират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вътрешни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предприятието 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иновации. Индикаторът обхваща и микро предприятия.</w:t>
            </w:r>
          </w:p>
          <w:p w14:paraId="63EE0497" w14:textId="77777777" w:rsidR="001373C5" w:rsidRPr="00FB67A6" w:rsidRDefault="001373C5" w:rsidP="001373C5">
            <w:pPr>
              <w:widowControl w:val="0"/>
              <w:autoSpaceDE w:val="0"/>
              <w:autoSpaceDN w:val="0"/>
              <w:spacing w:after="0" w:line="237" w:lineRule="auto"/>
              <w:ind w:left="107"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3D32FB95" w14:textId="77777777" w:rsidR="001373C5" w:rsidRPr="00671F45" w:rsidRDefault="001373C5" w:rsidP="00122A4A">
            <w:pPr>
              <w:widowControl w:val="0"/>
              <w:autoSpaceDE w:val="0"/>
              <w:autoSpaceDN w:val="0"/>
              <w:spacing w:after="0" w:line="237" w:lineRule="auto"/>
              <w:ind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Иновационните дейности се извършват вътрешно от подкрепяното предприятие, а не се възлагат на други предприятия или други изследователски организации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, вкл. 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р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>азработ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ване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на софтуер, 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отговарящо на посочените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изисквания.</w:t>
            </w:r>
          </w:p>
          <w:p w14:paraId="67EA5E17" w14:textId="77777777" w:rsidR="001373C5" w:rsidRPr="00FB67A6" w:rsidRDefault="001373C5" w:rsidP="001373C5">
            <w:pPr>
              <w:widowControl w:val="0"/>
              <w:autoSpaceDE w:val="0"/>
              <w:autoSpaceDN w:val="0"/>
              <w:spacing w:after="0" w:line="237" w:lineRule="auto"/>
              <w:ind w:left="107"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252885D4" w14:textId="77777777" w:rsidR="001373C5" w:rsidRPr="00FB67A6" w:rsidRDefault="001373C5" w:rsidP="001373C5">
            <w:pPr>
              <w:widowControl w:val="0"/>
              <w:autoSpaceDE w:val="0"/>
              <w:autoSpaceDN w:val="0"/>
              <w:spacing w:after="0" w:line="237" w:lineRule="auto"/>
              <w:ind w:left="107"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59877A2D" w14:textId="77777777" w:rsidR="001373C5" w:rsidRPr="00FB67A6" w:rsidRDefault="001373C5" w:rsidP="001373C5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14:paraId="6BB04C07" w14:textId="319E900D" w:rsidR="00BA7DA4" w:rsidRDefault="00BA7DA4" w:rsidP="00BA7DA4">
      <w:pPr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524030" w:rsidRPr="00FB67A6" w14:paraId="519EBC7F" w14:textId="77777777" w:rsidTr="006C1D84">
        <w:trPr>
          <w:trHeight w:val="556"/>
        </w:trPr>
        <w:tc>
          <w:tcPr>
            <w:tcW w:w="1128" w:type="dxa"/>
            <w:shd w:val="clear" w:color="auto" w:fill="C5D9F0"/>
          </w:tcPr>
          <w:p w14:paraId="2B9B0C77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7639FBB5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297A3DB9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524030" w:rsidRPr="00FB67A6" w14:paraId="6FD9B4B5" w14:textId="77777777" w:rsidTr="006C1D84">
        <w:trPr>
          <w:trHeight w:val="316"/>
        </w:trPr>
        <w:tc>
          <w:tcPr>
            <w:tcW w:w="1128" w:type="dxa"/>
          </w:tcPr>
          <w:p w14:paraId="51B22941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3AE589A4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12DE290E" w14:textId="08E4289F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524030" w:rsidRPr="00FB67A6" w14:paraId="17E28AC3" w14:textId="77777777" w:rsidTr="006C1D84">
        <w:trPr>
          <w:trHeight w:val="314"/>
        </w:trPr>
        <w:tc>
          <w:tcPr>
            <w:tcW w:w="1128" w:type="dxa"/>
          </w:tcPr>
          <w:p w14:paraId="0DF66D8E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41D5A658" w14:textId="7AE15F74" w:rsidR="00524030" w:rsidRPr="00FB67A6" w:rsidRDefault="006C1D84" w:rsidP="0052403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3C5B5BEE" w14:textId="26E57649" w:rsidR="00524030" w:rsidRPr="00FB67A6" w:rsidRDefault="00524030" w:rsidP="00122A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RCR06</w:t>
            </w:r>
          </w:p>
        </w:tc>
      </w:tr>
      <w:tr w:rsidR="00524030" w:rsidRPr="00FB67A6" w14:paraId="1E12A37F" w14:textId="77777777" w:rsidTr="006C1D84">
        <w:trPr>
          <w:trHeight w:val="316"/>
        </w:trPr>
        <w:tc>
          <w:tcPr>
            <w:tcW w:w="1128" w:type="dxa"/>
          </w:tcPr>
          <w:p w14:paraId="68F21163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2991E5CC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5D298CFD" w14:textId="019AE504" w:rsidR="00524030" w:rsidRPr="00FB67A6" w:rsidRDefault="00524030" w:rsidP="00122A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Подадени заявки за патент</w:t>
            </w:r>
          </w:p>
        </w:tc>
      </w:tr>
      <w:tr w:rsidR="00524030" w:rsidRPr="00FB67A6" w14:paraId="1A701E11" w14:textId="77777777" w:rsidTr="006C1D84">
        <w:trPr>
          <w:trHeight w:val="313"/>
        </w:trPr>
        <w:tc>
          <w:tcPr>
            <w:tcW w:w="1128" w:type="dxa"/>
          </w:tcPr>
          <w:p w14:paraId="5A63EB13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35" w:type="dxa"/>
          </w:tcPr>
          <w:p w14:paraId="463E29B8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59D34E4F" w14:textId="2D86B742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заявки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за патент</w:t>
            </w:r>
          </w:p>
        </w:tc>
      </w:tr>
      <w:tr w:rsidR="00524030" w:rsidRPr="00FB67A6" w14:paraId="6FF35539" w14:textId="77777777" w:rsidTr="006C1D84">
        <w:trPr>
          <w:trHeight w:val="314"/>
        </w:trPr>
        <w:tc>
          <w:tcPr>
            <w:tcW w:w="1128" w:type="dxa"/>
          </w:tcPr>
          <w:p w14:paraId="5A3E4532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21F172E5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46D18BF7" w14:textId="0FB3B7B9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 резултат</w:t>
            </w:r>
          </w:p>
        </w:tc>
      </w:tr>
      <w:tr w:rsidR="00524030" w:rsidRPr="00FB67A6" w14:paraId="71EF2DBB" w14:textId="77777777" w:rsidTr="006C1D84">
        <w:trPr>
          <w:trHeight w:val="314"/>
        </w:trPr>
        <w:tc>
          <w:tcPr>
            <w:tcW w:w="1128" w:type="dxa"/>
          </w:tcPr>
          <w:p w14:paraId="65196B62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1B397C39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075F6696" w14:textId="02BB05C5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1373C5" w:rsidRPr="00FB67A6" w14:paraId="59882641" w14:textId="77777777" w:rsidTr="006C1D84">
        <w:trPr>
          <w:trHeight w:val="314"/>
        </w:trPr>
        <w:tc>
          <w:tcPr>
            <w:tcW w:w="1128" w:type="dxa"/>
          </w:tcPr>
          <w:p w14:paraId="24C882C2" w14:textId="60BF5D52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3B4D0A5E" w14:textId="05867B25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15939357" w14:textId="50B264B7" w:rsidR="001373C5" w:rsidRPr="00FB67A6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1373C5" w:rsidRPr="00FB67A6" w14:paraId="20D0851A" w14:textId="77777777" w:rsidTr="006C1D84">
        <w:trPr>
          <w:trHeight w:val="314"/>
        </w:trPr>
        <w:tc>
          <w:tcPr>
            <w:tcW w:w="1128" w:type="dxa"/>
          </w:tcPr>
          <w:p w14:paraId="44569C9E" w14:textId="51BDD031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35" w:type="dxa"/>
          </w:tcPr>
          <w:p w14:paraId="49C33C9A" w14:textId="79E8D1BF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61F8CCAA" w14:textId="1F293155" w:rsidR="001373C5" w:rsidRPr="00FB67A6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След одобрението на финалния отчет</w:t>
            </w:r>
          </w:p>
        </w:tc>
      </w:tr>
      <w:tr w:rsidR="00524030" w:rsidRPr="00FB67A6" w14:paraId="0B1020BC" w14:textId="77777777" w:rsidTr="006C1D84">
        <w:trPr>
          <w:trHeight w:val="313"/>
        </w:trPr>
        <w:tc>
          <w:tcPr>
            <w:tcW w:w="1128" w:type="dxa"/>
          </w:tcPr>
          <w:p w14:paraId="7FBA4355" w14:textId="6BE468B2" w:rsidR="00524030" w:rsidRPr="00FB67A6" w:rsidRDefault="00122A4A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8</w:t>
            </w:r>
          </w:p>
        </w:tc>
        <w:tc>
          <w:tcPr>
            <w:tcW w:w="1935" w:type="dxa"/>
          </w:tcPr>
          <w:p w14:paraId="27B6235E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522BD42A" w14:textId="77777777" w:rsidR="00524030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RSO1.1 Развитие и засилване на капацитета за научни изследвания и иновации и на внедряването на модерни технологиии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6ED587C7" w14:textId="77777777" w:rsidR="00524030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EA71653" w14:textId="570A38BB" w:rsidR="00524030" w:rsidRPr="00524030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24030" w:rsidRPr="00FB67A6" w14:paraId="5B651F43" w14:textId="77777777" w:rsidTr="006C1D84">
        <w:trPr>
          <w:trHeight w:val="1544"/>
        </w:trPr>
        <w:tc>
          <w:tcPr>
            <w:tcW w:w="1128" w:type="dxa"/>
          </w:tcPr>
          <w:p w14:paraId="04C470B7" w14:textId="349176AA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22A4A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35" w:type="dxa"/>
          </w:tcPr>
          <w:p w14:paraId="7F24DA98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4496E0ED" w14:textId="77777777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ind w:right="285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Брой подадени и валидирани</w:t>
            </w:r>
            <w:r>
              <w:rPr>
                <w:rStyle w:val="FootnoteReference"/>
                <w:rFonts w:ascii="Times New Roman" w:eastAsia="Times New Roman" w:hAnsi="Times New Roman" w:cs="Times New Roman"/>
                <w:sz w:val="20"/>
                <w:lang w:val="en-US"/>
              </w:rPr>
              <w:footnoteReference w:id="2"/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заявления за патент („подаване“),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в резултат на изпълнението на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подкрепени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те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проекти.</w:t>
            </w:r>
            <w:r w:rsidRPr="00FB67A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14:paraId="6B3FB3D2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 w:right="285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05E26352" w14:textId="77777777" w:rsidR="00524030" w:rsidRPr="00FB67A6" w:rsidRDefault="00524030" w:rsidP="00122A4A">
            <w:pPr>
              <w:widowControl w:val="0"/>
              <w:autoSpaceDE w:val="0"/>
              <w:autoSpaceDN w:val="0"/>
              <w:spacing w:after="0" w:line="230" w:lineRule="exact"/>
              <w:ind w:right="164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Подкрепеният проект трябва да има ясно разпознаваем принос към патента, за който е подадена заявката. </w:t>
            </w:r>
          </w:p>
          <w:p w14:paraId="59090725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30" w:lineRule="exact"/>
              <w:ind w:left="107" w:right="164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4BA0302E" w14:textId="4A6405C9" w:rsidR="00524030" w:rsidRPr="00FB67A6" w:rsidRDefault="00524030" w:rsidP="00524030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Заяв</w:t>
            </w:r>
            <w:r>
              <w:rPr>
                <w:rFonts w:ascii="Times New Roman" w:eastAsia="Times New Roman" w:hAnsi="Times New Roman" w:cs="Times New Roman"/>
                <w:sz w:val="20"/>
              </w:rPr>
              <w:t>ките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за патенти за дизайн са включени в индикатора RCR07.</w:t>
            </w:r>
          </w:p>
        </w:tc>
      </w:tr>
    </w:tbl>
    <w:p w14:paraId="3B0A1477" w14:textId="1B3E4959" w:rsidR="00400795" w:rsidRDefault="00400795" w:rsidP="00BA7DA4">
      <w:pPr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524030" w:rsidRPr="00FB67A6" w14:paraId="3FDA6238" w14:textId="77777777" w:rsidTr="006C1D84">
        <w:trPr>
          <w:trHeight w:val="556"/>
        </w:trPr>
        <w:tc>
          <w:tcPr>
            <w:tcW w:w="1128" w:type="dxa"/>
            <w:shd w:val="clear" w:color="auto" w:fill="C5D9F0"/>
          </w:tcPr>
          <w:p w14:paraId="4EA2457B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42504C69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1D9031FC" w14:textId="77777777" w:rsidR="00524030" w:rsidRPr="00FB67A6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524030" w:rsidRPr="00FB67A6" w14:paraId="15D74B4E" w14:textId="77777777" w:rsidTr="006C1D84">
        <w:trPr>
          <w:trHeight w:val="316"/>
        </w:trPr>
        <w:tc>
          <w:tcPr>
            <w:tcW w:w="1128" w:type="dxa"/>
          </w:tcPr>
          <w:p w14:paraId="37F6D7BC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13BF1586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24A9816F" w14:textId="57BDFB19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524030" w:rsidRPr="00FB67A6" w14:paraId="7A085CB8" w14:textId="77777777" w:rsidTr="006C1D84">
        <w:trPr>
          <w:trHeight w:val="314"/>
        </w:trPr>
        <w:tc>
          <w:tcPr>
            <w:tcW w:w="1128" w:type="dxa"/>
          </w:tcPr>
          <w:p w14:paraId="7F70A9DA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20310B14" w14:textId="3E2F37EC" w:rsidR="00524030" w:rsidRPr="00FB67A6" w:rsidRDefault="006C1D84" w:rsidP="0052403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1482D3E9" w14:textId="670E2F2E" w:rsidR="00524030" w:rsidRPr="00FB67A6" w:rsidRDefault="00524030" w:rsidP="00122A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RCR07</w:t>
            </w:r>
          </w:p>
        </w:tc>
      </w:tr>
      <w:tr w:rsidR="00524030" w:rsidRPr="00FB67A6" w14:paraId="4673A121" w14:textId="77777777" w:rsidTr="006C1D84">
        <w:trPr>
          <w:trHeight w:val="316"/>
        </w:trPr>
        <w:tc>
          <w:tcPr>
            <w:tcW w:w="1128" w:type="dxa"/>
          </w:tcPr>
          <w:p w14:paraId="2DD9FF33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1F2000DA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29CD5CF3" w14:textId="4A4722C9" w:rsidR="00524030" w:rsidRPr="00FB67A6" w:rsidRDefault="00524030" w:rsidP="00122A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Заявки за търговска марка и дизайн</w:t>
            </w:r>
          </w:p>
        </w:tc>
      </w:tr>
      <w:tr w:rsidR="00524030" w:rsidRPr="00FB67A6" w14:paraId="2D404FBA" w14:textId="77777777" w:rsidTr="006C1D84">
        <w:trPr>
          <w:trHeight w:val="313"/>
        </w:trPr>
        <w:tc>
          <w:tcPr>
            <w:tcW w:w="1128" w:type="dxa"/>
          </w:tcPr>
          <w:p w14:paraId="4E4BC37D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35" w:type="dxa"/>
          </w:tcPr>
          <w:p w14:paraId="4B977C49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0D87C940" w14:textId="1FA3ACFF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заявки за търговска марк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и дизайн</w:t>
            </w:r>
          </w:p>
        </w:tc>
      </w:tr>
      <w:tr w:rsidR="00524030" w:rsidRPr="00FB67A6" w14:paraId="36293B8D" w14:textId="77777777" w:rsidTr="006C1D84">
        <w:trPr>
          <w:trHeight w:val="314"/>
        </w:trPr>
        <w:tc>
          <w:tcPr>
            <w:tcW w:w="1128" w:type="dxa"/>
          </w:tcPr>
          <w:p w14:paraId="173F643F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75F577E9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65061A3B" w14:textId="0FAA171A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за резултат</w:t>
            </w:r>
          </w:p>
        </w:tc>
      </w:tr>
      <w:tr w:rsidR="00524030" w:rsidRPr="00FB67A6" w14:paraId="646BD866" w14:textId="77777777" w:rsidTr="006C1D84">
        <w:trPr>
          <w:trHeight w:val="314"/>
        </w:trPr>
        <w:tc>
          <w:tcPr>
            <w:tcW w:w="1128" w:type="dxa"/>
          </w:tcPr>
          <w:p w14:paraId="66DE5C33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7B83F168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0FD11DAB" w14:textId="721D1612" w:rsidR="00524030" w:rsidRPr="00FB67A6" w:rsidRDefault="00524030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1373C5" w:rsidRPr="00FB67A6" w14:paraId="5AD55ACD" w14:textId="77777777" w:rsidTr="006C1D84">
        <w:trPr>
          <w:trHeight w:val="314"/>
        </w:trPr>
        <w:tc>
          <w:tcPr>
            <w:tcW w:w="1128" w:type="dxa"/>
          </w:tcPr>
          <w:p w14:paraId="35E9F0D5" w14:textId="1B356461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6AC8D958" w14:textId="132EFA5C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3646F297" w14:textId="2473EF6E" w:rsidR="001373C5" w:rsidRPr="004A2444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1373C5" w:rsidRPr="00FB67A6" w14:paraId="4078145A" w14:textId="77777777" w:rsidTr="006C1D84">
        <w:trPr>
          <w:trHeight w:val="314"/>
        </w:trPr>
        <w:tc>
          <w:tcPr>
            <w:tcW w:w="1128" w:type="dxa"/>
          </w:tcPr>
          <w:p w14:paraId="518C68E3" w14:textId="675090E2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35" w:type="dxa"/>
          </w:tcPr>
          <w:p w14:paraId="12A0ABA0" w14:textId="18D30997" w:rsidR="001373C5" w:rsidRPr="00FB67A6" w:rsidRDefault="001373C5" w:rsidP="001373C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38E4E6D4" w14:textId="0E2FC6BA" w:rsidR="001373C5" w:rsidRPr="004A2444" w:rsidRDefault="001373C5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След одобрението на финалния отчет</w:t>
            </w:r>
          </w:p>
        </w:tc>
      </w:tr>
      <w:tr w:rsidR="00524030" w:rsidRPr="00FB67A6" w14:paraId="41EEA957" w14:textId="77777777" w:rsidTr="006C1D84">
        <w:trPr>
          <w:trHeight w:val="313"/>
        </w:trPr>
        <w:tc>
          <w:tcPr>
            <w:tcW w:w="1128" w:type="dxa"/>
          </w:tcPr>
          <w:p w14:paraId="1859B280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lastRenderedPageBreak/>
              <w:t>6</w:t>
            </w:r>
          </w:p>
        </w:tc>
        <w:tc>
          <w:tcPr>
            <w:tcW w:w="1935" w:type="dxa"/>
          </w:tcPr>
          <w:p w14:paraId="44218C20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5D62B3DE" w14:textId="77777777" w:rsidR="00524030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RSO1.1 Развитие и засилване на капацитета за научни изследвания и иновации и на внедряването на модерни технологиии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25A73C11" w14:textId="77777777" w:rsidR="00524030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88ADA8A" w14:textId="5D533015" w:rsidR="00524030" w:rsidRPr="00524030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24030" w:rsidRPr="00FB67A6" w14:paraId="64E82F79" w14:textId="77777777" w:rsidTr="006C1D84">
        <w:trPr>
          <w:trHeight w:val="1544"/>
        </w:trPr>
        <w:tc>
          <w:tcPr>
            <w:tcW w:w="1128" w:type="dxa"/>
          </w:tcPr>
          <w:p w14:paraId="7BE333D6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1935" w:type="dxa"/>
          </w:tcPr>
          <w:p w14:paraId="564892A6" w14:textId="77777777" w:rsidR="00524030" w:rsidRPr="00FB67A6" w:rsidRDefault="00524030" w:rsidP="00524030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0EF3F54B" w14:textId="77777777" w:rsidR="00524030" w:rsidRPr="004A2444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Брой заявки за търговски марки на ЕС и дизайни на Общността, подадени и валидирани</w:t>
            </w:r>
            <w:r w:rsidRPr="004A2444">
              <w:rPr>
                <w:rFonts w:ascii="Times New Roman" w:eastAsia="Times New Roman" w:hAnsi="Times New Roman" w:cs="Times New Roman"/>
                <w:sz w:val="20"/>
                <w:vertAlign w:val="superscript"/>
                <w:lang w:val="en-US"/>
              </w:rPr>
              <w:footnoteReference w:id="3"/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(„подаване“),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в резултат от изпълнението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 xml:space="preserve">на 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подкрепения проект. </w:t>
            </w:r>
          </w:p>
          <w:p w14:paraId="4015FEAF" w14:textId="77777777" w:rsidR="00524030" w:rsidRPr="004A2444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26D86182" w14:textId="77777777" w:rsidR="00524030" w:rsidRPr="004A2444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Подкрепеният проект трябва да има ясно разпознаваем принос към търговската марка или дизайна, за които се кандидатства.</w:t>
            </w:r>
          </w:p>
          <w:p w14:paraId="56217B36" w14:textId="77777777" w:rsidR="00524030" w:rsidRPr="004A2444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5D80AF4A" w14:textId="77777777" w:rsidR="00524030" w:rsidRPr="004A2444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Търговската марка се отнася до думи, символи или други знаци, които се използват от фирмите, за разгранича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ване на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техните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продукти или услуги от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 xml:space="preserve">тези, 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предлагани от други. Заявката за търговска марка на Европейския съюз трябва да бъде подадена и валидирана в Службата на Европейския съюз за интелектуална собственост (EUIPO).</w:t>
            </w:r>
          </w:p>
          <w:p w14:paraId="2CD1A092" w14:textId="77777777" w:rsidR="00524030" w:rsidRPr="004A2444" w:rsidRDefault="00524030" w:rsidP="00524030">
            <w:pPr>
              <w:widowControl w:val="0"/>
              <w:autoSpaceDE w:val="0"/>
              <w:autoSpaceDN w:val="0"/>
              <w:spacing w:after="0" w:line="225" w:lineRule="exact"/>
              <w:ind w:left="107" w:right="33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7DC7612E" w14:textId="0109D018" w:rsidR="00524030" w:rsidRPr="00FB67A6" w:rsidRDefault="00524030" w:rsidP="00524030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Дизайнът се отнася до „външния вид на целия или част от продукт, произтичащ от характеристиките, по-специално линиите, контурите, цветовете, формата, текстурата и/или материала на самия продукт, и/или негов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ата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орнамент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ация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. Индикаторът обхваща заявления за регистриран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е на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дизайн на Общността. Заявката за регистриране на дизайн на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Общността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трябва да бъде подаденa и валидиранa в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Служба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та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на Европейския съюз за интелектуална собственост (EUIPO). </w:t>
            </w:r>
          </w:p>
        </w:tc>
      </w:tr>
    </w:tbl>
    <w:p w14:paraId="3D6AD533" w14:textId="03972213" w:rsidR="00400795" w:rsidRDefault="00400795" w:rsidP="00BA7DA4"/>
    <w:p w14:paraId="5802F463" w14:textId="77777777" w:rsidR="00122A4A" w:rsidRDefault="00122A4A" w:rsidP="00BA7DA4"/>
    <w:p w14:paraId="0FBF8B5A" w14:textId="66BF3E75" w:rsidR="00400795" w:rsidRPr="00671A23" w:rsidRDefault="00122A4A" w:rsidP="00671A23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A23">
        <w:rPr>
          <w:rFonts w:ascii="Times New Roman" w:hAnsi="Times New Roman" w:cs="Times New Roman"/>
          <w:b/>
          <w:sz w:val="24"/>
          <w:szCs w:val="24"/>
        </w:rPr>
        <w:t xml:space="preserve">СПЕЦИФИЧНИ ИНДИКАТОРИ ЗА СЦ: RSO2.6. </w:t>
      </w:r>
      <w:r w:rsidR="007A4FD4" w:rsidRPr="00671A23">
        <w:rPr>
          <w:rFonts w:ascii="Times New Roman" w:hAnsi="Times New Roman" w:cs="Times New Roman"/>
          <w:b/>
          <w:sz w:val="24"/>
          <w:szCs w:val="24"/>
        </w:rPr>
        <w:t>“</w:t>
      </w:r>
      <w:r w:rsidRPr="00671A23">
        <w:rPr>
          <w:rFonts w:ascii="Times New Roman" w:hAnsi="Times New Roman" w:cs="Times New Roman"/>
          <w:b/>
          <w:sz w:val="24"/>
          <w:szCs w:val="24"/>
        </w:rPr>
        <w:t>НАСЪРЧАВАНЕ НА ПРЕХОДА КЪМ КРЪГОВА И ОСНОВАВАЩА СЕ НА ЕФЕКТИВНО ИЗПОЛЗВАНЕ НА РЕСУРСИТЕ ИКОНОМИКА</w:t>
      </w:r>
      <w:r w:rsidR="007A4FD4" w:rsidRPr="00671A23">
        <w:rPr>
          <w:rFonts w:ascii="Times New Roman" w:hAnsi="Times New Roman" w:cs="Times New Roman"/>
          <w:b/>
          <w:sz w:val="24"/>
          <w:szCs w:val="24"/>
        </w:rPr>
        <w:t>”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F34007" w:rsidRPr="00FB67A6" w14:paraId="6CDE3028" w14:textId="77777777" w:rsidTr="006C1D84">
        <w:trPr>
          <w:trHeight w:val="556"/>
        </w:trPr>
        <w:tc>
          <w:tcPr>
            <w:tcW w:w="1128" w:type="dxa"/>
            <w:shd w:val="clear" w:color="auto" w:fill="C5D9F0"/>
          </w:tcPr>
          <w:p w14:paraId="78967F96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40A98B56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4353472C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F34007" w:rsidRPr="00FB67A6" w14:paraId="4635187D" w14:textId="77777777" w:rsidTr="006C1D84">
        <w:trPr>
          <w:trHeight w:val="316"/>
        </w:trPr>
        <w:tc>
          <w:tcPr>
            <w:tcW w:w="1128" w:type="dxa"/>
          </w:tcPr>
          <w:p w14:paraId="22EA722F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172B2E19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6E943152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F34007" w:rsidRPr="00FB67A6" w14:paraId="048F2965" w14:textId="77777777" w:rsidTr="006C1D84">
        <w:trPr>
          <w:trHeight w:val="314"/>
        </w:trPr>
        <w:tc>
          <w:tcPr>
            <w:tcW w:w="1128" w:type="dxa"/>
          </w:tcPr>
          <w:p w14:paraId="7DF95D6E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628245FC" w14:textId="72E3BE7E" w:rsidR="00F34007" w:rsidRPr="00FB67A6" w:rsidRDefault="006C1D84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3AC3CCA8" w14:textId="66F1FD0F" w:rsidR="00F34007" w:rsidRPr="00FB67A6" w:rsidRDefault="006C1D84" w:rsidP="00122A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ИИ 7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и </w:t>
            </w: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8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  <w:lang w:val="en-US"/>
              </w:rPr>
              <w:footnoteReference w:id="5"/>
            </w:r>
          </w:p>
        </w:tc>
      </w:tr>
      <w:tr w:rsidR="00F34007" w:rsidRPr="00FB67A6" w14:paraId="6440C7DC" w14:textId="77777777" w:rsidTr="006C1D84">
        <w:trPr>
          <w:trHeight w:val="316"/>
        </w:trPr>
        <w:tc>
          <w:tcPr>
            <w:tcW w:w="1128" w:type="dxa"/>
          </w:tcPr>
          <w:p w14:paraId="0333AB70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70448D73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10F3639A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Иновации на МСП, извършвани в МСП</w:t>
            </w:r>
          </w:p>
        </w:tc>
      </w:tr>
      <w:tr w:rsidR="00F34007" w:rsidRPr="00FB67A6" w14:paraId="6C77395C" w14:textId="77777777" w:rsidTr="006C1D84">
        <w:trPr>
          <w:trHeight w:val="313"/>
        </w:trPr>
        <w:tc>
          <w:tcPr>
            <w:tcW w:w="1128" w:type="dxa"/>
          </w:tcPr>
          <w:p w14:paraId="2440369D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35" w:type="dxa"/>
          </w:tcPr>
          <w:p w14:paraId="4E7BE9E5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02C8CD43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предприятия</w:t>
            </w:r>
          </w:p>
        </w:tc>
      </w:tr>
      <w:tr w:rsidR="00F34007" w:rsidRPr="00FB67A6" w14:paraId="0D6A2733" w14:textId="77777777" w:rsidTr="006C1D84">
        <w:trPr>
          <w:trHeight w:val="314"/>
        </w:trPr>
        <w:tc>
          <w:tcPr>
            <w:tcW w:w="1128" w:type="dxa"/>
          </w:tcPr>
          <w:p w14:paraId="34E07D34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23300B56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052F94BF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 резултат</w:t>
            </w:r>
          </w:p>
        </w:tc>
      </w:tr>
      <w:tr w:rsidR="00F34007" w:rsidRPr="00FB67A6" w14:paraId="6A3B4AB6" w14:textId="77777777" w:rsidTr="006C1D84">
        <w:trPr>
          <w:trHeight w:val="314"/>
        </w:trPr>
        <w:tc>
          <w:tcPr>
            <w:tcW w:w="1128" w:type="dxa"/>
          </w:tcPr>
          <w:p w14:paraId="3C6E91C4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78DAD58E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7E3FA21E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6C1D84" w:rsidRPr="00FB67A6" w14:paraId="66920C05" w14:textId="77777777" w:rsidTr="006C1D84">
        <w:trPr>
          <w:trHeight w:val="314"/>
        </w:trPr>
        <w:tc>
          <w:tcPr>
            <w:tcW w:w="1128" w:type="dxa"/>
          </w:tcPr>
          <w:p w14:paraId="7FAE2505" w14:textId="7118AD31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56CF2926" w14:textId="0C474C94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646A8C37" w14:textId="0EB51E8A" w:rsidR="006C1D84" w:rsidRPr="00FB67A6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6C1D84" w:rsidRPr="00FB67A6" w14:paraId="06C59755" w14:textId="77777777" w:rsidTr="006C1D84">
        <w:trPr>
          <w:trHeight w:val="314"/>
        </w:trPr>
        <w:tc>
          <w:tcPr>
            <w:tcW w:w="1128" w:type="dxa"/>
          </w:tcPr>
          <w:p w14:paraId="0BE40731" w14:textId="066C97E1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35" w:type="dxa"/>
          </w:tcPr>
          <w:p w14:paraId="45F4A171" w14:textId="0F0B50B5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54E24032" w14:textId="4023EB8C" w:rsidR="006C1D84" w:rsidRPr="00FB67A6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След одобрението на финалния отчет</w:t>
            </w:r>
          </w:p>
        </w:tc>
      </w:tr>
      <w:tr w:rsidR="00F34007" w:rsidRPr="00FB67A6" w14:paraId="5169EEF4" w14:textId="77777777" w:rsidTr="006C1D84">
        <w:trPr>
          <w:trHeight w:val="313"/>
        </w:trPr>
        <w:tc>
          <w:tcPr>
            <w:tcW w:w="1128" w:type="dxa"/>
          </w:tcPr>
          <w:p w14:paraId="654B5132" w14:textId="435680D1" w:rsidR="00F34007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8</w:t>
            </w:r>
          </w:p>
        </w:tc>
        <w:tc>
          <w:tcPr>
            <w:tcW w:w="1935" w:type="dxa"/>
          </w:tcPr>
          <w:p w14:paraId="1576E9A5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44000FC6" w14:textId="264419ED" w:rsidR="00F34007" w:rsidRPr="00524030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RSO2.6. Насърчаване на прехода към кръгова и основаваща се на ефективно използване на ресурсите икономика </w:t>
            </w:r>
          </w:p>
        </w:tc>
      </w:tr>
      <w:tr w:rsidR="00F34007" w:rsidRPr="00FB67A6" w14:paraId="22520276" w14:textId="77777777" w:rsidTr="006C1D84">
        <w:trPr>
          <w:trHeight w:val="1544"/>
        </w:trPr>
        <w:tc>
          <w:tcPr>
            <w:tcW w:w="1128" w:type="dxa"/>
          </w:tcPr>
          <w:p w14:paraId="6800E02E" w14:textId="5B625359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  <w:r w:rsidR="006C1D84">
              <w:rPr>
                <w:rFonts w:ascii="Times New Roman" w:eastAsia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935" w:type="dxa"/>
          </w:tcPr>
          <w:p w14:paraId="04A520E0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4DEAF4E3" w14:textId="77777777" w:rsidR="00F34007" w:rsidRPr="00FB67A6" w:rsidRDefault="00F34007" w:rsidP="006F34B1">
            <w:pPr>
              <w:widowControl w:val="0"/>
              <w:autoSpaceDE w:val="0"/>
              <w:autoSpaceDN w:val="0"/>
              <w:spacing w:after="0" w:line="237" w:lineRule="auto"/>
              <w:ind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Брой предприятия, които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реализират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вътрешни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предприятието 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иновации. Индикаторът обхваща и микро предприятия.</w:t>
            </w:r>
          </w:p>
          <w:p w14:paraId="49C17531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37" w:lineRule="auto"/>
              <w:ind w:left="107" w:right="23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6B89D8E0" w14:textId="0E3A8B01" w:rsidR="00F34007" w:rsidRPr="00FB67A6" w:rsidRDefault="00F34007" w:rsidP="006C1D84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Иновационните дейности се извършват вътрешно от подкрепяното предприятие, а не се възлагат на други предприятия или други изследователски организации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, вкл. 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р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>азработ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ване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на софтуер, </w:t>
            </w:r>
            <w:r w:rsidRPr="00442700">
              <w:rPr>
                <w:rFonts w:ascii="Times New Roman" w:eastAsia="Times New Roman" w:hAnsi="Times New Roman" w:cs="Times New Roman"/>
                <w:sz w:val="20"/>
              </w:rPr>
              <w:t>отговарящо на посочените</w:t>
            </w:r>
            <w:r w:rsidRPr="0044270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изисквания.</w:t>
            </w:r>
          </w:p>
        </w:tc>
      </w:tr>
    </w:tbl>
    <w:p w14:paraId="45998659" w14:textId="77777777" w:rsidR="00400795" w:rsidRPr="00BA7DA4" w:rsidRDefault="00400795" w:rsidP="00BA7DA4"/>
    <w:p w14:paraId="025D5DE6" w14:textId="77777777" w:rsidR="00BA7DA4" w:rsidRPr="00BA7DA4" w:rsidRDefault="00BA7DA4" w:rsidP="00BA7DA4"/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F34007" w:rsidRPr="00FB67A6" w14:paraId="0C0217B1" w14:textId="77777777" w:rsidTr="006C1D84">
        <w:trPr>
          <w:trHeight w:val="556"/>
        </w:trPr>
        <w:tc>
          <w:tcPr>
            <w:tcW w:w="1128" w:type="dxa"/>
            <w:shd w:val="clear" w:color="auto" w:fill="C5D9F0"/>
          </w:tcPr>
          <w:p w14:paraId="2D9C00CA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54D71854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5ACD2B47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F34007" w:rsidRPr="00FB67A6" w14:paraId="275B56C1" w14:textId="77777777" w:rsidTr="006C1D84">
        <w:trPr>
          <w:trHeight w:val="316"/>
        </w:trPr>
        <w:tc>
          <w:tcPr>
            <w:tcW w:w="1128" w:type="dxa"/>
          </w:tcPr>
          <w:p w14:paraId="47538D0F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6B575548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106FAD63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F34007" w:rsidRPr="00FB67A6" w14:paraId="1B2AC643" w14:textId="77777777" w:rsidTr="006C1D84">
        <w:trPr>
          <w:trHeight w:val="314"/>
        </w:trPr>
        <w:tc>
          <w:tcPr>
            <w:tcW w:w="1128" w:type="dxa"/>
          </w:tcPr>
          <w:p w14:paraId="761BEEE5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28A8BDA8" w14:textId="0B501E84" w:rsidR="00F34007" w:rsidRPr="00FB67A6" w:rsidRDefault="006C1D84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6C809040" w14:textId="510C6E8E" w:rsidR="00F34007" w:rsidRPr="00FB67A6" w:rsidRDefault="006C1D84" w:rsidP="00122A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ИИ 9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  <w:lang w:val="en-US"/>
              </w:rPr>
              <w:footnoteReference w:id="6"/>
            </w: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и ИИ 10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  <w:lang w:val="en-US"/>
              </w:rPr>
              <w:footnoteReference w:id="7"/>
            </w:r>
          </w:p>
        </w:tc>
      </w:tr>
      <w:tr w:rsidR="00F34007" w:rsidRPr="00FB67A6" w14:paraId="21A64003" w14:textId="77777777" w:rsidTr="006C1D84">
        <w:trPr>
          <w:trHeight w:val="316"/>
        </w:trPr>
        <w:tc>
          <w:tcPr>
            <w:tcW w:w="1128" w:type="dxa"/>
          </w:tcPr>
          <w:p w14:paraId="5304B81A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7717AD63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6263970A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Подадени заявки за патент</w:t>
            </w:r>
          </w:p>
        </w:tc>
      </w:tr>
      <w:tr w:rsidR="00F34007" w:rsidRPr="00FB67A6" w14:paraId="18837A50" w14:textId="77777777" w:rsidTr="006C1D84">
        <w:trPr>
          <w:trHeight w:val="313"/>
        </w:trPr>
        <w:tc>
          <w:tcPr>
            <w:tcW w:w="1128" w:type="dxa"/>
          </w:tcPr>
          <w:p w14:paraId="01F283B8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35" w:type="dxa"/>
          </w:tcPr>
          <w:p w14:paraId="4FB3C80A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3F0E0931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заявки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за патент</w:t>
            </w:r>
          </w:p>
        </w:tc>
      </w:tr>
      <w:tr w:rsidR="00F34007" w:rsidRPr="00FB67A6" w14:paraId="53AD5FBE" w14:textId="77777777" w:rsidTr="006C1D84">
        <w:trPr>
          <w:trHeight w:val="314"/>
        </w:trPr>
        <w:tc>
          <w:tcPr>
            <w:tcW w:w="1128" w:type="dxa"/>
          </w:tcPr>
          <w:p w14:paraId="06F81CEB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777A0C47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203606BE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 резултат</w:t>
            </w:r>
          </w:p>
        </w:tc>
      </w:tr>
      <w:tr w:rsidR="00F34007" w:rsidRPr="00FB67A6" w14:paraId="103F9508" w14:textId="77777777" w:rsidTr="006C1D84">
        <w:trPr>
          <w:trHeight w:val="314"/>
        </w:trPr>
        <w:tc>
          <w:tcPr>
            <w:tcW w:w="1128" w:type="dxa"/>
          </w:tcPr>
          <w:p w14:paraId="3D3EE91F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31820FB9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65A1EE4B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6C1D84" w:rsidRPr="00FB67A6" w14:paraId="725664A4" w14:textId="77777777" w:rsidTr="006C1D84">
        <w:trPr>
          <w:trHeight w:val="314"/>
        </w:trPr>
        <w:tc>
          <w:tcPr>
            <w:tcW w:w="1128" w:type="dxa"/>
          </w:tcPr>
          <w:p w14:paraId="724508F4" w14:textId="2CFD8687" w:rsidR="006C1D84" w:rsidRPr="006F34B1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5D75698E" w14:textId="2651833D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7C5F6298" w14:textId="556143DC" w:rsidR="006C1D84" w:rsidRPr="00FB67A6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6C1D84" w:rsidRPr="00FB67A6" w14:paraId="4F7262E7" w14:textId="77777777" w:rsidTr="006C1D84">
        <w:trPr>
          <w:trHeight w:val="314"/>
        </w:trPr>
        <w:tc>
          <w:tcPr>
            <w:tcW w:w="1128" w:type="dxa"/>
          </w:tcPr>
          <w:p w14:paraId="775FD87E" w14:textId="77D451E2" w:rsidR="006C1D84" w:rsidRPr="006F34B1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7</w:t>
            </w:r>
          </w:p>
        </w:tc>
        <w:tc>
          <w:tcPr>
            <w:tcW w:w="1935" w:type="dxa"/>
          </w:tcPr>
          <w:p w14:paraId="33014FC9" w14:textId="27563A4C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545EAF28" w14:textId="32073E5E" w:rsidR="006C1D84" w:rsidRPr="00D82EBF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След одобрението на финалния отчет</w:t>
            </w:r>
          </w:p>
        </w:tc>
      </w:tr>
      <w:tr w:rsidR="00F34007" w:rsidRPr="00FB67A6" w14:paraId="7BB54CF5" w14:textId="77777777" w:rsidTr="006C1D84">
        <w:trPr>
          <w:trHeight w:val="313"/>
        </w:trPr>
        <w:tc>
          <w:tcPr>
            <w:tcW w:w="1128" w:type="dxa"/>
          </w:tcPr>
          <w:p w14:paraId="72491BCB" w14:textId="23FCB68B" w:rsidR="00F34007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8</w:t>
            </w:r>
          </w:p>
        </w:tc>
        <w:tc>
          <w:tcPr>
            <w:tcW w:w="1935" w:type="dxa"/>
          </w:tcPr>
          <w:p w14:paraId="79BC3FD1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45E9258B" w14:textId="506F571D" w:rsidR="00F34007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sz w:val="20"/>
                <w:lang w:val="en-US"/>
              </w:rPr>
              <w:t>RSO2.6. Насърчаване на прехода към кръгова и основаваща се на ефективно използване на ресурсите икономика</w:t>
            </w:r>
            <w:r w:rsidR="00F34007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1C521FA3" w14:textId="77777777" w:rsidR="00F34007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5947766" w14:textId="77777777" w:rsidR="00F34007" w:rsidRPr="00524030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4007" w:rsidRPr="00FB67A6" w14:paraId="68546E0A" w14:textId="77777777" w:rsidTr="006C1D84">
        <w:trPr>
          <w:trHeight w:val="1544"/>
        </w:trPr>
        <w:tc>
          <w:tcPr>
            <w:tcW w:w="1128" w:type="dxa"/>
          </w:tcPr>
          <w:p w14:paraId="75564917" w14:textId="7D30311F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6C1D84">
              <w:rPr>
                <w:rFonts w:ascii="Times New Roman" w:eastAsia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935" w:type="dxa"/>
          </w:tcPr>
          <w:p w14:paraId="0A3EDB63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28732B53" w14:textId="77777777" w:rsidR="00F34007" w:rsidRPr="00FB67A6" w:rsidRDefault="00F34007" w:rsidP="006F34B1">
            <w:pPr>
              <w:widowControl w:val="0"/>
              <w:autoSpaceDE w:val="0"/>
              <w:autoSpaceDN w:val="0"/>
              <w:spacing w:after="0" w:line="225" w:lineRule="exact"/>
              <w:ind w:right="285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Брой подадени и валидирани</w:t>
            </w:r>
            <w:r>
              <w:rPr>
                <w:rStyle w:val="FootnoteReference"/>
                <w:rFonts w:ascii="Times New Roman" w:eastAsia="Times New Roman" w:hAnsi="Times New Roman" w:cs="Times New Roman"/>
                <w:sz w:val="20"/>
                <w:lang w:val="en-US"/>
              </w:rPr>
              <w:footnoteReference w:id="8"/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заявления за патент („подаване“),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в резултат на изпълнението на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подкрепени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те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проекти.</w:t>
            </w:r>
            <w:r w:rsidRPr="00FB67A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14:paraId="6551D821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 w:right="285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0FDD670C" w14:textId="77777777" w:rsidR="00F34007" w:rsidRPr="00FB67A6" w:rsidRDefault="00F34007" w:rsidP="006F34B1">
            <w:pPr>
              <w:widowControl w:val="0"/>
              <w:autoSpaceDE w:val="0"/>
              <w:autoSpaceDN w:val="0"/>
              <w:spacing w:after="0" w:line="230" w:lineRule="exact"/>
              <w:ind w:right="164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Подкрепеният проект трябва да има ясно разпознаваем принос към патента, за който е подадена заявката. </w:t>
            </w:r>
          </w:p>
          <w:p w14:paraId="3BC6F0E8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30" w:lineRule="exact"/>
              <w:ind w:left="107" w:right="164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5A14BAF0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Заяв</w:t>
            </w:r>
            <w:r>
              <w:rPr>
                <w:rFonts w:ascii="Times New Roman" w:eastAsia="Times New Roman" w:hAnsi="Times New Roman" w:cs="Times New Roman"/>
                <w:sz w:val="20"/>
              </w:rPr>
              <w:t>ките</w:t>
            </w: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за патенти за дизайн са включени в индикатора RCR07.</w:t>
            </w:r>
          </w:p>
        </w:tc>
      </w:tr>
    </w:tbl>
    <w:p w14:paraId="4B5CA74D" w14:textId="355E2DBF" w:rsidR="00FB67A6" w:rsidRDefault="00FB67A6" w:rsidP="00BA7DA4"/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718"/>
      </w:tblGrid>
      <w:tr w:rsidR="00F34007" w:rsidRPr="00FB67A6" w14:paraId="2CFDFD43" w14:textId="77777777" w:rsidTr="006C1D84">
        <w:trPr>
          <w:trHeight w:val="556"/>
        </w:trPr>
        <w:tc>
          <w:tcPr>
            <w:tcW w:w="1128" w:type="dxa"/>
            <w:shd w:val="clear" w:color="auto" w:fill="C5D9F0"/>
          </w:tcPr>
          <w:p w14:paraId="2349811B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55EAA892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Поле</w:t>
            </w:r>
          </w:p>
        </w:tc>
        <w:tc>
          <w:tcPr>
            <w:tcW w:w="6718" w:type="dxa"/>
            <w:shd w:val="clear" w:color="auto" w:fill="C5D9F0"/>
          </w:tcPr>
          <w:p w14:paraId="2651D8FC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Данни за 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Индикатор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>а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</w:tr>
      <w:tr w:rsidR="00F34007" w:rsidRPr="00FB67A6" w14:paraId="65EFB4DA" w14:textId="77777777" w:rsidTr="006C1D84">
        <w:trPr>
          <w:trHeight w:val="316"/>
        </w:trPr>
        <w:tc>
          <w:tcPr>
            <w:tcW w:w="1128" w:type="dxa"/>
          </w:tcPr>
          <w:p w14:paraId="26E9B248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  <w:tc>
          <w:tcPr>
            <w:tcW w:w="1935" w:type="dxa"/>
          </w:tcPr>
          <w:p w14:paraId="6E693DCF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Фонд</w:t>
            </w:r>
          </w:p>
        </w:tc>
        <w:tc>
          <w:tcPr>
            <w:tcW w:w="6718" w:type="dxa"/>
          </w:tcPr>
          <w:p w14:paraId="56751D3E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</w:rPr>
              <w:t>ЕФРР</w:t>
            </w:r>
          </w:p>
        </w:tc>
      </w:tr>
      <w:tr w:rsidR="00F34007" w:rsidRPr="00FB67A6" w14:paraId="70B56385" w14:textId="77777777" w:rsidTr="006C1D84">
        <w:trPr>
          <w:trHeight w:val="314"/>
        </w:trPr>
        <w:tc>
          <w:tcPr>
            <w:tcW w:w="1128" w:type="dxa"/>
          </w:tcPr>
          <w:p w14:paraId="37FA0D86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1935" w:type="dxa"/>
          </w:tcPr>
          <w:p w14:paraId="0EE5B0F7" w14:textId="2158B6FA" w:rsidR="00F34007" w:rsidRPr="00FB67A6" w:rsidRDefault="006C1D84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</w:rPr>
              <w:t>Код на Индикатора</w:t>
            </w:r>
          </w:p>
        </w:tc>
        <w:tc>
          <w:tcPr>
            <w:tcW w:w="6718" w:type="dxa"/>
          </w:tcPr>
          <w:p w14:paraId="1CC29AB2" w14:textId="4455D4A1" w:rsidR="00F34007" w:rsidRPr="006F34B1" w:rsidRDefault="006C1D84" w:rsidP="00122A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ИИ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6C1D8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11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  <w:lang w:val="en-US"/>
              </w:rPr>
              <w:footnoteReference w:id="9"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и ИИ 12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</w:rPr>
              <w:footnoteReference w:id="10"/>
            </w:r>
          </w:p>
        </w:tc>
      </w:tr>
      <w:tr w:rsidR="00F34007" w:rsidRPr="00FB67A6" w14:paraId="2D3BBB59" w14:textId="77777777" w:rsidTr="006C1D84">
        <w:trPr>
          <w:trHeight w:val="316"/>
        </w:trPr>
        <w:tc>
          <w:tcPr>
            <w:tcW w:w="1128" w:type="dxa"/>
          </w:tcPr>
          <w:p w14:paraId="79B7E2BE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1935" w:type="dxa"/>
          </w:tcPr>
          <w:p w14:paraId="1E8295ED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r w:rsidRPr="00FB67A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на индикатора</w:t>
            </w:r>
          </w:p>
        </w:tc>
        <w:tc>
          <w:tcPr>
            <w:tcW w:w="6718" w:type="dxa"/>
          </w:tcPr>
          <w:p w14:paraId="12BE652A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Заявки за търговска марка и дизайн</w:t>
            </w:r>
          </w:p>
        </w:tc>
      </w:tr>
      <w:tr w:rsidR="00F34007" w:rsidRPr="00FB67A6" w14:paraId="0AA5D174" w14:textId="77777777" w:rsidTr="006C1D84">
        <w:trPr>
          <w:trHeight w:val="313"/>
        </w:trPr>
        <w:tc>
          <w:tcPr>
            <w:tcW w:w="1128" w:type="dxa"/>
          </w:tcPr>
          <w:p w14:paraId="678F1CEC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1935" w:type="dxa"/>
          </w:tcPr>
          <w:p w14:paraId="78557088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Мерна единица </w:t>
            </w:r>
          </w:p>
        </w:tc>
        <w:tc>
          <w:tcPr>
            <w:tcW w:w="6718" w:type="dxa"/>
          </w:tcPr>
          <w:p w14:paraId="00CB19B4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заявки за търговска марк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и дизайн</w:t>
            </w:r>
          </w:p>
        </w:tc>
      </w:tr>
      <w:tr w:rsidR="00F34007" w:rsidRPr="00FB67A6" w14:paraId="7F4F61E8" w14:textId="77777777" w:rsidTr="006C1D84">
        <w:trPr>
          <w:trHeight w:val="314"/>
        </w:trPr>
        <w:tc>
          <w:tcPr>
            <w:tcW w:w="1128" w:type="dxa"/>
          </w:tcPr>
          <w:p w14:paraId="1661186D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1935" w:type="dxa"/>
          </w:tcPr>
          <w:p w14:paraId="25F2BEF1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>Вид на индикатора</w:t>
            </w:r>
          </w:p>
        </w:tc>
        <w:tc>
          <w:tcPr>
            <w:tcW w:w="6718" w:type="dxa"/>
          </w:tcPr>
          <w:p w14:paraId="6C93DB42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за резултат</w:t>
            </w:r>
          </w:p>
        </w:tc>
      </w:tr>
      <w:tr w:rsidR="00F34007" w:rsidRPr="00FB67A6" w14:paraId="0FAFD10C" w14:textId="77777777" w:rsidTr="006C1D84">
        <w:trPr>
          <w:trHeight w:val="314"/>
        </w:trPr>
        <w:tc>
          <w:tcPr>
            <w:tcW w:w="1128" w:type="dxa"/>
          </w:tcPr>
          <w:p w14:paraId="236BEB4F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1935" w:type="dxa"/>
          </w:tcPr>
          <w:p w14:paraId="7E2EEA12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>Базова стойност</w:t>
            </w:r>
          </w:p>
        </w:tc>
        <w:tc>
          <w:tcPr>
            <w:tcW w:w="6718" w:type="dxa"/>
          </w:tcPr>
          <w:p w14:paraId="68D6B377" w14:textId="77777777" w:rsidR="00F34007" w:rsidRPr="00FB67A6" w:rsidRDefault="00F34007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0</w:t>
            </w:r>
          </w:p>
        </w:tc>
      </w:tr>
      <w:tr w:rsidR="006C1D84" w:rsidRPr="00FB67A6" w14:paraId="6E780E3B" w14:textId="77777777" w:rsidTr="006C1D84">
        <w:trPr>
          <w:trHeight w:val="314"/>
        </w:trPr>
        <w:tc>
          <w:tcPr>
            <w:tcW w:w="1128" w:type="dxa"/>
          </w:tcPr>
          <w:p w14:paraId="66F373A7" w14:textId="4B5DF734" w:rsidR="006C1D84" w:rsidRPr="006F34B1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6</w:t>
            </w:r>
          </w:p>
        </w:tc>
        <w:tc>
          <w:tcPr>
            <w:tcW w:w="1935" w:type="dxa"/>
          </w:tcPr>
          <w:p w14:paraId="24A8B3A6" w14:textId="5B42CDD5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Източни</w:t>
            </w:r>
            <w:r w:rsidR="004915C5"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 данни</w:t>
            </w:r>
          </w:p>
        </w:tc>
        <w:tc>
          <w:tcPr>
            <w:tcW w:w="6718" w:type="dxa"/>
          </w:tcPr>
          <w:p w14:paraId="7700A2F2" w14:textId="0F7543D0" w:rsidR="006C1D84" w:rsidRPr="004A2444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Мониторинговата система/Финален отчет</w:t>
            </w:r>
          </w:p>
        </w:tc>
      </w:tr>
      <w:tr w:rsidR="006C1D84" w:rsidRPr="00FB67A6" w14:paraId="3BA35735" w14:textId="77777777" w:rsidTr="006C1D84">
        <w:trPr>
          <w:trHeight w:val="314"/>
        </w:trPr>
        <w:tc>
          <w:tcPr>
            <w:tcW w:w="1128" w:type="dxa"/>
          </w:tcPr>
          <w:p w14:paraId="0EC6D211" w14:textId="18A3BEC1" w:rsidR="006C1D84" w:rsidRPr="006F34B1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lastRenderedPageBreak/>
              <w:t>7</w:t>
            </w:r>
          </w:p>
        </w:tc>
        <w:tc>
          <w:tcPr>
            <w:tcW w:w="1935" w:type="dxa"/>
          </w:tcPr>
          <w:p w14:paraId="7C75878D" w14:textId="5CD9A896" w:rsidR="006C1D84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Кога се измерва постигането му</w:t>
            </w:r>
          </w:p>
        </w:tc>
        <w:tc>
          <w:tcPr>
            <w:tcW w:w="6718" w:type="dxa"/>
          </w:tcPr>
          <w:p w14:paraId="43DE20F6" w14:textId="25255E5B" w:rsidR="006C1D84" w:rsidRPr="004A2444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След одобрението на финалния отчет</w:t>
            </w:r>
          </w:p>
        </w:tc>
      </w:tr>
      <w:tr w:rsidR="00F34007" w:rsidRPr="00FB67A6" w14:paraId="402D7C4B" w14:textId="77777777" w:rsidTr="006C1D84">
        <w:trPr>
          <w:trHeight w:val="313"/>
        </w:trPr>
        <w:tc>
          <w:tcPr>
            <w:tcW w:w="1128" w:type="dxa"/>
          </w:tcPr>
          <w:p w14:paraId="04555DEE" w14:textId="5609F1B5" w:rsidR="00F34007" w:rsidRPr="00FB67A6" w:rsidRDefault="006C1D84" w:rsidP="006C1D84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8</w:t>
            </w:r>
          </w:p>
        </w:tc>
        <w:tc>
          <w:tcPr>
            <w:tcW w:w="1935" w:type="dxa"/>
          </w:tcPr>
          <w:p w14:paraId="5A01267C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Специфична цел </w:t>
            </w:r>
            <w:r w:rsidRPr="00FB67A6">
              <w:rPr>
                <w:rFonts w:ascii="Times New Roman" w:eastAsia="Times New Roman" w:hAnsi="Times New Roman" w:cs="Times New Roman"/>
                <w:sz w:val="20"/>
              </w:rPr>
              <w:t>от ПКИП, за която се прилага</w:t>
            </w:r>
          </w:p>
        </w:tc>
        <w:tc>
          <w:tcPr>
            <w:tcW w:w="6718" w:type="dxa"/>
          </w:tcPr>
          <w:p w14:paraId="792E57A2" w14:textId="56CE69EC" w:rsidR="00F34007" w:rsidRDefault="006C1D84" w:rsidP="00122A4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C1D84">
              <w:rPr>
                <w:rFonts w:ascii="Times New Roman" w:eastAsia="Times New Roman" w:hAnsi="Times New Roman" w:cs="Times New Roman"/>
                <w:sz w:val="20"/>
                <w:lang w:val="en-US"/>
              </w:rPr>
              <w:t>RSO2.6. Насърчаване на прехода към кръгова и основаваща се на ефективно използване на ресурсите икономика</w:t>
            </w:r>
            <w:r w:rsidR="00F34007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01E4D3F9" w14:textId="77777777" w:rsidR="00F34007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2A49D25" w14:textId="77777777" w:rsidR="00F34007" w:rsidRPr="00524030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4007" w:rsidRPr="00FB67A6" w14:paraId="57AE5EBF" w14:textId="77777777" w:rsidTr="006C1D84">
        <w:trPr>
          <w:trHeight w:val="1544"/>
        </w:trPr>
        <w:tc>
          <w:tcPr>
            <w:tcW w:w="1128" w:type="dxa"/>
          </w:tcPr>
          <w:p w14:paraId="2C0630A6" w14:textId="39901D2F" w:rsidR="00F34007" w:rsidRPr="00FB67A6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6C1D84">
              <w:rPr>
                <w:rFonts w:ascii="Times New Roman" w:eastAsia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935" w:type="dxa"/>
          </w:tcPr>
          <w:p w14:paraId="04851D43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</w:t>
            </w:r>
            <w:r w:rsidRPr="00FB67A6">
              <w:rPr>
                <w:rFonts w:ascii="Times New Roman" w:eastAsia="Times New Roman" w:hAnsi="Times New Roman" w:cs="Times New Roman"/>
                <w:spacing w:val="-1"/>
                <w:sz w:val="20"/>
                <w:lang w:val="en-US"/>
              </w:rPr>
              <w:t xml:space="preserve"> и понятия </w:t>
            </w:r>
          </w:p>
        </w:tc>
        <w:tc>
          <w:tcPr>
            <w:tcW w:w="6718" w:type="dxa"/>
          </w:tcPr>
          <w:p w14:paraId="01C0355D" w14:textId="77777777" w:rsidR="00F34007" w:rsidRPr="004A2444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Брой заявки за търговски марки на ЕС и дизайни на Общността, подадени и валидирани</w:t>
            </w:r>
            <w:r w:rsidRPr="004A2444">
              <w:rPr>
                <w:rFonts w:ascii="Times New Roman" w:eastAsia="Times New Roman" w:hAnsi="Times New Roman" w:cs="Times New Roman"/>
                <w:sz w:val="20"/>
                <w:vertAlign w:val="superscript"/>
                <w:lang w:val="en-US"/>
              </w:rPr>
              <w:footnoteReference w:id="11"/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(„подаване“),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в резултат от изпълнението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 xml:space="preserve">на 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подкрепения проект. </w:t>
            </w:r>
          </w:p>
          <w:p w14:paraId="45CBCFBB" w14:textId="77777777" w:rsidR="00F34007" w:rsidRPr="004A2444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36ED1373" w14:textId="77777777" w:rsidR="00F34007" w:rsidRPr="004A2444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Подкрепеният проект трябва да има ясно разпознаваем принос към търговската марка или дизайна, за които се кандидатства.</w:t>
            </w:r>
          </w:p>
          <w:p w14:paraId="400FFD71" w14:textId="77777777" w:rsidR="00F34007" w:rsidRPr="004A2444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407AA9A6" w14:textId="77777777" w:rsidR="00F34007" w:rsidRPr="004A2444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Търговската марка се отнася до думи, символи или други знаци, които се използват от фирмите, за разгранича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ване на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техните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продукти или услуги от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 xml:space="preserve">тези, 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предлагани от други. Заявката за търговска марка на Европейския съюз трябва да бъде подадена и валидирана в Службата на Европейския съюз за интелектуална собственост (EUIPO).</w:t>
            </w:r>
          </w:p>
          <w:p w14:paraId="3CCB17BA" w14:textId="77777777" w:rsidR="00F34007" w:rsidRPr="004A2444" w:rsidRDefault="00F34007" w:rsidP="006C1D84">
            <w:pPr>
              <w:widowControl w:val="0"/>
              <w:autoSpaceDE w:val="0"/>
              <w:autoSpaceDN w:val="0"/>
              <w:spacing w:after="0" w:line="225" w:lineRule="exact"/>
              <w:ind w:left="107" w:right="33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565A0CEA" w14:textId="77777777" w:rsidR="00F34007" w:rsidRPr="00FB67A6" w:rsidRDefault="00F34007" w:rsidP="006C1D84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Дизайнът се отнася до „външния вид на целия или част от продукт, произтичащ от характеристиките, по-специално линиите, контурите, цветовете, формата, текстурата и/или материала на самия продукт, и/или негов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ата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орнамент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ация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. Индикаторът обхваща заявления за регистриран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е на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дизайн на Общността. Заявката за регистриране на дизайн на 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Общността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трябва да бъде подаденa и валидиранa в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>Служба</w:t>
            </w:r>
            <w:r w:rsidRPr="004A2444">
              <w:rPr>
                <w:rFonts w:ascii="Times New Roman" w:eastAsia="Times New Roman" w:hAnsi="Times New Roman" w:cs="Times New Roman"/>
                <w:sz w:val="20"/>
              </w:rPr>
              <w:t>та</w:t>
            </w:r>
            <w:r w:rsidRPr="004A244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на Европейския съюз за интелектуална собственост (EUIPO). </w:t>
            </w:r>
          </w:p>
        </w:tc>
      </w:tr>
    </w:tbl>
    <w:p w14:paraId="790DD8F7" w14:textId="50D2AC00" w:rsidR="00F34007" w:rsidRDefault="00F34007" w:rsidP="00BA7DA4"/>
    <w:p w14:paraId="3D1D53D1" w14:textId="5705619D" w:rsidR="006F34B1" w:rsidRPr="00671A23" w:rsidRDefault="00486568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671A23">
        <w:rPr>
          <w:rFonts w:ascii="Times New Roman" w:hAnsi="Times New Roman" w:cs="Times New Roman"/>
          <w:b/>
          <w:sz w:val="24"/>
          <w:szCs w:val="24"/>
        </w:rPr>
        <w:t xml:space="preserve">Допълнителна информация по отношение на индикаторите е представена в Примерните указания за попълване на електронния Формуляр за кандидатстване – Приложение 10, където </w:t>
      </w:r>
      <w:r w:rsidR="007A4FD4" w:rsidRPr="00671A23">
        <w:rPr>
          <w:rFonts w:ascii="Times New Roman" w:hAnsi="Times New Roman" w:cs="Times New Roman"/>
          <w:b/>
          <w:sz w:val="24"/>
          <w:szCs w:val="24"/>
        </w:rPr>
        <w:t>са дадени</w:t>
      </w:r>
      <w:r w:rsidR="006F34B1" w:rsidRPr="00671A23">
        <w:rPr>
          <w:rFonts w:ascii="Times New Roman" w:hAnsi="Times New Roman" w:cs="Times New Roman"/>
          <w:b/>
          <w:sz w:val="24"/>
          <w:szCs w:val="24"/>
        </w:rPr>
        <w:t xml:space="preserve"> подробни насоки относно всеки един от индикаторите и тяхната приложимост за отделните проектни приложения.</w:t>
      </w:r>
    </w:p>
    <w:sectPr w:rsidR="006F34B1" w:rsidRPr="00671A23" w:rsidSect="00E972BC">
      <w:headerReference w:type="default" r:id="rId7"/>
      <w:pgSz w:w="11906" w:h="16838"/>
      <w:pgMar w:top="1417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EBADC" w14:textId="77777777" w:rsidR="008F3983" w:rsidRDefault="008F3983" w:rsidP="00FB67A6">
      <w:pPr>
        <w:spacing w:after="0" w:line="240" w:lineRule="auto"/>
      </w:pPr>
      <w:r>
        <w:separator/>
      </w:r>
    </w:p>
  </w:endnote>
  <w:endnote w:type="continuationSeparator" w:id="0">
    <w:p w14:paraId="4AF5A12E" w14:textId="77777777" w:rsidR="008F3983" w:rsidRDefault="008F3983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EFE55" w14:textId="77777777" w:rsidR="008F3983" w:rsidRDefault="008F3983" w:rsidP="00FB67A6">
      <w:pPr>
        <w:spacing w:after="0" w:line="240" w:lineRule="auto"/>
      </w:pPr>
      <w:r>
        <w:separator/>
      </w:r>
    </w:p>
  </w:footnote>
  <w:footnote w:type="continuationSeparator" w:id="0">
    <w:p w14:paraId="616AD829" w14:textId="77777777" w:rsidR="008F3983" w:rsidRDefault="008F3983" w:rsidP="00FB67A6">
      <w:pPr>
        <w:spacing w:after="0" w:line="240" w:lineRule="auto"/>
      </w:pPr>
      <w:r>
        <w:continuationSeparator/>
      </w:r>
    </w:p>
  </w:footnote>
  <w:footnote w:id="1">
    <w:p w14:paraId="19BEB497" w14:textId="010A172C" w:rsidR="006F34B1" w:rsidRDefault="006F34B1" w:rsidP="00E972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F34B1">
        <w:t xml:space="preserve">Настоящото приложение е изготвено въз основа </w:t>
      </w:r>
      <w:r w:rsidR="00E972BC">
        <w:t xml:space="preserve">на </w:t>
      </w:r>
      <w:r w:rsidRPr="006F34B1">
        <w:t>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г., като са отчетени спецификите на процедурата, по която ще се  отчитат съответните индикатори.</w:t>
      </w:r>
    </w:p>
  </w:footnote>
  <w:footnote w:id="2">
    <w:p w14:paraId="7A3EC6B5" w14:textId="77777777" w:rsidR="006C1D84" w:rsidRDefault="006C1D84" w:rsidP="006C1D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4F9D">
        <w:t>За целите на индикатора окончателно одобрени</w:t>
      </w:r>
      <w:r>
        <w:t>е на заявлението не е задължително условие</w:t>
      </w:r>
      <w:r w:rsidRPr="00414F9D">
        <w:t>.</w:t>
      </w:r>
    </w:p>
  </w:footnote>
  <w:footnote w:id="3">
    <w:p w14:paraId="7080CE08" w14:textId="77777777" w:rsidR="006C1D84" w:rsidRDefault="006C1D84" w:rsidP="006C1D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4F9D">
        <w:t>За целите на индикатора окончателно одобрени</w:t>
      </w:r>
      <w:r>
        <w:t>е на заявлението не е задължително условие.</w:t>
      </w:r>
    </w:p>
  </w:footnote>
  <w:footnote w:id="4">
    <w:p w14:paraId="15A47FD8" w14:textId="53ADA868" w:rsidR="006C1D84" w:rsidRDefault="006C1D84">
      <w:pPr>
        <w:pStyle w:val="FootnoteText"/>
      </w:pPr>
      <w:r>
        <w:rPr>
          <w:rStyle w:val="FootnoteReference"/>
        </w:rPr>
        <w:footnoteRef/>
      </w:r>
      <w:r>
        <w:t xml:space="preserve"> За проекти, изпълнявани в </w:t>
      </w:r>
      <w:r w:rsidRPr="006C1D84">
        <w:t>Регион в преход</w:t>
      </w:r>
      <w:r>
        <w:t>.</w:t>
      </w:r>
    </w:p>
  </w:footnote>
  <w:footnote w:id="5">
    <w:p w14:paraId="01AE9A0B" w14:textId="4406CB2F" w:rsidR="006C1D84" w:rsidRDefault="006C1D84">
      <w:pPr>
        <w:pStyle w:val="FootnoteText"/>
      </w:pPr>
      <w:r>
        <w:rPr>
          <w:rStyle w:val="FootnoteReference"/>
        </w:rPr>
        <w:footnoteRef/>
      </w:r>
      <w:r>
        <w:t xml:space="preserve"> За проекти, изпълнявани в </w:t>
      </w:r>
      <w:r w:rsidRPr="006C1D84">
        <w:t>По-слабо развит</w:t>
      </w:r>
      <w:r>
        <w:t>.</w:t>
      </w:r>
    </w:p>
  </w:footnote>
  <w:footnote w:id="6">
    <w:p w14:paraId="6C9F7C37" w14:textId="5994FEFB" w:rsidR="006C1D84" w:rsidRDefault="006C1D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1D84">
        <w:t>За проекти, изпълнявани в Регион в преход</w:t>
      </w:r>
      <w:r>
        <w:t>.</w:t>
      </w:r>
    </w:p>
  </w:footnote>
  <w:footnote w:id="7">
    <w:p w14:paraId="64FA158D" w14:textId="1FD215A4" w:rsidR="006C1D84" w:rsidRDefault="006C1D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1D84">
        <w:t>За проекти, изпълнявани в По-слабо развит</w:t>
      </w:r>
      <w:r>
        <w:t>.</w:t>
      </w:r>
    </w:p>
  </w:footnote>
  <w:footnote w:id="8">
    <w:p w14:paraId="0A0E6235" w14:textId="77777777" w:rsidR="006C1D84" w:rsidRDefault="006C1D84" w:rsidP="00F340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4F9D">
        <w:t>За целите на индикатора окончателно одобрени</w:t>
      </w:r>
      <w:r>
        <w:t>е на заявлението не е задължително условие</w:t>
      </w:r>
      <w:r w:rsidRPr="00414F9D">
        <w:t>.</w:t>
      </w:r>
    </w:p>
  </w:footnote>
  <w:footnote w:id="9">
    <w:p w14:paraId="6329A727" w14:textId="526A713A" w:rsidR="006C1D84" w:rsidRDefault="006C1D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1D84">
        <w:t>За проекти, изпълнявани в Регион в преход.</w:t>
      </w:r>
    </w:p>
  </w:footnote>
  <w:footnote w:id="10">
    <w:p w14:paraId="2BCB03B9" w14:textId="15FF2016" w:rsidR="006C1D84" w:rsidRDefault="006C1D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9246F" w:rsidRPr="0019246F">
        <w:t>За проекти, изпълнявани в По-слабо развит.</w:t>
      </w:r>
    </w:p>
  </w:footnote>
  <w:footnote w:id="11">
    <w:p w14:paraId="5775BB3F" w14:textId="77777777" w:rsidR="006C1D84" w:rsidRDefault="006C1D84" w:rsidP="00F340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4F9D">
        <w:t>За целите на индикатора окончателно одобрени</w:t>
      </w:r>
      <w:r>
        <w:t>е на заявлението не е задължително условие.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19"/>
      <w:gridCol w:w="3577"/>
    </w:tblGrid>
    <w:tr w:rsidR="006C1D84" w:rsidRPr="00FB67A6" w14:paraId="3B564A06" w14:textId="77777777" w:rsidTr="006C1D84">
      <w:trPr>
        <w:trHeight w:val="684"/>
      </w:trPr>
      <w:tc>
        <w:tcPr>
          <w:tcW w:w="3276" w:type="dxa"/>
        </w:tcPr>
        <w:p w14:paraId="3F2A7A46" w14:textId="77777777" w:rsidR="006C1D84" w:rsidRPr="00FB67A6" w:rsidRDefault="006C1D84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5BA1938A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  <w:p w14:paraId="60A5F33E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  <w:p w14:paraId="597170C2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6FFF9725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F06B4">
            <w:rPr>
              <w:rFonts w:ascii="Calibri" w:eastAsia="Calibri" w:hAnsi="Calibri" w:cs="Times New Roman"/>
              <w:noProof/>
            </w:rPr>
            <w:fldChar w:fldCharType="begin"/>
          </w:r>
          <w:r w:rsidR="00BF06B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F06B4">
            <w:rPr>
              <w:rFonts w:ascii="Calibri" w:eastAsia="Calibri" w:hAnsi="Calibri" w:cs="Times New Roman"/>
              <w:noProof/>
            </w:rPr>
            <w:fldChar w:fldCharType="separate"/>
          </w:r>
          <w:r w:rsidR="00F770DC">
            <w:rPr>
              <w:rFonts w:ascii="Calibri" w:eastAsia="Calibri" w:hAnsi="Calibri" w:cs="Times New Roman"/>
              <w:noProof/>
            </w:rPr>
            <w:fldChar w:fldCharType="begin"/>
          </w:r>
          <w:r w:rsidR="00F770D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770DC">
            <w:rPr>
              <w:rFonts w:ascii="Calibri" w:eastAsia="Calibri" w:hAnsi="Calibri" w:cs="Times New Roman"/>
              <w:noProof/>
            </w:rPr>
            <w:fldChar w:fldCharType="separate"/>
          </w:r>
          <w:r w:rsidR="00126A34">
            <w:rPr>
              <w:rFonts w:ascii="Calibri" w:eastAsia="Calibri" w:hAnsi="Calibri" w:cs="Times New Roman"/>
              <w:noProof/>
            </w:rPr>
            <w:fldChar w:fldCharType="begin"/>
          </w:r>
          <w:r w:rsidR="00126A3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26A34">
            <w:rPr>
              <w:rFonts w:ascii="Calibri" w:eastAsia="Calibri" w:hAnsi="Calibri" w:cs="Times New Roman"/>
              <w:noProof/>
            </w:rPr>
            <w:fldChar w:fldCharType="separate"/>
          </w:r>
          <w:r w:rsidR="00473494">
            <w:rPr>
              <w:rFonts w:ascii="Calibri" w:eastAsia="Calibri" w:hAnsi="Calibri" w:cs="Times New Roman"/>
              <w:noProof/>
            </w:rPr>
            <w:fldChar w:fldCharType="begin"/>
          </w:r>
          <w:r w:rsidR="0047349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73494">
            <w:rPr>
              <w:rFonts w:ascii="Calibri" w:eastAsia="Calibri" w:hAnsi="Calibri" w:cs="Times New Roman"/>
              <w:noProof/>
            </w:rPr>
            <w:fldChar w:fldCharType="separate"/>
          </w:r>
          <w:r w:rsidR="00517C82">
            <w:rPr>
              <w:rFonts w:ascii="Calibri" w:eastAsia="Calibri" w:hAnsi="Calibri" w:cs="Times New Roman"/>
              <w:noProof/>
            </w:rPr>
            <w:fldChar w:fldCharType="begin"/>
          </w:r>
          <w:r w:rsidR="00517C8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17C82">
            <w:rPr>
              <w:rFonts w:ascii="Calibri" w:eastAsia="Calibri" w:hAnsi="Calibri" w:cs="Times New Roman"/>
              <w:noProof/>
            </w:rPr>
            <w:fldChar w:fldCharType="separate"/>
          </w:r>
          <w:r w:rsidR="007D236B">
            <w:rPr>
              <w:rFonts w:ascii="Calibri" w:eastAsia="Calibri" w:hAnsi="Calibri" w:cs="Times New Roman"/>
              <w:noProof/>
            </w:rPr>
            <w:fldChar w:fldCharType="begin"/>
          </w:r>
          <w:r w:rsidR="007D236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D236B">
            <w:rPr>
              <w:rFonts w:ascii="Calibri" w:eastAsia="Calibri" w:hAnsi="Calibri" w:cs="Times New Roman"/>
              <w:noProof/>
            </w:rPr>
            <w:fldChar w:fldCharType="separate"/>
          </w:r>
          <w:r w:rsidR="009201E5">
            <w:rPr>
              <w:rFonts w:ascii="Calibri" w:eastAsia="Calibri" w:hAnsi="Calibri" w:cs="Times New Roman"/>
              <w:noProof/>
            </w:rPr>
            <w:fldChar w:fldCharType="begin"/>
          </w:r>
          <w:r w:rsidR="009201E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01E5">
            <w:rPr>
              <w:rFonts w:ascii="Calibri" w:eastAsia="Calibri" w:hAnsi="Calibri" w:cs="Times New Roman"/>
              <w:noProof/>
            </w:rPr>
            <w:fldChar w:fldCharType="separate"/>
          </w:r>
          <w:r w:rsidR="00FF3F5E">
            <w:rPr>
              <w:rFonts w:ascii="Calibri" w:eastAsia="Calibri" w:hAnsi="Calibri" w:cs="Times New Roman"/>
              <w:noProof/>
            </w:rPr>
            <w:fldChar w:fldCharType="begin"/>
          </w:r>
          <w:r w:rsidR="00FF3F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F3F5E">
            <w:rPr>
              <w:rFonts w:ascii="Calibri" w:eastAsia="Calibri" w:hAnsi="Calibri" w:cs="Times New Roman"/>
              <w:noProof/>
            </w:rPr>
            <w:fldChar w:fldCharType="separate"/>
          </w:r>
          <w:r w:rsidR="007E0D5E">
            <w:rPr>
              <w:rFonts w:ascii="Calibri" w:eastAsia="Calibri" w:hAnsi="Calibri" w:cs="Times New Roman"/>
              <w:noProof/>
            </w:rPr>
            <w:fldChar w:fldCharType="begin"/>
          </w:r>
          <w:r w:rsidR="007E0D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E0D5E">
            <w:rPr>
              <w:rFonts w:ascii="Calibri" w:eastAsia="Calibri" w:hAnsi="Calibri" w:cs="Times New Roman"/>
              <w:noProof/>
            </w:rPr>
            <w:fldChar w:fldCharType="separate"/>
          </w:r>
          <w:r w:rsidR="00CC30AD">
            <w:rPr>
              <w:rFonts w:ascii="Calibri" w:eastAsia="Calibri" w:hAnsi="Calibri" w:cs="Times New Roman"/>
              <w:noProof/>
            </w:rPr>
            <w:fldChar w:fldCharType="begin"/>
          </w:r>
          <w:r w:rsidR="00CC30A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C30AD">
            <w:rPr>
              <w:rFonts w:ascii="Calibri" w:eastAsia="Calibri" w:hAnsi="Calibri" w:cs="Times New Roman"/>
              <w:noProof/>
            </w:rPr>
            <w:fldChar w:fldCharType="separate"/>
          </w:r>
          <w:r w:rsidR="009C32DB">
            <w:rPr>
              <w:rFonts w:ascii="Calibri" w:eastAsia="Calibri" w:hAnsi="Calibri" w:cs="Times New Roman"/>
              <w:noProof/>
            </w:rPr>
            <w:fldChar w:fldCharType="begin"/>
          </w:r>
          <w:r w:rsidR="009C32D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C32DB">
            <w:rPr>
              <w:rFonts w:ascii="Calibri" w:eastAsia="Calibri" w:hAnsi="Calibri" w:cs="Times New Roman"/>
              <w:noProof/>
            </w:rPr>
            <w:fldChar w:fldCharType="separate"/>
          </w:r>
          <w:r w:rsidR="00F0678D">
            <w:rPr>
              <w:rFonts w:ascii="Calibri" w:eastAsia="Calibri" w:hAnsi="Calibri" w:cs="Times New Roman"/>
              <w:noProof/>
            </w:rPr>
            <w:fldChar w:fldCharType="begin"/>
          </w:r>
          <w:r w:rsidR="00F0678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0678D">
            <w:rPr>
              <w:rFonts w:ascii="Calibri" w:eastAsia="Calibri" w:hAnsi="Calibri" w:cs="Times New Roman"/>
              <w:noProof/>
            </w:rPr>
            <w:fldChar w:fldCharType="separate"/>
          </w:r>
          <w:r w:rsidR="00AE3BCF">
            <w:rPr>
              <w:rFonts w:ascii="Calibri" w:eastAsia="Calibri" w:hAnsi="Calibri" w:cs="Times New Roman"/>
              <w:noProof/>
            </w:rPr>
            <w:fldChar w:fldCharType="begin"/>
          </w:r>
          <w:r w:rsidR="00AE3BC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E3BCF">
            <w:rPr>
              <w:rFonts w:ascii="Calibri" w:eastAsia="Calibri" w:hAnsi="Calibri" w:cs="Times New Roman"/>
              <w:noProof/>
            </w:rPr>
            <w:fldChar w:fldCharType="separate"/>
          </w:r>
          <w:r w:rsidR="003D6D65">
            <w:rPr>
              <w:rFonts w:ascii="Calibri" w:eastAsia="Calibri" w:hAnsi="Calibri" w:cs="Times New Roman"/>
              <w:noProof/>
            </w:rPr>
            <w:fldChar w:fldCharType="begin"/>
          </w:r>
          <w:r w:rsidR="003D6D6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D6D65">
            <w:rPr>
              <w:rFonts w:ascii="Calibri" w:eastAsia="Calibri" w:hAnsi="Calibri" w:cs="Times New Roman"/>
              <w:noProof/>
            </w:rPr>
            <w:fldChar w:fldCharType="separate"/>
          </w:r>
          <w:r w:rsidR="0014257C">
            <w:rPr>
              <w:rFonts w:ascii="Calibri" w:eastAsia="Calibri" w:hAnsi="Calibri" w:cs="Times New Roman"/>
              <w:noProof/>
            </w:rPr>
            <w:fldChar w:fldCharType="begin"/>
          </w:r>
          <w:r w:rsidR="0014257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4257C">
            <w:rPr>
              <w:rFonts w:ascii="Calibri" w:eastAsia="Calibri" w:hAnsi="Calibri" w:cs="Times New Roman"/>
              <w:noProof/>
            </w:rPr>
            <w:fldChar w:fldCharType="separate"/>
          </w:r>
          <w:r w:rsidR="008F3983">
            <w:rPr>
              <w:rFonts w:ascii="Calibri" w:eastAsia="Calibri" w:hAnsi="Calibri" w:cs="Times New Roman"/>
              <w:noProof/>
            </w:rPr>
            <w:fldChar w:fldCharType="begin"/>
          </w:r>
          <w:r w:rsidR="008F398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F3983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8F398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F3983">
            <w:rPr>
              <w:rFonts w:ascii="Calibri" w:eastAsia="Calibri" w:hAnsi="Calibri" w:cs="Times New Roman"/>
              <w:noProof/>
            </w:rPr>
            <w:fldChar w:fldCharType="separate"/>
          </w:r>
          <w:r w:rsidR="006A0B04">
            <w:rPr>
              <w:rFonts w:ascii="Calibri" w:eastAsia="Calibri" w:hAnsi="Calibri" w:cs="Times New Roman"/>
              <w:noProof/>
            </w:rPr>
            <w:pict w14:anchorId="081810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15pt;visibility:visible">
                <v:imagedata r:id="rId2" r:href="rId3"/>
              </v:shape>
            </w:pict>
          </w:r>
          <w:r w:rsidR="008F3983">
            <w:rPr>
              <w:rFonts w:ascii="Calibri" w:eastAsia="Calibri" w:hAnsi="Calibri" w:cs="Times New Roman"/>
              <w:noProof/>
            </w:rPr>
            <w:fldChar w:fldCharType="end"/>
          </w:r>
          <w:r w:rsidR="0014257C">
            <w:rPr>
              <w:rFonts w:ascii="Calibri" w:eastAsia="Calibri" w:hAnsi="Calibri" w:cs="Times New Roman"/>
              <w:noProof/>
            </w:rPr>
            <w:fldChar w:fldCharType="end"/>
          </w:r>
          <w:r w:rsidR="003D6D65">
            <w:rPr>
              <w:rFonts w:ascii="Calibri" w:eastAsia="Calibri" w:hAnsi="Calibri" w:cs="Times New Roman"/>
              <w:noProof/>
            </w:rPr>
            <w:fldChar w:fldCharType="end"/>
          </w:r>
          <w:r w:rsidR="00AE3BCF">
            <w:rPr>
              <w:rFonts w:ascii="Calibri" w:eastAsia="Calibri" w:hAnsi="Calibri" w:cs="Times New Roman"/>
              <w:noProof/>
            </w:rPr>
            <w:fldChar w:fldCharType="end"/>
          </w:r>
          <w:r w:rsidR="00F0678D">
            <w:rPr>
              <w:rFonts w:ascii="Calibri" w:eastAsia="Calibri" w:hAnsi="Calibri" w:cs="Times New Roman"/>
              <w:noProof/>
            </w:rPr>
            <w:fldChar w:fldCharType="end"/>
          </w:r>
          <w:r w:rsidR="009C32DB">
            <w:rPr>
              <w:rFonts w:ascii="Calibri" w:eastAsia="Calibri" w:hAnsi="Calibri" w:cs="Times New Roman"/>
              <w:noProof/>
            </w:rPr>
            <w:fldChar w:fldCharType="end"/>
          </w:r>
          <w:r w:rsidR="00CC30AD">
            <w:rPr>
              <w:rFonts w:ascii="Calibri" w:eastAsia="Calibri" w:hAnsi="Calibri" w:cs="Times New Roman"/>
              <w:noProof/>
            </w:rPr>
            <w:fldChar w:fldCharType="end"/>
          </w:r>
          <w:r w:rsidR="007E0D5E">
            <w:rPr>
              <w:rFonts w:ascii="Calibri" w:eastAsia="Calibri" w:hAnsi="Calibri" w:cs="Times New Roman"/>
              <w:noProof/>
            </w:rPr>
            <w:fldChar w:fldCharType="end"/>
          </w:r>
          <w:r w:rsidR="00FF3F5E">
            <w:rPr>
              <w:rFonts w:ascii="Calibri" w:eastAsia="Calibri" w:hAnsi="Calibri" w:cs="Times New Roman"/>
              <w:noProof/>
            </w:rPr>
            <w:fldChar w:fldCharType="end"/>
          </w:r>
          <w:r w:rsidR="009201E5">
            <w:rPr>
              <w:rFonts w:ascii="Calibri" w:eastAsia="Calibri" w:hAnsi="Calibri" w:cs="Times New Roman"/>
              <w:noProof/>
            </w:rPr>
            <w:fldChar w:fldCharType="end"/>
          </w:r>
          <w:r w:rsidR="007D236B">
            <w:rPr>
              <w:rFonts w:ascii="Calibri" w:eastAsia="Calibri" w:hAnsi="Calibri" w:cs="Times New Roman"/>
              <w:noProof/>
            </w:rPr>
            <w:fldChar w:fldCharType="end"/>
          </w:r>
          <w:r w:rsidR="00517C82">
            <w:rPr>
              <w:rFonts w:ascii="Calibri" w:eastAsia="Calibri" w:hAnsi="Calibri" w:cs="Times New Roman"/>
              <w:noProof/>
            </w:rPr>
            <w:fldChar w:fldCharType="end"/>
          </w:r>
          <w:r w:rsidR="00473494">
            <w:rPr>
              <w:rFonts w:ascii="Calibri" w:eastAsia="Calibri" w:hAnsi="Calibri" w:cs="Times New Roman"/>
              <w:noProof/>
            </w:rPr>
            <w:fldChar w:fldCharType="end"/>
          </w:r>
          <w:r w:rsidR="00126A34">
            <w:rPr>
              <w:rFonts w:ascii="Calibri" w:eastAsia="Calibri" w:hAnsi="Calibri" w:cs="Times New Roman"/>
              <w:noProof/>
            </w:rPr>
            <w:fldChar w:fldCharType="end"/>
          </w:r>
          <w:r w:rsidR="00F770DC">
            <w:rPr>
              <w:rFonts w:ascii="Calibri" w:eastAsia="Calibri" w:hAnsi="Calibri" w:cs="Times New Roman"/>
              <w:noProof/>
            </w:rPr>
            <w:fldChar w:fldCharType="end"/>
          </w:r>
          <w:r w:rsidR="00BF06B4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6C1D84" w:rsidRDefault="006C1D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512DE"/>
    <w:rsid w:val="00122A4A"/>
    <w:rsid w:val="00126A34"/>
    <w:rsid w:val="001373C5"/>
    <w:rsid w:val="0014257C"/>
    <w:rsid w:val="0019246F"/>
    <w:rsid w:val="001C240F"/>
    <w:rsid w:val="001D0806"/>
    <w:rsid w:val="001F74F8"/>
    <w:rsid w:val="00282CE1"/>
    <w:rsid w:val="00321527"/>
    <w:rsid w:val="00322641"/>
    <w:rsid w:val="0036282C"/>
    <w:rsid w:val="00374759"/>
    <w:rsid w:val="00387295"/>
    <w:rsid w:val="003B0361"/>
    <w:rsid w:val="003D6D65"/>
    <w:rsid w:val="00400795"/>
    <w:rsid w:val="0040474C"/>
    <w:rsid w:val="00414F9D"/>
    <w:rsid w:val="00435C76"/>
    <w:rsid w:val="00442700"/>
    <w:rsid w:val="00473494"/>
    <w:rsid w:val="00486568"/>
    <w:rsid w:val="004915C5"/>
    <w:rsid w:val="004A48F9"/>
    <w:rsid w:val="004F3C87"/>
    <w:rsid w:val="00517C82"/>
    <w:rsid w:val="00524030"/>
    <w:rsid w:val="005A0109"/>
    <w:rsid w:val="00623214"/>
    <w:rsid w:val="00651EA7"/>
    <w:rsid w:val="00671A23"/>
    <w:rsid w:val="00671F45"/>
    <w:rsid w:val="006A0B04"/>
    <w:rsid w:val="006B7079"/>
    <w:rsid w:val="006C1D84"/>
    <w:rsid w:val="006E3049"/>
    <w:rsid w:val="006F34B1"/>
    <w:rsid w:val="0076736D"/>
    <w:rsid w:val="007A4FD4"/>
    <w:rsid w:val="007D236B"/>
    <w:rsid w:val="007E0D5E"/>
    <w:rsid w:val="008537A8"/>
    <w:rsid w:val="008F3983"/>
    <w:rsid w:val="009201E5"/>
    <w:rsid w:val="009B6FFE"/>
    <w:rsid w:val="009C32DB"/>
    <w:rsid w:val="009D09D3"/>
    <w:rsid w:val="00A138FD"/>
    <w:rsid w:val="00A177C4"/>
    <w:rsid w:val="00A400C0"/>
    <w:rsid w:val="00A465D8"/>
    <w:rsid w:val="00A87F8D"/>
    <w:rsid w:val="00AE3BCF"/>
    <w:rsid w:val="00BA7DA4"/>
    <w:rsid w:val="00BA7F11"/>
    <w:rsid w:val="00BF06B4"/>
    <w:rsid w:val="00C44E76"/>
    <w:rsid w:val="00CC30AD"/>
    <w:rsid w:val="00CC66FF"/>
    <w:rsid w:val="00D51210"/>
    <w:rsid w:val="00D82EBF"/>
    <w:rsid w:val="00DB42F3"/>
    <w:rsid w:val="00E972BC"/>
    <w:rsid w:val="00EB168B"/>
    <w:rsid w:val="00F0678D"/>
    <w:rsid w:val="00F34007"/>
    <w:rsid w:val="00F46FE7"/>
    <w:rsid w:val="00F54304"/>
    <w:rsid w:val="00F770DC"/>
    <w:rsid w:val="00FB67A6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8015-1E3B-47FB-BC49-AF82882D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7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Стела</cp:lastModifiedBy>
  <cp:revision>31</cp:revision>
  <cp:lastPrinted>2023-11-02T11:49:00Z</cp:lastPrinted>
  <dcterms:created xsi:type="dcterms:W3CDTF">2023-06-19T10:59:00Z</dcterms:created>
  <dcterms:modified xsi:type="dcterms:W3CDTF">2024-01-09T14:45:00Z</dcterms:modified>
</cp:coreProperties>
</file>