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5826C" w14:textId="77777777" w:rsidR="00621201" w:rsidRDefault="00621201" w:rsidP="003B1FA7">
      <w:pPr>
        <w:spacing w:before="40" w:after="0" w:line="252" w:lineRule="auto"/>
        <w:jc w:val="center"/>
        <w:rPr>
          <w:rFonts w:ascii="Times New Roman" w:hAnsi="Times New Roman" w:cs="Times New Roman"/>
          <w:b/>
          <w:sz w:val="24"/>
          <w:szCs w:val="24"/>
        </w:rPr>
      </w:pPr>
    </w:p>
    <w:p w14:paraId="1EEB742A" w14:textId="77777777" w:rsidR="00BC26B8" w:rsidRDefault="00A83B34" w:rsidP="00BC26B8">
      <w:pPr>
        <w:spacing w:after="240"/>
        <w:jc w:val="center"/>
        <w:rPr>
          <w:rFonts w:ascii="Times New Roman" w:hAnsi="Times New Roman" w:cs="Times New Roman"/>
          <w:b/>
          <w:sz w:val="24"/>
          <w:szCs w:val="24"/>
        </w:rPr>
      </w:pPr>
      <w:bookmarkStart w:id="0" w:name="_1754489889"/>
      <w:bookmarkStart w:id="1" w:name="_1754489950"/>
      <w:bookmarkEnd w:id="0"/>
      <w:bookmarkEnd w:id="1"/>
      <w:r>
        <w:rPr>
          <w:rFonts w:ascii="Times New Roman" w:hAnsi="Times New Roman" w:cs="Times New Roman"/>
          <w:b/>
          <w:sz w:val="24"/>
          <w:szCs w:val="24"/>
        </w:rPr>
        <w:t>Приложение 1</w:t>
      </w:r>
      <w:r w:rsidR="003B3355">
        <w:rPr>
          <w:rFonts w:ascii="Times New Roman" w:hAnsi="Times New Roman" w:cs="Times New Roman"/>
          <w:b/>
          <w:sz w:val="24"/>
          <w:szCs w:val="24"/>
          <w:lang w:val="en-US"/>
        </w:rPr>
        <w:t xml:space="preserve"> </w:t>
      </w:r>
      <w:r w:rsidR="00BC26B8">
        <w:rPr>
          <w:rFonts w:ascii="Times New Roman" w:hAnsi="Times New Roman" w:cs="Times New Roman"/>
          <w:b/>
          <w:sz w:val="24"/>
          <w:szCs w:val="24"/>
        </w:rPr>
        <w:t xml:space="preserve">към </w:t>
      </w:r>
      <w:r w:rsidR="00BC26B8">
        <w:rPr>
          <w:rFonts w:ascii="Times New Roman" w:hAnsi="Times New Roman" w:cs="Times New Roman"/>
          <w:b/>
          <w:sz w:val="24"/>
          <w:szCs w:val="24"/>
        </w:rPr>
        <w:t xml:space="preserve">Методика за верифициране на разходи по процедура </w:t>
      </w:r>
      <w:r w:rsidR="00BC26B8" w:rsidRPr="00C876C4">
        <w:rPr>
          <w:rFonts w:ascii="Times New Roman" w:hAnsi="Times New Roman" w:cs="Times New Roman"/>
          <w:b/>
          <w:sz w:val="24"/>
          <w:szCs w:val="24"/>
        </w:rPr>
        <w:t xml:space="preserve">BG16RFOP002-8.001 „Подкрепа на особено засегнати от увеличението на цените на енергията МСП чрез мярка прилагана от Фонд "Сигурност на </w:t>
      </w:r>
      <w:proofErr w:type="spellStart"/>
      <w:r w:rsidR="00BC26B8" w:rsidRPr="00C876C4">
        <w:rPr>
          <w:rFonts w:ascii="Times New Roman" w:hAnsi="Times New Roman" w:cs="Times New Roman"/>
          <w:b/>
          <w:sz w:val="24"/>
          <w:szCs w:val="24"/>
        </w:rPr>
        <w:t>eлектроенергийната</w:t>
      </w:r>
      <w:proofErr w:type="spellEnd"/>
      <w:r w:rsidR="00BC26B8" w:rsidRPr="00C876C4">
        <w:rPr>
          <w:rFonts w:ascii="Times New Roman" w:hAnsi="Times New Roman" w:cs="Times New Roman"/>
          <w:b/>
          <w:sz w:val="24"/>
          <w:szCs w:val="24"/>
        </w:rPr>
        <w:t xml:space="preserve"> система" (SAFE)”</w:t>
      </w:r>
      <w:r w:rsidR="00BC26B8">
        <w:rPr>
          <w:rFonts w:ascii="Times New Roman" w:hAnsi="Times New Roman" w:cs="Times New Roman"/>
          <w:b/>
          <w:sz w:val="24"/>
          <w:szCs w:val="24"/>
        </w:rPr>
        <w:t xml:space="preserve">  и писмени доказателства по чл. 60, ал. 2 от Закона за управление на средствата от Европейските фондове при споделено управление </w:t>
      </w:r>
      <w:r w:rsidR="00BC26B8" w:rsidRPr="009E56F7">
        <w:rPr>
          <w:rFonts w:ascii="Times New Roman" w:hAnsi="Times New Roman" w:cs="Times New Roman"/>
          <w:b/>
          <w:sz w:val="24"/>
          <w:szCs w:val="24"/>
        </w:rPr>
        <w:t>(ЗУСЕФСУ</w:t>
      </w:r>
      <w:r w:rsidR="00BC26B8">
        <w:rPr>
          <w:rFonts w:ascii="Times New Roman" w:hAnsi="Times New Roman" w:cs="Times New Roman"/>
          <w:b/>
          <w:sz w:val="24"/>
          <w:szCs w:val="24"/>
        </w:rPr>
        <w:t>,</w:t>
      </w:r>
      <w:r w:rsidR="00BC26B8" w:rsidRPr="00A478C0">
        <w:rPr>
          <w:rFonts w:ascii="Times New Roman" w:hAnsi="Times New Roman" w:cs="Times New Roman"/>
          <w:b/>
          <w:sz w:val="24"/>
          <w:szCs w:val="24"/>
        </w:rPr>
        <w:t xml:space="preserve"> в редакцията му към ДВ, бр. 39 от 2022 г. по силата на § 70 от ПЗР на ЗИД на ЗУСЕСИФ</w:t>
      </w:r>
      <w:r w:rsidR="00BC26B8" w:rsidRPr="009E56F7">
        <w:rPr>
          <w:rFonts w:ascii="Times New Roman" w:hAnsi="Times New Roman" w:cs="Times New Roman"/>
          <w:b/>
          <w:sz w:val="24"/>
          <w:szCs w:val="24"/>
        </w:rPr>
        <w:t>)</w:t>
      </w:r>
    </w:p>
    <w:p w14:paraId="4CE76BAC" w14:textId="19186AEC" w:rsidR="00A83B34" w:rsidRPr="00BC26B8" w:rsidRDefault="00A83B34" w:rsidP="003B3355">
      <w:pPr>
        <w:tabs>
          <w:tab w:val="left" w:pos="0"/>
          <w:tab w:val="left" w:pos="284"/>
        </w:tabs>
        <w:spacing w:after="120" w:line="240" w:lineRule="auto"/>
        <w:jc w:val="both"/>
        <w:rPr>
          <w:rFonts w:ascii="Times New Roman" w:hAnsi="Times New Roman" w:cs="Times New Roman"/>
          <w:b/>
          <w:sz w:val="24"/>
          <w:szCs w:val="24"/>
        </w:rPr>
      </w:pPr>
    </w:p>
    <w:p w14:paraId="651A743B" w14:textId="77777777" w:rsidR="00A83B34" w:rsidRPr="00B244B5" w:rsidRDefault="00A83B34" w:rsidP="00A83B34">
      <w:pPr>
        <w:jc w:val="center"/>
        <w:rPr>
          <w:rFonts w:ascii="Times New Roman" w:hAnsi="Times New Roman" w:cs="Times New Roman"/>
          <w:b/>
          <w:sz w:val="24"/>
          <w:szCs w:val="24"/>
        </w:rPr>
      </w:pPr>
      <w:r w:rsidRPr="00B244B5">
        <w:rPr>
          <w:rFonts w:ascii="Times New Roman" w:hAnsi="Times New Roman" w:cs="Times New Roman"/>
          <w:b/>
          <w:sz w:val="24"/>
          <w:szCs w:val="24"/>
        </w:rPr>
        <w:t xml:space="preserve">УКАЗАНИЯ </w:t>
      </w:r>
    </w:p>
    <w:p w14:paraId="42E9F7F7" w14:textId="77777777" w:rsidR="00A83B34" w:rsidRPr="00B244B5" w:rsidRDefault="00A83B34" w:rsidP="00A83B34">
      <w:pPr>
        <w:jc w:val="center"/>
        <w:rPr>
          <w:rFonts w:ascii="Times New Roman" w:hAnsi="Times New Roman" w:cs="Times New Roman"/>
          <w:b/>
          <w:sz w:val="24"/>
          <w:szCs w:val="24"/>
        </w:rPr>
      </w:pPr>
      <w:r w:rsidRPr="00B244B5">
        <w:rPr>
          <w:rFonts w:ascii="Times New Roman" w:hAnsi="Times New Roman" w:cs="Times New Roman"/>
          <w:b/>
          <w:sz w:val="24"/>
          <w:szCs w:val="24"/>
        </w:rPr>
        <w:t xml:space="preserve">за спазване на единен подход при извършване на проверка за удостоверяване категорията на МСП  </w:t>
      </w:r>
    </w:p>
    <w:p w14:paraId="24DA943A" w14:textId="77777777" w:rsidR="00A83B34" w:rsidRPr="00B244B5" w:rsidRDefault="00A83B34" w:rsidP="00A83B34">
      <w:pPr>
        <w:jc w:val="both"/>
        <w:rPr>
          <w:rFonts w:ascii="Times New Roman" w:hAnsi="Times New Roman" w:cs="Times New Roman"/>
          <w:sz w:val="24"/>
          <w:szCs w:val="24"/>
        </w:rPr>
      </w:pPr>
    </w:p>
    <w:p w14:paraId="70753236" w14:textId="77777777" w:rsidR="00A83B34" w:rsidRPr="00B244B5" w:rsidRDefault="00A83B34" w:rsidP="00A83B34">
      <w:pPr>
        <w:jc w:val="both"/>
        <w:rPr>
          <w:rFonts w:ascii="Times New Roman" w:hAnsi="Times New Roman" w:cs="Times New Roman"/>
          <w:b/>
          <w:sz w:val="24"/>
          <w:szCs w:val="24"/>
        </w:rPr>
      </w:pPr>
      <w:r w:rsidRPr="00B244B5">
        <w:rPr>
          <w:rFonts w:ascii="Times New Roman" w:hAnsi="Times New Roman" w:cs="Times New Roman"/>
          <w:b/>
          <w:sz w:val="24"/>
          <w:szCs w:val="24"/>
        </w:rPr>
        <w:t>1. Дефиниция за МСП</w:t>
      </w:r>
    </w:p>
    <w:p w14:paraId="5B1423D9"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sz w:val="24"/>
          <w:szCs w:val="24"/>
        </w:rPr>
        <w:t xml:space="preserve">Определенията за </w:t>
      </w:r>
      <w:proofErr w:type="spellStart"/>
      <w:r w:rsidRPr="00B244B5">
        <w:rPr>
          <w:rFonts w:ascii="Times New Roman" w:hAnsi="Times New Roman" w:cs="Times New Roman"/>
          <w:sz w:val="24"/>
          <w:szCs w:val="24"/>
        </w:rPr>
        <w:t>микро</w:t>
      </w:r>
      <w:proofErr w:type="spellEnd"/>
      <w:r w:rsidRPr="00B244B5">
        <w:rPr>
          <w:rFonts w:ascii="Times New Roman" w:hAnsi="Times New Roman" w:cs="Times New Roman"/>
          <w:sz w:val="24"/>
          <w:szCs w:val="24"/>
        </w:rPr>
        <w:t>, малки и средни предприятия се съдържат в чл. 3 от Закона за малките и средни предприятия (ЗМСП). За да бъде предприятието МСП, то следва да отговаря на следните ограничения:</w:t>
      </w:r>
    </w:p>
    <w:p w14:paraId="2EB01AC4" w14:textId="77777777" w:rsidR="00A83B34" w:rsidRPr="00B244B5" w:rsidRDefault="00A83B34" w:rsidP="00A83B34">
      <w:pPr>
        <w:rPr>
          <w:rFonts w:ascii="Times New Roman" w:hAnsi="Times New Roman" w:cs="Times New Roman"/>
          <w:sz w:val="24"/>
          <w:szCs w:val="24"/>
        </w:rPr>
      </w:pPr>
      <w:r w:rsidRPr="00B244B5">
        <w:rPr>
          <w:rFonts w:ascii="Times New Roman" w:hAnsi="Times New Roman" w:cs="Times New Roman"/>
          <w:sz w:val="24"/>
          <w:szCs w:val="24"/>
        </w:rPr>
        <w:t xml:space="preserve">1. </w:t>
      </w:r>
      <w:proofErr w:type="spellStart"/>
      <w:r w:rsidRPr="00B244B5">
        <w:rPr>
          <w:rFonts w:ascii="Times New Roman" w:hAnsi="Times New Roman" w:cs="Times New Roman"/>
          <w:b/>
          <w:sz w:val="24"/>
          <w:szCs w:val="24"/>
          <w:u w:val="single"/>
        </w:rPr>
        <w:t>средносписъчен</w:t>
      </w:r>
      <w:proofErr w:type="spellEnd"/>
      <w:r w:rsidRPr="00B244B5">
        <w:rPr>
          <w:rFonts w:ascii="Times New Roman" w:hAnsi="Times New Roman" w:cs="Times New Roman"/>
          <w:b/>
          <w:sz w:val="24"/>
          <w:szCs w:val="24"/>
          <w:u w:val="single"/>
        </w:rPr>
        <w:t xml:space="preserve"> брой</w:t>
      </w:r>
      <w:r w:rsidRPr="00B244B5">
        <w:rPr>
          <w:rStyle w:val="FootnoteReference"/>
          <w:rFonts w:ascii="Times New Roman" w:hAnsi="Times New Roman" w:cs="Times New Roman"/>
          <w:b/>
          <w:sz w:val="24"/>
          <w:szCs w:val="24"/>
          <w:u w:val="single"/>
        </w:rPr>
        <w:footnoteReference w:id="2"/>
      </w:r>
      <w:r w:rsidRPr="00B244B5">
        <w:rPr>
          <w:rFonts w:ascii="Times New Roman" w:hAnsi="Times New Roman" w:cs="Times New Roman"/>
          <w:sz w:val="24"/>
          <w:szCs w:val="24"/>
        </w:rPr>
        <w:t xml:space="preserve"> на персонала, по-малък от 250 души, </w:t>
      </w:r>
      <w:r w:rsidRPr="00B244B5">
        <w:rPr>
          <w:rFonts w:ascii="Times New Roman" w:hAnsi="Times New Roman" w:cs="Times New Roman"/>
          <w:b/>
          <w:sz w:val="24"/>
          <w:szCs w:val="24"/>
          <w:u w:val="single"/>
        </w:rPr>
        <w:t>и</w:t>
      </w:r>
    </w:p>
    <w:p w14:paraId="34FFB05D"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sz w:val="24"/>
          <w:szCs w:val="24"/>
        </w:rPr>
        <w:t xml:space="preserve">2. </w:t>
      </w:r>
      <w:r w:rsidRPr="00B244B5">
        <w:rPr>
          <w:rFonts w:ascii="Times New Roman" w:hAnsi="Times New Roman" w:cs="Times New Roman"/>
          <w:b/>
          <w:sz w:val="24"/>
          <w:szCs w:val="24"/>
          <w:u w:val="single"/>
        </w:rPr>
        <w:t>годишен оборот</w:t>
      </w:r>
      <w:r w:rsidR="00C14437">
        <w:rPr>
          <w:rStyle w:val="FootnoteReference"/>
          <w:b/>
          <w:sz w:val="24"/>
          <w:szCs w:val="24"/>
          <w:u w:val="single"/>
        </w:rPr>
        <w:footnoteReference w:id="3"/>
      </w:r>
      <w:r w:rsidRPr="00B244B5">
        <w:rPr>
          <w:rFonts w:ascii="Times New Roman" w:hAnsi="Times New Roman" w:cs="Times New Roman"/>
          <w:sz w:val="24"/>
          <w:szCs w:val="24"/>
        </w:rPr>
        <w:t xml:space="preserve">, който не превишава 97 500 000 лв., </w:t>
      </w:r>
      <w:r w:rsidRPr="00B244B5">
        <w:rPr>
          <w:rFonts w:ascii="Times New Roman" w:hAnsi="Times New Roman" w:cs="Times New Roman"/>
          <w:b/>
          <w:sz w:val="24"/>
          <w:szCs w:val="24"/>
          <w:u w:val="single"/>
        </w:rPr>
        <w:t>и/или стойност на активите</w:t>
      </w:r>
      <w:r w:rsidR="00C14437">
        <w:rPr>
          <w:rStyle w:val="FootnoteReference"/>
          <w:b/>
          <w:sz w:val="24"/>
          <w:szCs w:val="24"/>
          <w:u w:val="single"/>
        </w:rPr>
        <w:footnoteReference w:id="4"/>
      </w:r>
      <w:r w:rsidRPr="00B244B5">
        <w:rPr>
          <w:rFonts w:ascii="Times New Roman" w:hAnsi="Times New Roman" w:cs="Times New Roman"/>
          <w:sz w:val="24"/>
          <w:szCs w:val="24"/>
        </w:rPr>
        <w:t>, която не превишава 84 000 000 лв.</w:t>
      </w:r>
    </w:p>
    <w:p w14:paraId="501DAD7C"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sz w:val="24"/>
          <w:szCs w:val="24"/>
        </w:rPr>
        <w:t>При изчисляване на данните по чл. 3 се взема предвид дали предприятието е независимо, дали е предприятие партньор по смисъла на чл. 4, ал. 3 от ЗМСП, или е свързано предприятие по смисъла на чл. 4, ал. 5</w:t>
      </w:r>
      <w:r w:rsidR="00C66340">
        <w:rPr>
          <w:rFonts w:ascii="Times New Roman" w:hAnsi="Times New Roman" w:cs="Times New Roman"/>
          <w:sz w:val="24"/>
          <w:szCs w:val="24"/>
        </w:rPr>
        <w:t>, ал. 7</w:t>
      </w:r>
      <w:r w:rsidR="00C66340">
        <w:rPr>
          <w:rFonts w:ascii="Times New Roman" w:hAnsi="Times New Roman" w:cs="Times New Roman"/>
          <w:sz w:val="24"/>
          <w:szCs w:val="24"/>
          <w:lang w:val="en-US"/>
        </w:rPr>
        <w:t xml:space="preserve"> </w:t>
      </w:r>
      <w:r w:rsidR="00C66340">
        <w:rPr>
          <w:rFonts w:ascii="Times New Roman" w:hAnsi="Times New Roman" w:cs="Times New Roman"/>
          <w:sz w:val="24"/>
          <w:szCs w:val="24"/>
        </w:rPr>
        <w:t>или ал. 8</w:t>
      </w:r>
      <w:r w:rsidR="00EF7D2A">
        <w:rPr>
          <w:rFonts w:ascii="Times New Roman" w:hAnsi="Times New Roman" w:cs="Times New Roman"/>
          <w:sz w:val="24"/>
          <w:szCs w:val="24"/>
        </w:rPr>
        <w:t xml:space="preserve"> от същия Закон</w:t>
      </w:r>
      <w:r w:rsidRPr="00B244B5">
        <w:rPr>
          <w:rFonts w:ascii="Times New Roman" w:hAnsi="Times New Roman" w:cs="Times New Roman"/>
          <w:sz w:val="24"/>
          <w:szCs w:val="24"/>
        </w:rPr>
        <w:t>.</w:t>
      </w:r>
    </w:p>
    <w:p w14:paraId="1D9555C0" w14:textId="77777777" w:rsidR="00A83B34" w:rsidRPr="00B244B5" w:rsidRDefault="00A83B34" w:rsidP="00A83B34">
      <w:pPr>
        <w:jc w:val="both"/>
        <w:rPr>
          <w:rFonts w:ascii="Times New Roman" w:hAnsi="Times New Roman" w:cs="Times New Roman"/>
          <w:b/>
          <w:sz w:val="24"/>
          <w:szCs w:val="24"/>
        </w:rPr>
      </w:pPr>
      <w:r w:rsidRPr="00B244B5">
        <w:rPr>
          <w:rFonts w:ascii="Times New Roman" w:hAnsi="Times New Roman" w:cs="Times New Roman"/>
          <w:b/>
          <w:sz w:val="24"/>
          <w:szCs w:val="24"/>
        </w:rPr>
        <w:t>2.</w:t>
      </w:r>
      <w:r w:rsidRPr="00B244B5">
        <w:t xml:space="preserve"> </w:t>
      </w:r>
      <w:r w:rsidRPr="00B244B5">
        <w:rPr>
          <w:rFonts w:ascii="Times New Roman" w:hAnsi="Times New Roman" w:cs="Times New Roman"/>
          <w:b/>
          <w:sz w:val="24"/>
          <w:szCs w:val="24"/>
        </w:rPr>
        <w:t xml:space="preserve">Година/Период на разглеждане на категорията на предприятието: </w:t>
      </w:r>
    </w:p>
    <w:p w14:paraId="05076937" w14:textId="77777777" w:rsidR="00A83B34" w:rsidRPr="00254757" w:rsidRDefault="00A83B34" w:rsidP="00A83B34">
      <w:pPr>
        <w:jc w:val="both"/>
        <w:rPr>
          <w:lang w:val="en-US"/>
        </w:rPr>
      </w:pPr>
      <w:r w:rsidRPr="00B244B5">
        <w:rPr>
          <w:rFonts w:ascii="Times New Roman" w:hAnsi="Times New Roman" w:cs="Times New Roman"/>
          <w:sz w:val="24"/>
          <w:szCs w:val="24"/>
        </w:rPr>
        <w:t>2.1. Данните по чл. 3 от ЗМСП се определят на базата на предходна</w:t>
      </w:r>
      <w:r w:rsidR="00012894">
        <w:rPr>
          <w:rFonts w:ascii="Times New Roman" w:hAnsi="Times New Roman" w:cs="Times New Roman"/>
          <w:sz w:val="24"/>
          <w:szCs w:val="24"/>
        </w:rPr>
        <w:t>та</w:t>
      </w:r>
      <w:r w:rsidRPr="00B244B5">
        <w:rPr>
          <w:rFonts w:ascii="Times New Roman" w:hAnsi="Times New Roman" w:cs="Times New Roman"/>
          <w:sz w:val="24"/>
          <w:szCs w:val="24"/>
        </w:rPr>
        <w:t xml:space="preserve"> приключила финансова година</w:t>
      </w:r>
      <w:r w:rsidR="00012894">
        <w:rPr>
          <w:rFonts w:ascii="Times New Roman" w:hAnsi="Times New Roman" w:cs="Times New Roman"/>
          <w:b/>
          <w:sz w:val="24"/>
          <w:szCs w:val="24"/>
        </w:rPr>
        <w:t xml:space="preserve"> преди получаването на помощта. </w:t>
      </w:r>
    </w:p>
    <w:p w14:paraId="085C1AE1"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sz w:val="24"/>
          <w:szCs w:val="24"/>
        </w:rPr>
        <w:lastRenderedPageBreak/>
        <w:t xml:space="preserve">Статусът на МСП се определя на базата на </w:t>
      </w:r>
      <w:r w:rsidRPr="00B244B5">
        <w:rPr>
          <w:rFonts w:ascii="Times New Roman" w:hAnsi="Times New Roman" w:cs="Times New Roman"/>
          <w:b/>
          <w:sz w:val="24"/>
          <w:szCs w:val="24"/>
        </w:rPr>
        <w:t>последните две</w:t>
      </w:r>
      <w:r w:rsidRPr="00B244B5">
        <w:rPr>
          <w:rFonts w:ascii="Times New Roman" w:hAnsi="Times New Roman" w:cs="Times New Roman"/>
          <w:sz w:val="24"/>
          <w:szCs w:val="24"/>
        </w:rPr>
        <w:t xml:space="preserve"> </w:t>
      </w:r>
      <w:r w:rsidRPr="00B244B5">
        <w:rPr>
          <w:rFonts w:ascii="Times New Roman" w:hAnsi="Times New Roman" w:cs="Times New Roman"/>
          <w:b/>
          <w:sz w:val="24"/>
          <w:szCs w:val="24"/>
        </w:rPr>
        <w:t>последователни финансови години</w:t>
      </w:r>
      <w:r w:rsidRPr="00B244B5">
        <w:rPr>
          <w:rFonts w:ascii="Times New Roman" w:hAnsi="Times New Roman" w:cs="Times New Roman"/>
          <w:sz w:val="24"/>
          <w:szCs w:val="24"/>
        </w:rPr>
        <w:t xml:space="preserve">, в които предприятието запазва своите параметри по член 3 от Закона за малките и средните предприятия без промяна. В случай че в две последователни финансови години предприятието превиши или слезе под границите по чл. 3 от ЗМСП, това се отразява на неговия статус на МСП. </w:t>
      </w:r>
    </w:p>
    <w:p w14:paraId="507FF08B"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sz w:val="24"/>
          <w:szCs w:val="24"/>
        </w:rPr>
        <w:t xml:space="preserve">2.2. За определяне на последна приключена финансова година на </w:t>
      </w:r>
      <w:r w:rsidR="00C66340">
        <w:rPr>
          <w:rFonts w:ascii="Times New Roman" w:hAnsi="Times New Roman" w:cs="Times New Roman"/>
          <w:sz w:val="24"/>
          <w:szCs w:val="24"/>
        </w:rPr>
        <w:t xml:space="preserve">предприятие, което НЕ е независимо, </w:t>
      </w:r>
      <w:r w:rsidR="00737900">
        <w:rPr>
          <w:rFonts w:ascii="Times New Roman" w:hAnsi="Times New Roman" w:cs="Times New Roman"/>
          <w:sz w:val="24"/>
          <w:szCs w:val="24"/>
        </w:rPr>
        <w:t xml:space="preserve">се приема тази година, за която и </w:t>
      </w:r>
      <w:r w:rsidR="00C66340">
        <w:rPr>
          <w:rFonts w:ascii="Times New Roman" w:hAnsi="Times New Roman" w:cs="Times New Roman"/>
          <w:sz w:val="24"/>
          <w:szCs w:val="24"/>
        </w:rPr>
        <w:t>то</w:t>
      </w:r>
      <w:r w:rsidR="00B92F6A">
        <w:rPr>
          <w:rFonts w:ascii="Times New Roman" w:hAnsi="Times New Roman" w:cs="Times New Roman"/>
          <w:sz w:val="24"/>
          <w:szCs w:val="24"/>
        </w:rPr>
        <w:t>,</w:t>
      </w:r>
      <w:r w:rsidR="00C66340">
        <w:rPr>
          <w:rFonts w:ascii="Times New Roman" w:hAnsi="Times New Roman" w:cs="Times New Roman"/>
          <w:sz w:val="24"/>
          <w:szCs w:val="24"/>
        </w:rPr>
        <w:t xml:space="preserve"> </w:t>
      </w:r>
      <w:r w:rsidR="00737900">
        <w:rPr>
          <w:rFonts w:ascii="Times New Roman" w:hAnsi="Times New Roman" w:cs="Times New Roman"/>
          <w:sz w:val="24"/>
          <w:szCs w:val="24"/>
        </w:rPr>
        <w:t>и всички</w:t>
      </w:r>
      <w:r w:rsidR="00C66340">
        <w:rPr>
          <w:rFonts w:ascii="Times New Roman" w:hAnsi="Times New Roman" w:cs="Times New Roman"/>
          <w:sz w:val="24"/>
          <w:szCs w:val="24"/>
        </w:rPr>
        <w:t xml:space="preserve"> свързани и/или </w:t>
      </w:r>
      <w:r w:rsidRPr="00B244B5">
        <w:rPr>
          <w:rFonts w:ascii="Times New Roman" w:hAnsi="Times New Roman" w:cs="Times New Roman"/>
          <w:sz w:val="24"/>
          <w:szCs w:val="24"/>
        </w:rPr>
        <w:t>предприятия</w:t>
      </w:r>
      <w:r w:rsidR="00C66340">
        <w:rPr>
          <w:rFonts w:ascii="Times New Roman" w:hAnsi="Times New Roman" w:cs="Times New Roman"/>
          <w:sz w:val="24"/>
          <w:szCs w:val="24"/>
        </w:rPr>
        <w:t xml:space="preserve"> партньори</w:t>
      </w:r>
      <w:r w:rsidRPr="00B244B5">
        <w:rPr>
          <w:rFonts w:ascii="Times New Roman" w:hAnsi="Times New Roman" w:cs="Times New Roman"/>
          <w:sz w:val="24"/>
          <w:szCs w:val="24"/>
        </w:rPr>
        <w:t xml:space="preserve"> </w:t>
      </w:r>
      <w:r w:rsidR="00737900">
        <w:rPr>
          <w:rFonts w:ascii="Times New Roman" w:hAnsi="Times New Roman" w:cs="Times New Roman"/>
          <w:sz w:val="24"/>
          <w:szCs w:val="24"/>
        </w:rPr>
        <w:t>имат</w:t>
      </w:r>
      <w:r w:rsidRPr="00B244B5">
        <w:rPr>
          <w:rFonts w:ascii="Times New Roman" w:hAnsi="Times New Roman" w:cs="Times New Roman"/>
          <w:sz w:val="24"/>
          <w:szCs w:val="24"/>
        </w:rPr>
        <w:t xml:space="preserve"> </w:t>
      </w:r>
      <w:r w:rsidR="00935305">
        <w:rPr>
          <w:rFonts w:ascii="Times New Roman" w:hAnsi="Times New Roman" w:cs="Times New Roman"/>
          <w:sz w:val="24"/>
          <w:szCs w:val="24"/>
        </w:rPr>
        <w:t>приключен</w:t>
      </w:r>
      <w:r w:rsidRPr="00B244B5">
        <w:rPr>
          <w:rFonts w:ascii="Times New Roman" w:hAnsi="Times New Roman" w:cs="Times New Roman"/>
          <w:sz w:val="24"/>
          <w:szCs w:val="24"/>
        </w:rPr>
        <w:t xml:space="preserve"> финансов отчет;</w:t>
      </w:r>
    </w:p>
    <w:p w14:paraId="573BF749" w14:textId="77777777" w:rsidR="000F7991" w:rsidRDefault="000F7991" w:rsidP="00EF7D2A">
      <w:pPr>
        <w:jc w:val="both"/>
        <w:rPr>
          <w:rFonts w:ascii="Times New Roman" w:hAnsi="Times New Roman" w:cs="Times New Roman"/>
          <w:sz w:val="24"/>
          <w:szCs w:val="24"/>
        </w:rPr>
      </w:pPr>
      <w:r>
        <w:rPr>
          <w:rFonts w:ascii="Times New Roman" w:hAnsi="Times New Roman" w:cs="Times New Roman"/>
          <w:sz w:val="24"/>
          <w:szCs w:val="24"/>
        </w:rPr>
        <w:t>2.</w:t>
      </w:r>
      <w:r w:rsidR="001F0705">
        <w:rPr>
          <w:rFonts w:ascii="Times New Roman" w:hAnsi="Times New Roman" w:cs="Times New Roman"/>
          <w:sz w:val="24"/>
          <w:szCs w:val="24"/>
        </w:rPr>
        <w:t>3</w:t>
      </w:r>
      <w:r>
        <w:rPr>
          <w:rFonts w:ascii="Times New Roman" w:hAnsi="Times New Roman" w:cs="Times New Roman"/>
          <w:sz w:val="24"/>
          <w:szCs w:val="24"/>
        </w:rPr>
        <w:t xml:space="preserve">. За извършване на проверката е нужно </w:t>
      </w:r>
      <w:r w:rsidR="00FB7074">
        <w:rPr>
          <w:rFonts w:ascii="Times New Roman" w:hAnsi="Times New Roman" w:cs="Times New Roman"/>
          <w:sz w:val="24"/>
          <w:szCs w:val="24"/>
        </w:rPr>
        <w:t xml:space="preserve">данните </w:t>
      </w:r>
      <w:r w:rsidR="00316889">
        <w:rPr>
          <w:rFonts w:ascii="Times New Roman" w:hAnsi="Times New Roman" w:cs="Times New Roman"/>
          <w:sz w:val="24"/>
          <w:szCs w:val="24"/>
        </w:rPr>
        <w:t>за</w:t>
      </w:r>
      <w:r w:rsidR="00316889" w:rsidRPr="000861DB">
        <w:rPr>
          <w:rFonts w:ascii="Times New Roman" w:hAnsi="Times New Roman" w:cs="Times New Roman"/>
          <w:sz w:val="18"/>
          <w:szCs w:val="18"/>
        </w:rPr>
        <w:t xml:space="preserve"> </w:t>
      </w:r>
      <w:proofErr w:type="spellStart"/>
      <w:r w:rsidR="00316889">
        <w:rPr>
          <w:rFonts w:ascii="Times New Roman" w:hAnsi="Times New Roman" w:cs="Times New Roman"/>
          <w:sz w:val="24"/>
          <w:szCs w:val="24"/>
        </w:rPr>
        <w:t>с</w:t>
      </w:r>
      <w:r w:rsidR="00316889" w:rsidRPr="000861DB">
        <w:rPr>
          <w:rFonts w:ascii="Times New Roman" w:hAnsi="Times New Roman" w:cs="Times New Roman"/>
          <w:sz w:val="24"/>
          <w:szCs w:val="24"/>
        </w:rPr>
        <w:t>редносписъчният</w:t>
      </w:r>
      <w:proofErr w:type="spellEnd"/>
      <w:r w:rsidR="00316889" w:rsidRPr="000861DB">
        <w:rPr>
          <w:rFonts w:ascii="Times New Roman" w:hAnsi="Times New Roman" w:cs="Times New Roman"/>
          <w:sz w:val="24"/>
          <w:szCs w:val="24"/>
        </w:rPr>
        <w:t xml:space="preserve"> брой на персонала</w:t>
      </w:r>
      <w:r w:rsidR="00316889">
        <w:rPr>
          <w:rFonts w:ascii="Times New Roman" w:hAnsi="Times New Roman" w:cs="Times New Roman"/>
          <w:sz w:val="24"/>
          <w:szCs w:val="24"/>
        </w:rPr>
        <w:t>,</w:t>
      </w:r>
      <w:r w:rsidR="00316889" w:rsidRPr="000861DB">
        <w:t xml:space="preserve"> </w:t>
      </w:r>
      <w:r w:rsidR="00316889" w:rsidRPr="000861DB">
        <w:rPr>
          <w:rFonts w:ascii="Times New Roman" w:hAnsi="Times New Roman" w:cs="Times New Roman"/>
          <w:sz w:val="24"/>
          <w:szCs w:val="24"/>
        </w:rPr>
        <w:t>годишен оборот</w:t>
      </w:r>
      <w:r w:rsidR="00316889">
        <w:rPr>
          <w:rFonts w:ascii="Times New Roman" w:hAnsi="Times New Roman" w:cs="Times New Roman"/>
          <w:sz w:val="24"/>
          <w:szCs w:val="24"/>
        </w:rPr>
        <w:t xml:space="preserve"> и стойност на активите </w:t>
      </w:r>
      <w:r w:rsidR="00EF000F">
        <w:rPr>
          <w:rFonts w:ascii="Times New Roman" w:hAnsi="Times New Roman" w:cs="Times New Roman"/>
          <w:sz w:val="24"/>
          <w:szCs w:val="24"/>
        </w:rPr>
        <w:t xml:space="preserve">на предприятията и </w:t>
      </w:r>
      <w:r w:rsidR="00EF000F" w:rsidRPr="00EF000F">
        <w:rPr>
          <w:rFonts w:ascii="Times New Roman" w:hAnsi="Times New Roman" w:cs="Times New Roman"/>
          <w:sz w:val="24"/>
          <w:szCs w:val="24"/>
        </w:rPr>
        <w:t xml:space="preserve">свързаните предприятия и/или предприятия партньори </w:t>
      </w:r>
      <w:r>
        <w:rPr>
          <w:rFonts w:ascii="Times New Roman" w:hAnsi="Times New Roman" w:cs="Times New Roman"/>
          <w:sz w:val="24"/>
          <w:szCs w:val="24"/>
        </w:rPr>
        <w:t xml:space="preserve">да бъдат </w:t>
      </w:r>
      <w:r w:rsidR="00FB7074">
        <w:rPr>
          <w:rFonts w:ascii="Times New Roman" w:hAnsi="Times New Roman" w:cs="Times New Roman"/>
          <w:sz w:val="24"/>
          <w:szCs w:val="24"/>
        </w:rPr>
        <w:t>взети</w:t>
      </w:r>
      <w:r w:rsidR="00316889">
        <w:rPr>
          <w:rFonts w:ascii="Times New Roman" w:hAnsi="Times New Roman" w:cs="Times New Roman"/>
          <w:sz w:val="24"/>
          <w:szCs w:val="24"/>
        </w:rPr>
        <w:t xml:space="preserve"> </w:t>
      </w:r>
      <w:r w:rsidR="004167D5">
        <w:rPr>
          <w:rFonts w:ascii="Times New Roman" w:hAnsi="Times New Roman" w:cs="Times New Roman"/>
          <w:sz w:val="24"/>
          <w:szCs w:val="24"/>
        </w:rPr>
        <w:t>,</w:t>
      </w:r>
      <w:r>
        <w:rPr>
          <w:rFonts w:ascii="Times New Roman" w:hAnsi="Times New Roman" w:cs="Times New Roman"/>
          <w:sz w:val="24"/>
          <w:szCs w:val="24"/>
        </w:rPr>
        <w:t xml:space="preserve"> както следва: </w:t>
      </w:r>
    </w:p>
    <w:p w14:paraId="328A8FDA" w14:textId="77777777" w:rsidR="000F7991" w:rsidRPr="008508F1" w:rsidRDefault="000F7991" w:rsidP="00EF7D2A">
      <w:pPr>
        <w:jc w:val="both"/>
        <w:rPr>
          <w:rFonts w:ascii="Times New Roman" w:hAnsi="Times New Roman" w:cs="Times New Roman"/>
          <w:sz w:val="24"/>
          <w:szCs w:val="24"/>
          <w:u w:val="single"/>
        </w:rPr>
      </w:pPr>
      <w:r w:rsidRPr="008508F1">
        <w:rPr>
          <w:rFonts w:ascii="Times New Roman" w:hAnsi="Times New Roman" w:cs="Times New Roman"/>
          <w:sz w:val="24"/>
          <w:szCs w:val="24"/>
          <w:u w:val="single"/>
        </w:rPr>
        <w:t xml:space="preserve">- за регистрираните през 2021 г. </w:t>
      </w:r>
      <w:r w:rsidR="00414813">
        <w:rPr>
          <w:rFonts w:ascii="Times New Roman" w:hAnsi="Times New Roman" w:cs="Times New Roman"/>
          <w:sz w:val="24"/>
          <w:szCs w:val="24"/>
          <w:u w:val="single"/>
        </w:rPr>
        <w:t xml:space="preserve">предприятия </w:t>
      </w:r>
      <w:r w:rsidRPr="008508F1">
        <w:rPr>
          <w:rFonts w:ascii="Times New Roman" w:hAnsi="Times New Roman" w:cs="Times New Roman"/>
          <w:sz w:val="24"/>
          <w:szCs w:val="24"/>
          <w:u w:val="single"/>
        </w:rPr>
        <w:t xml:space="preserve">– </w:t>
      </w:r>
      <w:r w:rsidR="00316889">
        <w:rPr>
          <w:rFonts w:ascii="Times New Roman" w:hAnsi="Times New Roman" w:cs="Times New Roman"/>
          <w:sz w:val="24"/>
          <w:szCs w:val="24"/>
          <w:u w:val="single"/>
        </w:rPr>
        <w:t>за</w:t>
      </w:r>
      <w:r w:rsidR="000A6518" w:rsidRPr="008508F1">
        <w:rPr>
          <w:rFonts w:ascii="Times New Roman" w:hAnsi="Times New Roman" w:cs="Times New Roman"/>
          <w:sz w:val="24"/>
          <w:szCs w:val="24"/>
          <w:u w:val="single"/>
        </w:rPr>
        <w:t xml:space="preserve"> </w:t>
      </w:r>
      <w:r w:rsidRPr="008508F1">
        <w:rPr>
          <w:rFonts w:ascii="Times New Roman" w:hAnsi="Times New Roman" w:cs="Times New Roman"/>
          <w:sz w:val="24"/>
          <w:szCs w:val="24"/>
          <w:u w:val="single"/>
        </w:rPr>
        <w:t>2021 г.</w:t>
      </w:r>
      <w:r w:rsidR="008508F1" w:rsidRPr="008508F1">
        <w:rPr>
          <w:rFonts w:ascii="Times New Roman" w:hAnsi="Times New Roman" w:cs="Times New Roman"/>
          <w:sz w:val="24"/>
          <w:szCs w:val="24"/>
          <w:u w:val="single"/>
        </w:rPr>
        <w:t xml:space="preserve"> и 2022 г.</w:t>
      </w:r>
      <w:r w:rsidRPr="008508F1">
        <w:rPr>
          <w:rFonts w:ascii="Times New Roman" w:hAnsi="Times New Roman" w:cs="Times New Roman"/>
          <w:sz w:val="24"/>
          <w:szCs w:val="24"/>
          <w:u w:val="single"/>
        </w:rPr>
        <w:t xml:space="preserve">; </w:t>
      </w:r>
    </w:p>
    <w:p w14:paraId="08BD59FE" w14:textId="77777777" w:rsidR="000F7991" w:rsidRPr="00316889" w:rsidRDefault="000F7991" w:rsidP="00EF7D2A">
      <w:pPr>
        <w:jc w:val="both"/>
        <w:rPr>
          <w:rFonts w:ascii="Times New Roman" w:hAnsi="Times New Roman" w:cs="Times New Roman"/>
          <w:sz w:val="24"/>
          <w:szCs w:val="24"/>
          <w:u w:val="single"/>
        </w:rPr>
      </w:pPr>
      <w:r w:rsidRPr="00316889">
        <w:rPr>
          <w:rFonts w:ascii="Times New Roman" w:hAnsi="Times New Roman" w:cs="Times New Roman"/>
          <w:sz w:val="24"/>
          <w:szCs w:val="24"/>
          <w:u w:val="single"/>
        </w:rPr>
        <w:t xml:space="preserve">- за всички останали </w:t>
      </w:r>
      <w:r w:rsidR="00316889" w:rsidRPr="00316889">
        <w:rPr>
          <w:rFonts w:ascii="Times New Roman" w:hAnsi="Times New Roman" w:cs="Times New Roman"/>
          <w:sz w:val="24"/>
          <w:szCs w:val="24"/>
          <w:u w:val="single"/>
        </w:rPr>
        <w:t xml:space="preserve">предприятия </w:t>
      </w:r>
      <w:r w:rsidRPr="00316889">
        <w:rPr>
          <w:rFonts w:ascii="Times New Roman" w:hAnsi="Times New Roman" w:cs="Times New Roman"/>
          <w:sz w:val="24"/>
          <w:szCs w:val="24"/>
          <w:u w:val="single"/>
        </w:rPr>
        <w:t xml:space="preserve">– </w:t>
      </w:r>
      <w:r w:rsidR="004167D5" w:rsidRPr="00316889">
        <w:rPr>
          <w:rFonts w:ascii="Times New Roman" w:hAnsi="Times New Roman" w:cs="Times New Roman"/>
          <w:sz w:val="24"/>
          <w:szCs w:val="24"/>
          <w:u w:val="single"/>
        </w:rPr>
        <w:t xml:space="preserve">за </w:t>
      </w:r>
      <w:r w:rsidRPr="00316889">
        <w:rPr>
          <w:rFonts w:ascii="Times New Roman" w:hAnsi="Times New Roman" w:cs="Times New Roman"/>
          <w:sz w:val="24"/>
          <w:szCs w:val="24"/>
          <w:u w:val="single"/>
        </w:rPr>
        <w:t>2020 г.</w:t>
      </w:r>
      <w:r w:rsidR="00316889" w:rsidRPr="00316889">
        <w:rPr>
          <w:rFonts w:ascii="Times New Roman" w:hAnsi="Times New Roman" w:cs="Times New Roman"/>
          <w:sz w:val="24"/>
          <w:szCs w:val="24"/>
          <w:u w:val="single"/>
        </w:rPr>
        <w:t xml:space="preserve"> и 2021 г.</w:t>
      </w:r>
    </w:p>
    <w:p w14:paraId="633216CD" w14:textId="77777777" w:rsidR="00920EA4" w:rsidRDefault="00920EA4" w:rsidP="00EF7D2A">
      <w:pPr>
        <w:jc w:val="both"/>
        <w:rPr>
          <w:rFonts w:ascii="Times New Roman" w:hAnsi="Times New Roman" w:cs="Times New Roman"/>
          <w:sz w:val="24"/>
          <w:szCs w:val="24"/>
        </w:rPr>
      </w:pPr>
      <w:r w:rsidRPr="00920EA4">
        <w:rPr>
          <w:rFonts w:ascii="Times New Roman" w:hAnsi="Times New Roman" w:cs="Times New Roman"/>
          <w:sz w:val="24"/>
          <w:szCs w:val="24"/>
        </w:rPr>
        <w:t>Когато данните за последните две приключени финансови години не потвърждават статуса на съответната категория се вземат предвид тези за предходните две последователни финансови години, в които предприятието запазва своите параметри по член 3 от ЗМСП без промяна.</w:t>
      </w:r>
    </w:p>
    <w:p w14:paraId="13A192CA" w14:textId="77777777" w:rsidR="004167D5" w:rsidRPr="00B244B5" w:rsidRDefault="004167D5" w:rsidP="00EF7D2A">
      <w:pPr>
        <w:jc w:val="both"/>
        <w:rPr>
          <w:rFonts w:ascii="Times New Roman" w:hAnsi="Times New Roman" w:cs="Times New Roman"/>
          <w:b/>
          <w:sz w:val="24"/>
          <w:szCs w:val="24"/>
        </w:rPr>
      </w:pPr>
      <w:r>
        <w:rPr>
          <w:rFonts w:ascii="Times New Roman" w:hAnsi="Times New Roman" w:cs="Times New Roman"/>
          <w:sz w:val="24"/>
          <w:szCs w:val="24"/>
        </w:rPr>
        <w:t xml:space="preserve">В случаите, когато предприятието или свързаните му предприятия/предприятия </w:t>
      </w:r>
      <w:proofErr w:type="spellStart"/>
      <w:r>
        <w:rPr>
          <w:rFonts w:ascii="Times New Roman" w:hAnsi="Times New Roman" w:cs="Times New Roman"/>
          <w:sz w:val="24"/>
          <w:szCs w:val="24"/>
        </w:rPr>
        <w:t>патньори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косолидират</w:t>
      </w:r>
      <w:proofErr w:type="spellEnd"/>
      <w:r>
        <w:rPr>
          <w:rFonts w:ascii="Times New Roman" w:hAnsi="Times New Roman" w:cs="Times New Roman"/>
          <w:sz w:val="24"/>
          <w:szCs w:val="24"/>
        </w:rPr>
        <w:t xml:space="preserve"> или са включени чрез консолидиране в консолидирания финансов отчет на друго предприятие, то данните по чл. 3</w:t>
      </w:r>
      <w:r w:rsidR="00F94C33">
        <w:rPr>
          <w:rFonts w:ascii="Times New Roman" w:hAnsi="Times New Roman" w:cs="Times New Roman"/>
          <w:sz w:val="24"/>
          <w:szCs w:val="24"/>
        </w:rPr>
        <w:t xml:space="preserve"> от ЗМСП</w:t>
      </w:r>
      <w:r>
        <w:rPr>
          <w:rFonts w:ascii="Times New Roman" w:hAnsi="Times New Roman" w:cs="Times New Roman"/>
          <w:sz w:val="24"/>
          <w:szCs w:val="24"/>
        </w:rPr>
        <w:t xml:space="preserve"> се вземат от консолидираните отчети.</w:t>
      </w:r>
    </w:p>
    <w:p w14:paraId="3888FA78"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b/>
          <w:sz w:val="24"/>
          <w:szCs w:val="24"/>
        </w:rPr>
        <w:t>3. Проверки, които се извършат при определяне на категорията на предприятието</w:t>
      </w:r>
    </w:p>
    <w:p w14:paraId="79FD9213"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b/>
          <w:sz w:val="24"/>
          <w:szCs w:val="24"/>
        </w:rPr>
        <w:t>3.1.</w:t>
      </w:r>
      <w:r w:rsidRPr="00B244B5">
        <w:rPr>
          <w:rFonts w:ascii="Times New Roman" w:hAnsi="Times New Roman" w:cs="Times New Roman"/>
          <w:sz w:val="24"/>
          <w:szCs w:val="24"/>
        </w:rPr>
        <w:t xml:space="preserve"> Поредността на проверките т.е. хронологията на проверките, които следва да се извършат с цел определяне на категорията на едно предприятие е описана в ЗМСП, както следва:</w:t>
      </w:r>
    </w:p>
    <w:p w14:paraId="0FD9E3DB" w14:textId="77777777" w:rsidR="00A83B34" w:rsidRPr="00B244B5" w:rsidRDefault="00A83B34" w:rsidP="00A83B34">
      <w:pPr>
        <w:ind w:firstLine="426"/>
        <w:jc w:val="both"/>
        <w:rPr>
          <w:rFonts w:ascii="Times New Roman" w:hAnsi="Times New Roman" w:cs="Times New Roman"/>
          <w:sz w:val="24"/>
          <w:szCs w:val="24"/>
        </w:rPr>
      </w:pPr>
      <w:r w:rsidRPr="00B244B5">
        <w:rPr>
          <w:rFonts w:ascii="Times New Roman" w:hAnsi="Times New Roman" w:cs="Times New Roman"/>
          <w:sz w:val="24"/>
          <w:szCs w:val="24"/>
        </w:rPr>
        <w:t>a)</w:t>
      </w:r>
      <w:r w:rsidRPr="00B244B5">
        <w:rPr>
          <w:rFonts w:ascii="Times New Roman" w:hAnsi="Times New Roman" w:cs="Times New Roman"/>
          <w:sz w:val="24"/>
          <w:szCs w:val="24"/>
        </w:rPr>
        <w:tab/>
        <w:t>Определяне дали предприятието е независимо/партньор/свързано по смисъла на чл. 4 от ЗМСП;</w:t>
      </w:r>
    </w:p>
    <w:p w14:paraId="35071343" w14:textId="77777777" w:rsidR="00A83B34" w:rsidRPr="00B244B5" w:rsidRDefault="00A83B34" w:rsidP="00A83B34">
      <w:pPr>
        <w:tabs>
          <w:tab w:val="left" w:pos="426"/>
        </w:tabs>
        <w:ind w:firstLine="426"/>
        <w:jc w:val="both"/>
        <w:rPr>
          <w:rFonts w:ascii="Times New Roman" w:hAnsi="Times New Roman" w:cs="Times New Roman"/>
          <w:sz w:val="24"/>
          <w:szCs w:val="24"/>
        </w:rPr>
      </w:pPr>
      <w:r w:rsidRPr="00B244B5">
        <w:rPr>
          <w:rFonts w:ascii="Times New Roman" w:hAnsi="Times New Roman" w:cs="Times New Roman"/>
          <w:sz w:val="24"/>
          <w:szCs w:val="24"/>
        </w:rPr>
        <w:t>б)</w:t>
      </w:r>
      <w:r w:rsidRPr="00B244B5">
        <w:rPr>
          <w:rFonts w:ascii="Times New Roman" w:hAnsi="Times New Roman" w:cs="Times New Roman"/>
          <w:sz w:val="24"/>
          <w:szCs w:val="24"/>
        </w:rPr>
        <w:tab/>
        <w:t>В зависимост от резултатите по буква a) се натрупват данните от съответни</w:t>
      </w:r>
      <w:r w:rsidR="00F80D09">
        <w:rPr>
          <w:rFonts w:ascii="Times New Roman" w:hAnsi="Times New Roman" w:cs="Times New Roman"/>
          <w:sz w:val="24"/>
          <w:szCs w:val="24"/>
        </w:rPr>
        <w:t>те</w:t>
      </w:r>
      <w:r w:rsidRPr="00B244B5">
        <w:rPr>
          <w:rFonts w:ascii="Times New Roman" w:hAnsi="Times New Roman" w:cs="Times New Roman"/>
          <w:sz w:val="24"/>
          <w:szCs w:val="24"/>
        </w:rPr>
        <w:t xml:space="preserve"> финансови отчети съобразно метод</w:t>
      </w:r>
      <w:r w:rsidR="00F80D09">
        <w:rPr>
          <w:rFonts w:ascii="Times New Roman" w:hAnsi="Times New Roman" w:cs="Times New Roman"/>
          <w:sz w:val="24"/>
          <w:szCs w:val="24"/>
        </w:rPr>
        <w:t>а,</w:t>
      </w:r>
      <w:r w:rsidRPr="00B244B5">
        <w:rPr>
          <w:rFonts w:ascii="Times New Roman" w:hAnsi="Times New Roman" w:cs="Times New Roman"/>
          <w:sz w:val="24"/>
          <w:szCs w:val="24"/>
        </w:rPr>
        <w:t xml:space="preserve"> посочен в чл. 4г от ЗМСП.</w:t>
      </w:r>
      <w:r w:rsidR="002C7C4A">
        <w:rPr>
          <w:rFonts w:ascii="Times New Roman" w:hAnsi="Times New Roman" w:cs="Times New Roman"/>
          <w:sz w:val="24"/>
          <w:szCs w:val="24"/>
        </w:rPr>
        <w:t xml:space="preserve"> При сумиране на данните се следва правило</w:t>
      </w:r>
      <w:r w:rsidR="00C43020">
        <w:rPr>
          <w:rFonts w:ascii="Times New Roman" w:hAnsi="Times New Roman" w:cs="Times New Roman"/>
          <w:sz w:val="24"/>
          <w:szCs w:val="24"/>
        </w:rPr>
        <w:t>то</w:t>
      </w:r>
      <w:r w:rsidR="002C7C4A">
        <w:rPr>
          <w:rFonts w:ascii="Times New Roman" w:hAnsi="Times New Roman" w:cs="Times New Roman"/>
          <w:sz w:val="24"/>
          <w:szCs w:val="24"/>
        </w:rPr>
        <w:t>: сумират се изцяло данните на всяко от свързаните предприятия, а пропорционално на дела им – данните на партньора. Когато предприятие партньор има свързано предприятие</w:t>
      </w:r>
      <w:r w:rsidR="0060200A">
        <w:rPr>
          <w:rFonts w:ascii="Times New Roman" w:hAnsi="Times New Roman" w:cs="Times New Roman"/>
          <w:sz w:val="24"/>
          <w:szCs w:val="24"/>
        </w:rPr>
        <w:t>,</w:t>
      </w:r>
      <w:r w:rsidR="002C7C4A">
        <w:rPr>
          <w:rFonts w:ascii="Times New Roman" w:hAnsi="Times New Roman" w:cs="Times New Roman"/>
          <w:sz w:val="24"/>
          <w:szCs w:val="24"/>
        </w:rPr>
        <w:t xml:space="preserve"> неговите данни се сумират с тези на партньора и тогава се добавят през съответната пропорция към данните на бенефициента. К</w:t>
      </w:r>
      <w:r w:rsidR="0060200A">
        <w:rPr>
          <w:rFonts w:ascii="Times New Roman" w:hAnsi="Times New Roman" w:cs="Times New Roman"/>
          <w:sz w:val="24"/>
          <w:szCs w:val="24"/>
        </w:rPr>
        <w:t xml:space="preserve">ъм данните на предприятието </w:t>
      </w:r>
      <w:r w:rsidR="002C7C4A">
        <w:rPr>
          <w:rFonts w:ascii="Times New Roman" w:hAnsi="Times New Roman" w:cs="Times New Roman"/>
          <w:sz w:val="24"/>
          <w:szCs w:val="24"/>
        </w:rPr>
        <w:t>партн</w:t>
      </w:r>
      <w:r w:rsidR="0060200A">
        <w:rPr>
          <w:rFonts w:ascii="Times New Roman" w:hAnsi="Times New Roman" w:cs="Times New Roman"/>
          <w:sz w:val="24"/>
          <w:szCs w:val="24"/>
        </w:rPr>
        <w:t>ь</w:t>
      </w:r>
      <w:r w:rsidR="002C7C4A">
        <w:rPr>
          <w:rFonts w:ascii="Times New Roman" w:hAnsi="Times New Roman" w:cs="Times New Roman"/>
          <w:sz w:val="24"/>
          <w:szCs w:val="24"/>
        </w:rPr>
        <w:t>ор</w:t>
      </w:r>
      <w:r w:rsidR="0060200A">
        <w:rPr>
          <w:rFonts w:ascii="Times New Roman" w:hAnsi="Times New Roman" w:cs="Times New Roman"/>
          <w:sz w:val="24"/>
          <w:szCs w:val="24"/>
        </w:rPr>
        <w:t xml:space="preserve"> НЕ се добавят тези на негово предприятие партньор за определяне категорията на </w:t>
      </w:r>
      <w:proofErr w:type="spellStart"/>
      <w:r w:rsidR="0060200A">
        <w:rPr>
          <w:rFonts w:ascii="Times New Roman" w:hAnsi="Times New Roman" w:cs="Times New Roman"/>
          <w:sz w:val="24"/>
          <w:szCs w:val="24"/>
        </w:rPr>
        <w:t>бенефициента.</w:t>
      </w:r>
      <w:r w:rsidRPr="00B244B5">
        <w:rPr>
          <w:rFonts w:ascii="Times New Roman" w:hAnsi="Times New Roman" w:cs="Times New Roman"/>
          <w:sz w:val="24"/>
          <w:szCs w:val="24"/>
        </w:rPr>
        <w:t>в</w:t>
      </w:r>
      <w:proofErr w:type="spellEnd"/>
      <w:r w:rsidRPr="00B244B5">
        <w:rPr>
          <w:rFonts w:ascii="Times New Roman" w:hAnsi="Times New Roman" w:cs="Times New Roman"/>
          <w:sz w:val="24"/>
          <w:szCs w:val="24"/>
        </w:rPr>
        <w:t xml:space="preserve">) На база на така получените по буква б) данни се прави заключението относно категорията на предприятието. </w:t>
      </w:r>
    </w:p>
    <w:p w14:paraId="6B7ACED9" w14:textId="77777777" w:rsidR="00A83B34" w:rsidRPr="00B244B5" w:rsidRDefault="00A83B34" w:rsidP="00A83B34">
      <w:pPr>
        <w:tabs>
          <w:tab w:val="left" w:pos="426"/>
        </w:tabs>
        <w:jc w:val="both"/>
        <w:rPr>
          <w:rFonts w:ascii="Times New Roman" w:hAnsi="Times New Roman" w:cs="Times New Roman"/>
          <w:b/>
          <w:bCs/>
          <w:sz w:val="24"/>
          <w:szCs w:val="24"/>
        </w:rPr>
      </w:pPr>
      <w:r w:rsidRPr="00B244B5">
        <w:rPr>
          <w:rFonts w:ascii="Times New Roman" w:hAnsi="Times New Roman" w:cs="Times New Roman"/>
          <w:b/>
          <w:bCs/>
          <w:sz w:val="24"/>
          <w:szCs w:val="24"/>
        </w:rPr>
        <w:t xml:space="preserve">3.2. </w:t>
      </w:r>
      <w:r w:rsidRPr="00B244B5">
        <w:rPr>
          <w:rFonts w:ascii="Times New Roman" w:hAnsi="Times New Roman" w:cs="Times New Roman"/>
          <w:sz w:val="24"/>
          <w:szCs w:val="24"/>
        </w:rPr>
        <w:t xml:space="preserve">В случай че въз основа на наличната по отношение на конкретното предприятие информация не може да </w:t>
      </w:r>
      <w:r w:rsidR="00C01563">
        <w:rPr>
          <w:rFonts w:ascii="Times New Roman" w:hAnsi="Times New Roman" w:cs="Times New Roman"/>
          <w:sz w:val="24"/>
          <w:szCs w:val="24"/>
        </w:rPr>
        <w:t>се</w:t>
      </w:r>
      <w:r w:rsidRPr="00B244B5">
        <w:rPr>
          <w:rFonts w:ascii="Times New Roman" w:hAnsi="Times New Roman" w:cs="Times New Roman"/>
          <w:sz w:val="24"/>
          <w:szCs w:val="24"/>
        </w:rPr>
        <w:t xml:space="preserve"> направи заключение, че категорията му отговаря на ограниченията за МСП, предприятието следва да се счита за голямо предприятие.</w:t>
      </w:r>
      <w:r w:rsidR="0060200A">
        <w:rPr>
          <w:rFonts w:ascii="Times New Roman" w:hAnsi="Times New Roman" w:cs="Times New Roman"/>
          <w:sz w:val="24"/>
          <w:szCs w:val="24"/>
        </w:rPr>
        <w:t xml:space="preserve"> Съгласно чл. 4, ал. 9 от ЗМСП не са МСП тези предприятия, при които </w:t>
      </w:r>
      <w:r w:rsidR="0060200A" w:rsidRPr="0060200A">
        <w:rPr>
          <w:rFonts w:ascii="Times New Roman" w:hAnsi="Times New Roman" w:cs="Times New Roman"/>
          <w:sz w:val="24"/>
          <w:szCs w:val="24"/>
        </w:rPr>
        <w:t xml:space="preserve">25 на сто или повече от капитала или от броя на гласовете в общото събрание се контролират пряко или непряко, заедно или поотделно от </w:t>
      </w:r>
      <w:r w:rsidR="0060200A" w:rsidRPr="0060200A">
        <w:rPr>
          <w:rFonts w:ascii="Times New Roman" w:hAnsi="Times New Roman" w:cs="Times New Roman"/>
          <w:sz w:val="24"/>
          <w:szCs w:val="24"/>
        </w:rPr>
        <w:lastRenderedPageBreak/>
        <w:t>един или повече държавни органи</w:t>
      </w:r>
      <w:r w:rsidR="0060200A">
        <w:rPr>
          <w:rFonts w:ascii="Times New Roman" w:hAnsi="Times New Roman" w:cs="Times New Roman"/>
          <w:sz w:val="24"/>
          <w:szCs w:val="24"/>
        </w:rPr>
        <w:t xml:space="preserve">. Тази разпоредба се прилага разширително и обхваща и общините, които са орган на местно самоуправления по аргумент от </w:t>
      </w:r>
      <w:r w:rsidR="0060200A" w:rsidRPr="00C8176F">
        <w:rPr>
          <w:rFonts w:ascii="Times New Roman" w:hAnsi="Times New Roman" w:cs="Times New Roman"/>
          <w:sz w:val="24"/>
          <w:szCs w:val="24"/>
        </w:rPr>
        <w:t xml:space="preserve">чл. 4 от Приложение І от Регламент </w:t>
      </w:r>
      <w:proofErr w:type="spellStart"/>
      <w:r w:rsidR="0060200A" w:rsidRPr="00C8176F">
        <w:rPr>
          <w:rFonts w:ascii="Times New Roman" w:hAnsi="Times New Roman" w:cs="Times New Roman"/>
          <w:sz w:val="24"/>
          <w:szCs w:val="24"/>
        </w:rPr>
        <w:t>регламент</w:t>
      </w:r>
      <w:proofErr w:type="spellEnd"/>
      <w:r w:rsidR="0060200A" w:rsidRPr="00C8176F">
        <w:rPr>
          <w:rFonts w:ascii="Times New Roman" w:hAnsi="Times New Roman" w:cs="Times New Roman"/>
          <w:sz w:val="24"/>
          <w:szCs w:val="24"/>
        </w:rPr>
        <w:t xml:space="preserve"> 651/2014 на Комисията (ЕО) № 651/2014)</w:t>
      </w:r>
      <w:r w:rsidR="0060200A">
        <w:rPr>
          <w:rFonts w:ascii="Times New Roman" w:hAnsi="Times New Roman" w:cs="Times New Roman"/>
          <w:sz w:val="24"/>
          <w:szCs w:val="24"/>
        </w:rPr>
        <w:t xml:space="preserve">. </w:t>
      </w:r>
    </w:p>
    <w:p w14:paraId="615E4F0B"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b/>
          <w:sz w:val="24"/>
          <w:szCs w:val="24"/>
        </w:rPr>
        <w:t>3.3.</w:t>
      </w:r>
      <w:r w:rsidRPr="00B244B5">
        <w:rPr>
          <w:rFonts w:ascii="Times New Roman" w:hAnsi="Times New Roman" w:cs="Times New Roman"/>
          <w:sz w:val="24"/>
          <w:szCs w:val="24"/>
        </w:rPr>
        <w:t xml:space="preserve"> При разглеждане на свързаност по смисъла на чл.4, ал.5, т.3 от ЗМСП, </w:t>
      </w:r>
      <w:r w:rsidR="002C7C4A">
        <w:rPr>
          <w:rFonts w:ascii="Times New Roman" w:hAnsi="Times New Roman" w:cs="Times New Roman"/>
          <w:sz w:val="24"/>
          <w:szCs w:val="24"/>
        </w:rPr>
        <w:t xml:space="preserve">вкл. и през физически лица (чл. 4, ал. 8 във връзка с ал. 5, т. 3), </w:t>
      </w:r>
      <w:r w:rsidRPr="00B244B5">
        <w:rPr>
          <w:rFonts w:ascii="Times New Roman" w:hAnsi="Times New Roman" w:cs="Times New Roman"/>
          <w:sz w:val="24"/>
          <w:szCs w:val="24"/>
        </w:rPr>
        <w:t>когато едното предприятие има право да упражнява решаващо влияние върху другото предприятие по силата на договор, сключен между тях, или на клауза в неговия устав, учредителен договор или друг учредителен акт – за да е налице хипотезата на свързаност въз основа на договор, не се изисква договорът или споразумението да са вписани в Търговския регистър, освен в случаите когато касае подлежаща на вписване информация.</w:t>
      </w:r>
    </w:p>
    <w:p w14:paraId="7A0B4EB5" w14:textId="77777777" w:rsidR="00A83B34" w:rsidRPr="00B244B5" w:rsidRDefault="00A83B34" w:rsidP="00A83B34">
      <w:pPr>
        <w:jc w:val="both"/>
        <w:rPr>
          <w:rFonts w:ascii="Times New Roman" w:hAnsi="Times New Roman" w:cs="Times New Roman"/>
          <w:b/>
          <w:sz w:val="24"/>
          <w:szCs w:val="24"/>
        </w:rPr>
      </w:pPr>
      <w:r w:rsidRPr="00B244B5">
        <w:rPr>
          <w:rFonts w:ascii="Times New Roman" w:hAnsi="Times New Roman" w:cs="Times New Roman"/>
          <w:b/>
          <w:sz w:val="24"/>
          <w:szCs w:val="24"/>
        </w:rPr>
        <w:t>3.4.</w:t>
      </w:r>
      <w:r w:rsidRPr="00B244B5">
        <w:rPr>
          <w:rFonts w:ascii="Times New Roman" w:hAnsi="Times New Roman" w:cs="Times New Roman"/>
          <w:sz w:val="24"/>
          <w:szCs w:val="24"/>
        </w:rPr>
        <w:t xml:space="preserve"> </w:t>
      </w:r>
      <w:r w:rsidRPr="00B244B5">
        <w:rPr>
          <w:rFonts w:ascii="Times New Roman" w:hAnsi="Times New Roman" w:cs="Times New Roman"/>
          <w:b/>
          <w:sz w:val="24"/>
          <w:szCs w:val="24"/>
        </w:rPr>
        <w:t xml:space="preserve">Проверка за свързаност чрез Управител/прокурист или Изпълнителен директор/Управителни органи/ на дружеството </w:t>
      </w:r>
    </w:p>
    <w:p w14:paraId="1ED75D4F"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sz w:val="24"/>
          <w:szCs w:val="24"/>
        </w:rPr>
        <w:t xml:space="preserve">Съгласно действащото законодателство Управителят/прокуристът и/или Изпълнителният Директор ръководят дейността на предприятието съобразно и в изпълнение решенията на Общото събрание/Едноличния собственик на капитала. Овластяването на Управителя може да бъде оттеглено по всяко време. В тази връзка проверка за свързаност чрез Управител/прокурист или Изпълнителен директор се извършва само доколкото е налице разпоредба в дружествен договор/устав/учредителен акт, или договор за управление, по силата на която управителният орган има права, които позволяват наличието на отношения на свързаност по смисъла на чл. 4, ал. 5-8 от ЗМСП. </w:t>
      </w:r>
    </w:p>
    <w:p w14:paraId="47235460"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b/>
          <w:sz w:val="24"/>
          <w:szCs w:val="24"/>
        </w:rPr>
        <w:t>3.5.</w:t>
      </w:r>
      <w:r w:rsidRPr="00B244B5">
        <w:rPr>
          <w:rFonts w:ascii="Times New Roman" w:hAnsi="Times New Roman" w:cs="Times New Roman"/>
          <w:sz w:val="24"/>
          <w:szCs w:val="24"/>
        </w:rPr>
        <w:t xml:space="preserve"> </w:t>
      </w:r>
      <w:r w:rsidRPr="00B244B5">
        <w:rPr>
          <w:rFonts w:ascii="Times New Roman" w:hAnsi="Times New Roman" w:cs="Times New Roman"/>
          <w:b/>
          <w:sz w:val="24"/>
          <w:szCs w:val="24"/>
        </w:rPr>
        <w:t>Свързаност чрез физическо лице или група от физически лица, действащи съвместно</w:t>
      </w:r>
      <w:r w:rsidRPr="00B244B5">
        <w:rPr>
          <w:rFonts w:ascii="Times New Roman" w:hAnsi="Times New Roman" w:cs="Times New Roman"/>
          <w:sz w:val="24"/>
          <w:szCs w:val="24"/>
        </w:rPr>
        <w:t>.</w:t>
      </w:r>
    </w:p>
    <w:p w14:paraId="3168B4F4"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sz w:val="24"/>
          <w:szCs w:val="24"/>
        </w:rPr>
        <w:t xml:space="preserve">Член 3, параграф 3 от Приложение І към Регламент на Комисията (ЕО) № 651/2014, както и чл. 4, ал. 5 от ЗМСП предвиждат случаите, в които е налице свързаност между предприятия. В допълнение, разпоредбата на чл. 4, ал. 8 от ЗМСП предвижда, че предприятията ще се считат за свързани и когато помежду си осъществяват някое от горепосочените отношения чрез едно или група физически лица, </w:t>
      </w:r>
      <w:r w:rsidRPr="00B244B5">
        <w:rPr>
          <w:rFonts w:ascii="Times New Roman" w:hAnsi="Times New Roman" w:cs="Times New Roman"/>
          <w:b/>
          <w:sz w:val="24"/>
          <w:szCs w:val="24"/>
        </w:rPr>
        <w:t>действащи съвместно</w:t>
      </w:r>
      <w:r w:rsidRPr="00B244B5">
        <w:rPr>
          <w:rFonts w:ascii="Times New Roman" w:hAnsi="Times New Roman" w:cs="Times New Roman"/>
          <w:sz w:val="24"/>
          <w:szCs w:val="24"/>
        </w:rPr>
        <w:t xml:space="preserve">, </w:t>
      </w:r>
      <w:r w:rsidRPr="00B244B5">
        <w:rPr>
          <w:rFonts w:ascii="Times New Roman" w:hAnsi="Times New Roman" w:cs="Times New Roman"/>
          <w:b/>
          <w:sz w:val="24"/>
          <w:szCs w:val="24"/>
        </w:rPr>
        <w:t xml:space="preserve">ако те упражняват дейността си или част от своята дейност на същия съответен или на вертикално свързани пазари. </w:t>
      </w:r>
      <w:r w:rsidRPr="00B244B5">
        <w:rPr>
          <w:rFonts w:ascii="Times New Roman" w:hAnsi="Times New Roman" w:cs="Times New Roman"/>
          <w:sz w:val="24"/>
          <w:szCs w:val="24"/>
        </w:rPr>
        <w:t>Определенията за съответен и вертикално свързани пазари се съдържат в Допълнителната разпоредба на ЗМСП. Съгласно точка 7 от §1</w:t>
      </w:r>
      <w:r w:rsidR="00E91690">
        <w:rPr>
          <w:rFonts w:ascii="Times New Roman" w:hAnsi="Times New Roman" w:cs="Times New Roman"/>
          <w:sz w:val="24"/>
          <w:szCs w:val="24"/>
        </w:rPr>
        <w:t xml:space="preserve"> от ДР на ЗМСП</w:t>
      </w:r>
      <w:r w:rsidRPr="00B244B5">
        <w:rPr>
          <w:rFonts w:ascii="Times New Roman" w:hAnsi="Times New Roman" w:cs="Times New Roman"/>
          <w:sz w:val="24"/>
          <w:szCs w:val="24"/>
        </w:rPr>
        <w:t>, която препраща към § 1, точка 5 от Допълнителната разпоредба на отменения Закон за защита на конкуренцията (</w:t>
      </w:r>
      <w:proofErr w:type="spellStart"/>
      <w:r w:rsidRPr="00B244B5">
        <w:rPr>
          <w:rFonts w:ascii="Times New Roman" w:hAnsi="Times New Roman" w:cs="Times New Roman"/>
          <w:sz w:val="24"/>
          <w:szCs w:val="24"/>
        </w:rPr>
        <w:t>Обн</w:t>
      </w:r>
      <w:proofErr w:type="spellEnd"/>
      <w:r w:rsidRPr="00B244B5">
        <w:rPr>
          <w:rFonts w:ascii="Times New Roman" w:hAnsi="Times New Roman" w:cs="Times New Roman"/>
          <w:sz w:val="24"/>
          <w:szCs w:val="24"/>
        </w:rPr>
        <w:t xml:space="preserve">., ДВ, бр. 52 от 8.05.1998 г., отм., бр. 102 от 28.11.2008 г.), съответният пазар се състои от продуктов </w:t>
      </w:r>
      <w:r w:rsidRPr="00B244B5">
        <w:rPr>
          <w:rFonts w:ascii="Times New Roman" w:hAnsi="Times New Roman" w:cs="Times New Roman"/>
          <w:sz w:val="24"/>
          <w:szCs w:val="24"/>
          <w:u w:val="single"/>
        </w:rPr>
        <w:t>и</w:t>
      </w:r>
      <w:r w:rsidRPr="00B244B5">
        <w:rPr>
          <w:rFonts w:ascii="Times New Roman" w:hAnsi="Times New Roman" w:cs="Times New Roman"/>
          <w:sz w:val="24"/>
          <w:szCs w:val="24"/>
        </w:rPr>
        <w:t xml:space="preserve"> географски пазар. Продуктовият пазар обхваща стоките или услугите, които поради сходството в характеристиките, предназначението и цените си се считат за </w:t>
      </w:r>
      <w:proofErr w:type="spellStart"/>
      <w:r w:rsidRPr="00B244B5">
        <w:rPr>
          <w:rFonts w:ascii="Times New Roman" w:hAnsi="Times New Roman" w:cs="Times New Roman"/>
          <w:sz w:val="24"/>
          <w:szCs w:val="24"/>
        </w:rPr>
        <w:t>взаимозаменяеми</w:t>
      </w:r>
      <w:proofErr w:type="spellEnd"/>
      <w:r w:rsidRPr="00B244B5">
        <w:rPr>
          <w:rFonts w:ascii="Times New Roman" w:hAnsi="Times New Roman" w:cs="Times New Roman"/>
          <w:sz w:val="24"/>
          <w:szCs w:val="24"/>
        </w:rPr>
        <w:t xml:space="preserve">. Географският пазар включва територията, на която се предлагат горепосочените </w:t>
      </w:r>
      <w:proofErr w:type="spellStart"/>
      <w:r w:rsidRPr="00B244B5">
        <w:rPr>
          <w:rFonts w:ascii="Times New Roman" w:hAnsi="Times New Roman" w:cs="Times New Roman"/>
          <w:sz w:val="24"/>
          <w:szCs w:val="24"/>
        </w:rPr>
        <w:t>взаимозаменяеми</w:t>
      </w:r>
      <w:proofErr w:type="spellEnd"/>
      <w:r w:rsidRPr="00B244B5">
        <w:rPr>
          <w:rFonts w:ascii="Times New Roman" w:hAnsi="Times New Roman" w:cs="Times New Roman"/>
          <w:sz w:val="24"/>
          <w:szCs w:val="24"/>
        </w:rPr>
        <w:t xml:space="preserve"> стоки или услуги при еднакви конкурентни условия различни от условията в съседни райони.</w:t>
      </w:r>
      <w:r w:rsidRPr="00B244B5">
        <w:rPr>
          <w:rFonts w:ascii="Times New Roman" w:hAnsi="Times New Roman" w:cs="Times New Roman"/>
          <w:b/>
          <w:sz w:val="24"/>
          <w:szCs w:val="24"/>
        </w:rPr>
        <w:t xml:space="preserve"> </w:t>
      </w:r>
      <w:r w:rsidRPr="00B244B5">
        <w:rPr>
          <w:rFonts w:ascii="Times New Roman" w:hAnsi="Times New Roman" w:cs="Times New Roman"/>
          <w:sz w:val="24"/>
          <w:szCs w:val="24"/>
        </w:rPr>
        <w:t>Съгласно §1, точка 8 от Допълнителната разпоредба на ЗМСП „вертикално свързани пазари“ са пазарите на стоки и услуги, които непосредствено предхождат или следват съответния продуктов пазар по веригата производство-разпределение.</w:t>
      </w:r>
    </w:p>
    <w:p w14:paraId="18F2B276"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sz w:val="24"/>
          <w:szCs w:val="24"/>
        </w:rPr>
        <w:t xml:space="preserve">Не всяка сделка между две предприятия следва да се счита за извършване на дейност на същия съответен или вертикално свързани пазари, водеща до свързаност по смисъла на ЗМСП. При проверката за свързаност чрез физическо лице или група от физически лица </w:t>
      </w:r>
      <w:r w:rsidRPr="00B244B5">
        <w:rPr>
          <w:rFonts w:ascii="Times New Roman" w:hAnsi="Times New Roman" w:cs="Times New Roman"/>
          <w:sz w:val="24"/>
          <w:szCs w:val="24"/>
        </w:rPr>
        <w:lastRenderedPageBreak/>
        <w:t>следва да се извърши както правен, така и икономически анализ, като се акцентира основно върху правата, които имат физическите лица (независимо от връзките помежду им), за да оказват влияние и контрол върху цялостната дейност на предприятията, предмета на дейност на дружествата, в които съответните лица имат мажоритарен дял, приходите от дейност</w:t>
      </w:r>
      <w:r w:rsidR="00E91690">
        <w:rPr>
          <w:rFonts w:ascii="Times New Roman" w:hAnsi="Times New Roman" w:cs="Times New Roman"/>
          <w:sz w:val="24"/>
          <w:szCs w:val="24"/>
        </w:rPr>
        <w:t>та</w:t>
      </w:r>
      <w:r w:rsidRPr="00B244B5">
        <w:rPr>
          <w:rFonts w:ascii="Times New Roman" w:hAnsi="Times New Roman" w:cs="Times New Roman"/>
          <w:sz w:val="24"/>
          <w:szCs w:val="24"/>
        </w:rPr>
        <w:t xml:space="preserve"> на дружествата, дали същите са осъществявали сделки помежду си по отношение на закупуване и доставка на стоки и/или предоставяне на услуги, от което съответно може да се направи изводът, дали предприятията извършват част или цялата си икономическа дейност на същите съответни и/или вертикално свързани пазари и др. Когато са налице връзки по смисъла на чл.4, ал.8 от ЗМСП посредством физически лица, но дадено предприятие е било икономически неактивно за определен период от време, то за този период предприятието следва да се счита за независимо, тъй като не е изпълнен пълният състав на хипотезата на свързаност по смисъла на чл.</w:t>
      </w:r>
      <w:r w:rsidR="00273C46">
        <w:rPr>
          <w:rFonts w:ascii="Times New Roman" w:hAnsi="Times New Roman" w:cs="Times New Roman"/>
          <w:sz w:val="24"/>
          <w:szCs w:val="24"/>
        </w:rPr>
        <w:t xml:space="preserve"> 4, ал. </w:t>
      </w:r>
      <w:r w:rsidRPr="00B244B5">
        <w:rPr>
          <w:rFonts w:ascii="Times New Roman" w:hAnsi="Times New Roman" w:cs="Times New Roman"/>
          <w:sz w:val="24"/>
          <w:szCs w:val="24"/>
        </w:rPr>
        <w:t>8</w:t>
      </w:r>
      <w:r w:rsidR="00273C46">
        <w:rPr>
          <w:rFonts w:ascii="Times New Roman" w:hAnsi="Times New Roman" w:cs="Times New Roman"/>
          <w:sz w:val="24"/>
          <w:szCs w:val="24"/>
        </w:rPr>
        <w:t xml:space="preserve"> ЗМСП</w:t>
      </w:r>
      <w:r w:rsidRPr="00B244B5">
        <w:rPr>
          <w:rFonts w:ascii="Times New Roman" w:hAnsi="Times New Roman" w:cs="Times New Roman"/>
          <w:sz w:val="24"/>
          <w:szCs w:val="24"/>
        </w:rPr>
        <w:t>. При липса на каквато и да било икономическа дейност</w:t>
      </w:r>
      <w:r w:rsidR="00273C46">
        <w:rPr>
          <w:rFonts w:ascii="Times New Roman" w:hAnsi="Times New Roman" w:cs="Times New Roman"/>
          <w:sz w:val="24"/>
          <w:szCs w:val="24"/>
        </w:rPr>
        <w:t xml:space="preserve"> за изследвания период</w:t>
      </w:r>
      <w:r w:rsidRPr="00B244B5">
        <w:rPr>
          <w:rFonts w:ascii="Times New Roman" w:hAnsi="Times New Roman" w:cs="Times New Roman"/>
          <w:sz w:val="24"/>
          <w:szCs w:val="24"/>
        </w:rPr>
        <w:t>, е невъзможно предприятието да е извършвало част или цялата си дейност на същия съответен или на вертикално свързани пазари.</w:t>
      </w:r>
    </w:p>
    <w:p w14:paraId="31B506B9"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b/>
          <w:sz w:val="24"/>
          <w:szCs w:val="24"/>
        </w:rPr>
        <w:t>3.6.</w:t>
      </w:r>
      <w:r w:rsidRPr="00B244B5">
        <w:rPr>
          <w:rFonts w:ascii="Times New Roman" w:hAnsi="Times New Roman" w:cs="Times New Roman"/>
          <w:sz w:val="24"/>
          <w:szCs w:val="24"/>
        </w:rPr>
        <w:t xml:space="preserve"> </w:t>
      </w:r>
      <w:r w:rsidRPr="00B244B5">
        <w:rPr>
          <w:rFonts w:ascii="Times New Roman" w:hAnsi="Times New Roman" w:cs="Times New Roman"/>
          <w:b/>
          <w:sz w:val="24"/>
          <w:szCs w:val="24"/>
        </w:rPr>
        <w:t>Семейни и Роднински връзки</w:t>
      </w:r>
      <w:r w:rsidRPr="00B244B5">
        <w:rPr>
          <w:rFonts w:ascii="Times New Roman" w:hAnsi="Times New Roman" w:cs="Times New Roman"/>
          <w:sz w:val="24"/>
          <w:szCs w:val="24"/>
        </w:rPr>
        <w:t xml:space="preserve">: </w:t>
      </w:r>
    </w:p>
    <w:p w14:paraId="08CFC758"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sz w:val="24"/>
          <w:szCs w:val="24"/>
        </w:rPr>
        <w:t xml:space="preserve">При наличие на данни в представените документи (напр. </w:t>
      </w:r>
      <w:r w:rsidR="004167D5">
        <w:rPr>
          <w:rFonts w:ascii="Times New Roman" w:hAnsi="Times New Roman" w:cs="Times New Roman"/>
          <w:sz w:val="24"/>
          <w:szCs w:val="24"/>
        </w:rPr>
        <w:t>акт за раждане</w:t>
      </w:r>
      <w:r w:rsidRPr="00B244B5">
        <w:rPr>
          <w:rFonts w:ascii="Times New Roman" w:hAnsi="Times New Roman" w:cs="Times New Roman"/>
          <w:sz w:val="24"/>
          <w:szCs w:val="24"/>
        </w:rPr>
        <w:t xml:space="preserve"> и др.), както и в случай, че </w:t>
      </w:r>
      <w:r w:rsidR="004167D5">
        <w:rPr>
          <w:rFonts w:ascii="Times New Roman" w:hAnsi="Times New Roman" w:cs="Times New Roman"/>
          <w:sz w:val="24"/>
          <w:szCs w:val="24"/>
        </w:rPr>
        <w:t>предприятието</w:t>
      </w:r>
      <w:r w:rsidRPr="00B244B5">
        <w:rPr>
          <w:rFonts w:ascii="Times New Roman" w:hAnsi="Times New Roman" w:cs="Times New Roman"/>
          <w:sz w:val="24"/>
          <w:szCs w:val="24"/>
        </w:rPr>
        <w:t xml:space="preserve">, на база роднински </w:t>
      </w:r>
      <w:r w:rsidR="00273C46">
        <w:rPr>
          <w:rFonts w:ascii="Times New Roman" w:hAnsi="Times New Roman" w:cs="Times New Roman"/>
          <w:sz w:val="24"/>
          <w:szCs w:val="24"/>
        </w:rPr>
        <w:t xml:space="preserve">и/или семейни </w:t>
      </w:r>
      <w:r w:rsidRPr="00B244B5">
        <w:rPr>
          <w:rFonts w:ascii="Times New Roman" w:hAnsi="Times New Roman" w:cs="Times New Roman"/>
          <w:sz w:val="24"/>
          <w:szCs w:val="24"/>
        </w:rPr>
        <w:t>връзки между собствениците на няколко дружества и сделки между тези дружества, е декларирал свързаност между тези дружества и представи доказателства за наличие на хипотезата по чл. 4, ал. 8 от ЗМСП, това обстоятелство следва да бъде взето предвид при извършване на съответната проверка (с цел изясняване наличието/липсата на свързаност).</w:t>
      </w:r>
    </w:p>
    <w:p w14:paraId="261F302B" w14:textId="77777777" w:rsidR="00A83B34" w:rsidRPr="00B244B5" w:rsidRDefault="00A83B34" w:rsidP="00A83B34">
      <w:pPr>
        <w:jc w:val="both"/>
        <w:rPr>
          <w:rFonts w:ascii="Times New Roman" w:hAnsi="Times New Roman" w:cs="Times New Roman"/>
          <w:sz w:val="24"/>
          <w:szCs w:val="24"/>
        </w:rPr>
      </w:pPr>
      <w:r w:rsidRPr="00B244B5">
        <w:rPr>
          <w:rFonts w:ascii="Times New Roman" w:hAnsi="Times New Roman" w:cs="Times New Roman"/>
          <w:sz w:val="24"/>
          <w:szCs w:val="24"/>
        </w:rPr>
        <w:t xml:space="preserve">Установяването на липсата/наличието на роднински връзки и свързаност само по себе си </w:t>
      </w:r>
      <w:r w:rsidRPr="008C2182">
        <w:rPr>
          <w:rFonts w:ascii="Times New Roman" w:hAnsi="Times New Roman" w:cs="Times New Roman"/>
          <w:sz w:val="24"/>
          <w:szCs w:val="24"/>
          <w:u w:val="single"/>
        </w:rPr>
        <w:t>не е обект на проверката по същество на категорията на предприятието</w:t>
      </w:r>
      <w:r w:rsidRPr="00B244B5">
        <w:rPr>
          <w:rFonts w:ascii="Times New Roman" w:hAnsi="Times New Roman" w:cs="Times New Roman"/>
          <w:sz w:val="24"/>
          <w:szCs w:val="24"/>
        </w:rPr>
        <w:t xml:space="preserve">. </w:t>
      </w:r>
      <w:r w:rsidR="00273C46">
        <w:rPr>
          <w:rFonts w:ascii="Times New Roman" w:hAnsi="Times New Roman" w:cs="Times New Roman"/>
          <w:sz w:val="24"/>
          <w:szCs w:val="24"/>
        </w:rPr>
        <w:t>В практиката твърде рядко се прилага такова основание за наличие на свързаност и винаги е по твърдение на страната, не на органа.</w:t>
      </w:r>
    </w:p>
    <w:p w14:paraId="1587BA1D" w14:textId="77777777" w:rsidR="00A83B34" w:rsidRDefault="00A83B34" w:rsidP="00A83B34">
      <w:pPr>
        <w:jc w:val="both"/>
        <w:rPr>
          <w:rFonts w:ascii="Times New Roman" w:hAnsi="Times New Roman" w:cs="Times New Roman"/>
          <w:b/>
          <w:sz w:val="24"/>
          <w:szCs w:val="24"/>
        </w:rPr>
      </w:pPr>
      <w:r w:rsidRPr="00B244B5">
        <w:rPr>
          <w:rFonts w:ascii="Times New Roman" w:hAnsi="Times New Roman" w:cs="Times New Roman"/>
          <w:b/>
          <w:sz w:val="24"/>
          <w:szCs w:val="24"/>
        </w:rPr>
        <w:t>ВАЖНО!!!! В допълнение на гореизложеното</w:t>
      </w:r>
      <w:r w:rsidRPr="00B244B5">
        <w:rPr>
          <w:rFonts w:ascii="Times New Roman" w:hAnsi="Times New Roman" w:cs="Times New Roman"/>
          <w:sz w:val="24"/>
          <w:szCs w:val="24"/>
        </w:rPr>
        <w:t xml:space="preserve">, </w:t>
      </w:r>
      <w:r w:rsidRPr="00B244B5">
        <w:rPr>
          <w:rFonts w:ascii="Times New Roman" w:hAnsi="Times New Roman" w:cs="Times New Roman"/>
          <w:b/>
          <w:sz w:val="24"/>
          <w:szCs w:val="24"/>
        </w:rPr>
        <w:t xml:space="preserve">преценката за наличието или липсата на свързаност зависи от конкретните обстоятелства и наличните документи по всеки един отделен случай. При преценката на всеки един конкретен случай, следва да се вземе предвид и </w:t>
      </w:r>
      <w:bookmarkStart w:id="2" w:name="_Hlk146271379"/>
      <w:r w:rsidRPr="00B244B5">
        <w:rPr>
          <w:rFonts w:ascii="Times New Roman" w:hAnsi="Times New Roman" w:cs="Times New Roman"/>
          <w:b/>
          <w:sz w:val="24"/>
          <w:szCs w:val="24"/>
        </w:rPr>
        <w:t>юриспруденцията на Съда на Европейския съюз</w:t>
      </w:r>
      <w:bookmarkEnd w:id="2"/>
      <w:r w:rsidRPr="00B244B5">
        <w:rPr>
          <w:rFonts w:ascii="Times New Roman" w:hAnsi="Times New Roman" w:cs="Times New Roman"/>
          <w:b/>
          <w:sz w:val="24"/>
          <w:szCs w:val="24"/>
        </w:rPr>
        <w:t>, и практиката на ЕК при издаването на решения по сходни казуси, доколкото същите са приложими. Следва да се има предвид, че решенията на ЕК нямат нормативен характер и засягат единствено лицата, до които са адресирани.</w:t>
      </w:r>
    </w:p>
    <w:p w14:paraId="12FBB1DF" w14:textId="77777777" w:rsidR="00B92F6A" w:rsidRDefault="00B92F6A" w:rsidP="00B92F6A">
      <w:pPr>
        <w:jc w:val="both"/>
        <w:rPr>
          <w:rFonts w:ascii="Times New Roman" w:hAnsi="Times New Roman" w:cs="Times New Roman"/>
          <w:sz w:val="24"/>
          <w:szCs w:val="24"/>
        </w:rPr>
      </w:pPr>
      <w:r w:rsidRPr="00B244B5">
        <w:rPr>
          <w:rFonts w:ascii="Times New Roman" w:hAnsi="Times New Roman" w:cs="Times New Roman"/>
          <w:sz w:val="24"/>
          <w:szCs w:val="24"/>
        </w:rPr>
        <w:t>Подробни тълкувания на понятията за продуктов, географски и вертикално свързани пазари са предоставяни от КЗК по редица дела (Решение №620 от 03.06.2010 г. по преписка вх. № КЗК-273/2010 г.; Решение №1726 от 18.12.2013 г. по преписка вх. № КЗК-1469/2013 г.).</w:t>
      </w:r>
    </w:p>
    <w:p w14:paraId="5CE3687D" w14:textId="7F4DBC63" w:rsidR="00B92F6A" w:rsidRPr="00B61588" w:rsidRDefault="00B92F6A" w:rsidP="00B92F6A">
      <w:pPr>
        <w:jc w:val="both"/>
        <w:rPr>
          <w:rFonts w:ascii="Times New Roman" w:hAnsi="Times New Roman" w:cs="Times New Roman"/>
          <w:sz w:val="24"/>
          <w:szCs w:val="24"/>
        </w:rPr>
        <w:sectPr w:rsidR="00B92F6A" w:rsidRPr="00B61588" w:rsidSect="00CF44D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258" w:right="991" w:bottom="719" w:left="1411" w:header="706" w:footer="706" w:gutter="0"/>
          <w:cols w:space="706"/>
          <w:titlePg/>
          <w:docGrid w:linePitch="360"/>
        </w:sectPr>
      </w:pPr>
      <w:r>
        <w:rPr>
          <w:rFonts w:ascii="Times New Roman" w:hAnsi="Times New Roman" w:cs="Times New Roman"/>
          <w:sz w:val="24"/>
          <w:szCs w:val="24"/>
        </w:rPr>
        <w:t xml:space="preserve">Подробни указания за определяне на категорията на предприятието се съдържат в </w:t>
      </w:r>
      <w:r w:rsidRPr="00371E85">
        <w:rPr>
          <w:rFonts w:ascii="Times New Roman" w:hAnsi="Times New Roman" w:cs="Times New Roman"/>
          <w:sz w:val="24"/>
          <w:szCs w:val="24"/>
        </w:rPr>
        <w:t>Указания за попълване на Декларацията за обстоятелствата по чл. 3 и чл. 4 от Закона за малките и средните предприятия</w:t>
      </w:r>
      <w:r w:rsidR="00CF44DE">
        <w:rPr>
          <w:rFonts w:ascii="Times New Roman" w:hAnsi="Times New Roman" w:cs="Times New Roman"/>
          <w:sz w:val="24"/>
          <w:szCs w:val="24"/>
        </w:rPr>
        <w:t>.</w:t>
      </w:r>
    </w:p>
    <w:p w14:paraId="1B2C7142" w14:textId="77777777" w:rsidR="00B92F6A" w:rsidRDefault="00B92F6A" w:rsidP="00A83B34">
      <w:pPr>
        <w:jc w:val="both"/>
        <w:rPr>
          <w:rFonts w:ascii="Times New Roman" w:hAnsi="Times New Roman" w:cs="Times New Roman"/>
          <w:b/>
          <w:sz w:val="24"/>
          <w:szCs w:val="24"/>
        </w:rPr>
      </w:pPr>
      <w:bookmarkStart w:id="3" w:name="_GoBack"/>
      <w:bookmarkEnd w:id="3"/>
    </w:p>
    <w:p w14:paraId="1301AF65" w14:textId="77777777" w:rsidR="00E965B4" w:rsidRDefault="002049FB" w:rsidP="00A83B34">
      <w:pPr>
        <w:jc w:val="both"/>
        <w:rPr>
          <w:rFonts w:ascii="Times New Roman" w:hAnsi="Times New Roman" w:cs="Times New Roman"/>
          <w:b/>
          <w:sz w:val="24"/>
          <w:szCs w:val="24"/>
        </w:rPr>
      </w:pPr>
      <w:r>
        <w:rPr>
          <w:rFonts w:ascii="Times New Roman" w:hAnsi="Times New Roman" w:cs="Times New Roman"/>
          <w:b/>
          <w:sz w:val="24"/>
          <w:szCs w:val="24"/>
        </w:rPr>
        <w:t>И</w:t>
      </w:r>
      <w:r w:rsidR="00E965B4">
        <w:rPr>
          <w:rFonts w:ascii="Times New Roman" w:hAnsi="Times New Roman" w:cs="Times New Roman"/>
          <w:b/>
          <w:sz w:val="24"/>
          <w:szCs w:val="24"/>
        </w:rPr>
        <w:t xml:space="preserve">зточници </w:t>
      </w:r>
      <w:r w:rsidR="001C4D5C">
        <w:rPr>
          <w:rFonts w:ascii="Times New Roman" w:hAnsi="Times New Roman" w:cs="Times New Roman"/>
          <w:b/>
          <w:sz w:val="24"/>
          <w:szCs w:val="24"/>
        </w:rPr>
        <w:t xml:space="preserve">на информация </w:t>
      </w:r>
      <w:r w:rsidR="00E965B4">
        <w:rPr>
          <w:rFonts w:ascii="Times New Roman" w:hAnsi="Times New Roman" w:cs="Times New Roman"/>
          <w:b/>
          <w:sz w:val="24"/>
          <w:szCs w:val="24"/>
        </w:rPr>
        <w:t>за проверка</w:t>
      </w:r>
      <w:r w:rsidR="001C4D5C">
        <w:rPr>
          <w:rFonts w:ascii="Times New Roman" w:hAnsi="Times New Roman" w:cs="Times New Roman"/>
          <w:b/>
          <w:sz w:val="24"/>
          <w:szCs w:val="24"/>
        </w:rPr>
        <w:t>та</w:t>
      </w:r>
      <w:r w:rsidR="00E965B4">
        <w:rPr>
          <w:rFonts w:ascii="Times New Roman" w:hAnsi="Times New Roman" w:cs="Times New Roman"/>
          <w:b/>
          <w:sz w:val="24"/>
          <w:szCs w:val="24"/>
        </w:rPr>
        <w:t>:</w:t>
      </w:r>
    </w:p>
    <w:p w14:paraId="42B274EE" w14:textId="77777777" w:rsidR="006237F6" w:rsidRPr="001C4D5C" w:rsidRDefault="00E965B4" w:rsidP="00821C3D">
      <w:pPr>
        <w:jc w:val="both"/>
        <w:rPr>
          <w:rFonts w:ascii="Times New Roman" w:eastAsia="Times New Roman" w:hAnsi="Times New Roman" w:cs="Times New Roman"/>
          <w:bCs/>
          <w:sz w:val="24"/>
          <w:szCs w:val="24"/>
          <w:lang w:val="en-US"/>
        </w:rPr>
      </w:pPr>
      <w:r w:rsidRPr="001C4D5C">
        <w:rPr>
          <w:rFonts w:ascii="Times New Roman" w:eastAsia="Times New Roman" w:hAnsi="Times New Roman" w:cs="Times New Roman"/>
          <w:bCs/>
          <w:sz w:val="24"/>
          <w:szCs w:val="24"/>
        </w:rPr>
        <w:t xml:space="preserve">1. </w:t>
      </w:r>
      <w:r w:rsidR="00821C3D" w:rsidRPr="001C4D5C">
        <w:rPr>
          <w:rFonts w:ascii="Times New Roman" w:eastAsia="Times New Roman" w:hAnsi="Times New Roman" w:cs="Times New Roman"/>
          <w:bCs/>
          <w:sz w:val="24"/>
          <w:szCs w:val="24"/>
        </w:rPr>
        <w:t>Търговски регистър и регистър на юридическите лица с нестопанска цел</w:t>
      </w:r>
      <w:r w:rsidR="006237F6" w:rsidRPr="001C4D5C">
        <w:rPr>
          <w:rFonts w:ascii="Times New Roman" w:eastAsia="Times New Roman" w:hAnsi="Times New Roman" w:cs="Times New Roman"/>
          <w:bCs/>
          <w:sz w:val="24"/>
          <w:szCs w:val="24"/>
          <w:lang w:val="en-US"/>
        </w:rPr>
        <w:t>;</w:t>
      </w:r>
    </w:p>
    <w:p w14:paraId="533CB3FD" w14:textId="77777777" w:rsidR="00802095" w:rsidRPr="001C4D5C" w:rsidRDefault="006237F6" w:rsidP="006237F6">
      <w:pPr>
        <w:jc w:val="both"/>
        <w:rPr>
          <w:rFonts w:ascii="Times New Roman" w:eastAsia="Times New Roman" w:hAnsi="Times New Roman" w:cs="Times New Roman"/>
          <w:bCs/>
          <w:sz w:val="24"/>
          <w:szCs w:val="24"/>
        </w:rPr>
      </w:pPr>
      <w:r w:rsidRPr="001C4D5C">
        <w:rPr>
          <w:rFonts w:ascii="Times New Roman" w:eastAsia="Times New Roman" w:hAnsi="Times New Roman" w:cs="Times New Roman"/>
          <w:bCs/>
          <w:sz w:val="24"/>
          <w:szCs w:val="24"/>
          <w:lang w:val="en-US"/>
        </w:rPr>
        <w:t xml:space="preserve">2. </w:t>
      </w:r>
      <w:r w:rsidR="002049FB" w:rsidRPr="001C4D5C">
        <w:rPr>
          <w:rFonts w:ascii="Times New Roman" w:eastAsia="Times New Roman" w:hAnsi="Times New Roman" w:cs="Times New Roman"/>
          <w:bCs/>
          <w:sz w:val="24"/>
          <w:szCs w:val="24"/>
        </w:rPr>
        <w:t>Информация от съответните п</w:t>
      </w:r>
      <w:r w:rsidRPr="001C4D5C">
        <w:rPr>
          <w:rFonts w:ascii="Times New Roman" w:eastAsia="Times New Roman" w:hAnsi="Times New Roman" w:cs="Times New Roman"/>
          <w:bCs/>
          <w:sz w:val="24"/>
          <w:szCs w:val="24"/>
        </w:rPr>
        <w:t>равно-информационните системи</w:t>
      </w:r>
      <w:r w:rsidR="002049FB" w:rsidRPr="001C4D5C">
        <w:rPr>
          <w:rFonts w:ascii="Times New Roman" w:eastAsia="Times New Roman" w:hAnsi="Times New Roman" w:cs="Times New Roman"/>
          <w:bCs/>
          <w:sz w:val="24"/>
          <w:szCs w:val="24"/>
        </w:rPr>
        <w:t xml:space="preserve"> </w:t>
      </w:r>
      <w:r w:rsidR="002049FB" w:rsidRPr="001C4D5C">
        <w:rPr>
          <w:rFonts w:ascii="Times New Roman" w:eastAsia="Times New Roman" w:hAnsi="Times New Roman" w:cs="Times New Roman"/>
          <w:bCs/>
          <w:sz w:val="24"/>
          <w:szCs w:val="24"/>
          <w:lang w:val="en-US"/>
        </w:rPr>
        <w:t>(</w:t>
      </w:r>
      <w:r w:rsidR="002049FB" w:rsidRPr="001C4D5C">
        <w:rPr>
          <w:rFonts w:ascii="Times New Roman" w:eastAsia="Times New Roman" w:hAnsi="Times New Roman" w:cs="Times New Roman"/>
          <w:bCs/>
          <w:sz w:val="24"/>
          <w:szCs w:val="24"/>
        </w:rPr>
        <w:t xml:space="preserve">СИЕЛА, АПИС, ЛАКОРДА и </w:t>
      </w:r>
      <w:proofErr w:type="gramStart"/>
      <w:r w:rsidR="002049FB" w:rsidRPr="001C4D5C">
        <w:rPr>
          <w:rFonts w:ascii="Times New Roman" w:eastAsia="Times New Roman" w:hAnsi="Times New Roman" w:cs="Times New Roman"/>
          <w:bCs/>
          <w:sz w:val="24"/>
          <w:szCs w:val="24"/>
        </w:rPr>
        <w:t>др.</w:t>
      </w:r>
      <w:r w:rsidR="00802095" w:rsidRPr="001C4D5C">
        <w:rPr>
          <w:rFonts w:ascii="Times New Roman" w:eastAsia="Times New Roman" w:hAnsi="Times New Roman" w:cs="Times New Roman"/>
          <w:bCs/>
          <w:sz w:val="24"/>
          <w:szCs w:val="24"/>
          <w:lang w:val="en-US"/>
        </w:rPr>
        <w:t>;</w:t>
      </w:r>
      <w:proofErr w:type="gramEnd"/>
    </w:p>
    <w:p w14:paraId="5AD1CF78" w14:textId="77777777" w:rsidR="00C26BB8" w:rsidRPr="001C4D5C" w:rsidRDefault="006A0D7C" w:rsidP="006237F6">
      <w:pPr>
        <w:jc w:val="both"/>
        <w:rPr>
          <w:rFonts w:ascii="Times New Roman" w:eastAsia="Times New Roman" w:hAnsi="Times New Roman" w:cs="Times New Roman"/>
          <w:bCs/>
          <w:sz w:val="24"/>
          <w:szCs w:val="24"/>
        </w:rPr>
      </w:pPr>
      <w:r w:rsidRPr="001C4D5C">
        <w:rPr>
          <w:rFonts w:ascii="Times New Roman" w:eastAsia="Times New Roman" w:hAnsi="Times New Roman" w:cs="Times New Roman"/>
          <w:bCs/>
          <w:sz w:val="24"/>
          <w:szCs w:val="24"/>
        </w:rPr>
        <w:t>3</w:t>
      </w:r>
      <w:r w:rsidR="00802095" w:rsidRPr="001C4D5C">
        <w:rPr>
          <w:rFonts w:ascii="Times New Roman" w:eastAsia="Times New Roman" w:hAnsi="Times New Roman" w:cs="Times New Roman"/>
          <w:bCs/>
          <w:sz w:val="24"/>
          <w:szCs w:val="24"/>
        </w:rPr>
        <w:t xml:space="preserve">. </w:t>
      </w:r>
      <w:r w:rsidR="006237F6" w:rsidRPr="001C4D5C">
        <w:rPr>
          <w:rFonts w:ascii="Times New Roman" w:eastAsia="Times New Roman" w:hAnsi="Times New Roman" w:cs="Times New Roman"/>
          <w:bCs/>
          <w:sz w:val="24"/>
          <w:szCs w:val="24"/>
        </w:rPr>
        <w:t xml:space="preserve"> </w:t>
      </w:r>
      <w:r w:rsidR="0097485F" w:rsidRPr="001C4D5C">
        <w:rPr>
          <w:rFonts w:ascii="Times New Roman" w:eastAsia="Times New Roman" w:hAnsi="Times New Roman" w:cs="Times New Roman"/>
          <w:bCs/>
          <w:sz w:val="24"/>
          <w:szCs w:val="24"/>
        </w:rPr>
        <w:t>Инстр</w:t>
      </w:r>
      <w:r w:rsidR="002049FB" w:rsidRPr="001C4D5C">
        <w:rPr>
          <w:rFonts w:ascii="Times New Roman" w:eastAsia="Times New Roman" w:hAnsi="Times New Roman" w:cs="Times New Roman"/>
          <w:bCs/>
          <w:sz w:val="24"/>
          <w:szCs w:val="24"/>
        </w:rPr>
        <w:t>уме</w:t>
      </w:r>
      <w:r w:rsidR="0097485F" w:rsidRPr="001C4D5C">
        <w:rPr>
          <w:rFonts w:ascii="Times New Roman" w:eastAsia="Times New Roman" w:hAnsi="Times New Roman" w:cs="Times New Roman"/>
          <w:bCs/>
          <w:sz w:val="24"/>
          <w:szCs w:val="24"/>
        </w:rPr>
        <w:t>нт за мониторинг на риска от измами</w:t>
      </w:r>
      <w:r w:rsidR="00D20164" w:rsidRPr="001C4D5C">
        <w:rPr>
          <w:rFonts w:ascii="Times New Roman" w:eastAsia="Times New Roman" w:hAnsi="Times New Roman" w:cs="Times New Roman"/>
          <w:bCs/>
          <w:sz w:val="24"/>
          <w:szCs w:val="24"/>
        </w:rPr>
        <w:t xml:space="preserve">, разработен от Европейската комисия - </w:t>
      </w:r>
      <w:r w:rsidR="0097485F" w:rsidRPr="001C4D5C">
        <w:rPr>
          <w:rFonts w:ascii="Times New Roman" w:eastAsia="Times New Roman" w:hAnsi="Times New Roman" w:cs="Times New Roman"/>
          <w:bCs/>
          <w:sz w:val="24"/>
          <w:szCs w:val="24"/>
        </w:rPr>
        <w:t xml:space="preserve"> АРАХНЕ</w:t>
      </w:r>
      <w:r w:rsidR="00DF386B" w:rsidRPr="001C4D5C">
        <w:rPr>
          <w:rFonts w:ascii="Times New Roman" w:eastAsia="Times New Roman" w:hAnsi="Times New Roman" w:cs="Times New Roman"/>
          <w:bCs/>
          <w:sz w:val="24"/>
          <w:szCs w:val="24"/>
        </w:rPr>
        <w:t>.</w:t>
      </w:r>
    </w:p>
    <w:p w14:paraId="3E111146" w14:textId="77777777" w:rsidR="00B92F6A" w:rsidRPr="001C4D5C" w:rsidRDefault="00DF386B" w:rsidP="00A83B34">
      <w:pPr>
        <w:jc w:val="both"/>
        <w:rPr>
          <w:rFonts w:ascii="Times New Roman" w:hAnsi="Times New Roman" w:cs="Times New Roman"/>
          <w:b/>
          <w:sz w:val="24"/>
          <w:szCs w:val="24"/>
        </w:rPr>
      </w:pPr>
      <w:r w:rsidRPr="001C4D5C">
        <w:rPr>
          <w:rFonts w:ascii="Times New Roman" w:eastAsia="Times New Roman" w:hAnsi="Times New Roman" w:cs="Times New Roman"/>
          <w:bCs/>
          <w:sz w:val="24"/>
          <w:szCs w:val="24"/>
        </w:rPr>
        <w:t>4</w:t>
      </w:r>
      <w:r w:rsidR="006237F6" w:rsidRPr="001C4D5C">
        <w:rPr>
          <w:rFonts w:ascii="Times New Roman" w:eastAsia="Times New Roman" w:hAnsi="Times New Roman" w:cs="Times New Roman"/>
          <w:bCs/>
          <w:sz w:val="24"/>
          <w:szCs w:val="24"/>
        </w:rPr>
        <w:t xml:space="preserve">. </w:t>
      </w:r>
      <w:r w:rsidR="00D20164" w:rsidRPr="001C4D5C">
        <w:rPr>
          <w:rFonts w:ascii="Times New Roman" w:eastAsia="Times New Roman" w:hAnsi="Times New Roman" w:cs="Times New Roman"/>
          <w:bCs/>
          <w:sz w:val="24"/>
          <w:szCs w:val="24"/>
        </w:rPr>
        <w:t>Информация събрана по служебен път в т.ч. и такава получена от други държавни органи</w:t>
      </w:r>
      <w:r w:rsidR="006237F6" w:rsidRPr="001C4D5C">
        <w:rPr>
          <w:rFonts w:ascii="Times New Roman" w:eastAsia="Times New Roman" w:hAnsi="Times New Roman" w:cs="Times New Roman"/>
          <w:bCs/>
          <w:sz w:val="24"/>
          <w:szCs w:val="24"/>
        </w:rPr>
        <w:t>.</w:t>
      </w:r>
    </w:p>
    <w:p w14:paraId="2FD08CBD" w14:textId="77777777" w:rsidR="00935305" w:rsidRDefault="00935305" w:rsidP="001C4D5C">
      <w:pPr>
        <w:jc w:val="both"/>
        <w:rPr>
          <w:rFonts w:ascii="Times New Roman" w:hAnsi="Times New Roman" w:cs="Times New Roman"/>
          <w:sz w:val="24"/>
          <w:szCs w:val="24"/>
        </w:rPr>
      </w:pPr>
    </w:p>
    <w:sectPr w:rsidR="00935305" w:rsidSect="00CF44DE">
      <w:headerReference w:type="default" r:id="rId14"/>
      <w:footerReference w:type="default" r:id="rId15"/>
      <w:pgSz w:w="11906" w:h="16838"/>
      <w:pgMar w:top="1134" w:right="991" w:bottom="851" w:left="1134" w:header="709" w:footer="41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6E5F5" w16cex:dateUtc="2023-09-21T12:55:00Z"/>
  <w16cex:commentExtensible w16cex:durableId="28B7EADA" w16cex:dateUtc="2023-09-22T07:28:00Z"/>
  <w16cex:commentExtensible w16cex:durableId="28B7EBAA" w16cex:dateUtc="2023-09-22T07:32:00Z"/>
  <w16cex:commentExtensible w16cex:durableId="28B7EC01" w16cex:dateUtc="2023-09-22T07:33:00Z"/>
  <w16cex:commentExtensible w16cex:durableId="28B7EC40" w16cex:dateUtc="2023-09-22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23E27D" w16cid:durableId="28B6E5F5"/>
  <w16cid:commentId w16cid:paraId="21F08D5F" w16cid:durableId="28B7EADA"/>
  <w16cid:commentId w16cid:paraId="5FF972F4" w16cid:durableId="28B7EBAA"/>
  <w16cid:commentId w16cid:paraId="0AAAC115" w16cid:durableId="28B7EC01"/>
  <w16cid:commentId w16cid:paraId="3044E7DB" w16cid:durableId="28B7EC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3FE5F" w14:textId="77777777" w:rsidR="00B302FF" w:rsidRDefault="00B302FF">
      <w:pPr>
        <w:spacing w:after="0" w:line="240" w:lineRule="auto"/>
      </w:pPr>
      <w:r>
        <w:separator/>
      </w:r>
    </w:p>
  </w:endnote>
  <w:endnote w:type="continuationSeparator" w:id="0">
    <w:p w14:paraId="0E761384" w14:textId="77777777" w:rsidR="00B302FF" w:rsidRDefault="00B302FF">
      <w:pPr>
        <w:spacing w:after="0" w:line="240" w:lineRule="auto"/>
      </w:pPr>
      <w:r>
        <w:continuationSeparator/>
      </w:r>
    </w:p>
  </w:endnote>
  <w:endnote w:type="continuationNotice" w:id="1">
    <w:p w14:paraId="7D9CD3F9" w14:textId="77777777" w:rsidR="00B302FF" w:rsidRDefault="00B302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yriad Pro">
    <w:altName w:val="Myriad Pro"/>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2505" w14:textId="77777777" w:rsidR="00B92F6A" w:rsidRDefault="00B92F6A" w:rsidP="00B579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CA056A" w14:textId="77777777" w:rsidR="00B92F6A" w:rsidRDefault="00B92F6A" w:rsidP="00B579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BFE6F" w14:textId="2DC09234" w:rsidR="00B92F6A" w:rsidRPr="00302555" w:rsidRDefault="00B92F6A" w:rsidP="00B579F7">
    <w:pPr>
      <w:pStyle w:val="Footer"/>
      <w:framePr w:wrap="around" w:vAnchor="text" w:hAnchor="margin" w:xAlign="right" w:y="1"/>
      <w:rPr>
        <w:rStyle w:val="PageNumber"/>
        <w:rFonts w:ascii="Verdana" w:hAnsi="Verdana"/>
        <w:b/>
        <w:sz w:val="18"/>
        <w:szCs w:val="18"/>
      </w:rPr>
    </w:pPr>
    <w:r w:rsidRPr="00302555">
      <w:rPr>
        <w:rStyle w:val="PageNumber"/>
        <w:rFonts w:ascii="Verdana" w:hAnsi="Verdana"/>
        <w:b/>
        <w:sz w:val="18"/>
        <w:szCs w:val="18"/>
      </w:rPr>
      <w:fldChar w:fldCharType="begin"/>
    </w:r>
    <w:r w:rsidRPr="00302555">
      <w:rPr>
        <w:rStyle w:val="PageNumber"/>
        <w:rFonts w:ascii="Verdana" w:hAnsi="Verdana"/>
        <w:b/>
        <w:sz w:val="18"/>
        <w:szCs w:val="18"/>
      </w:rPr>
      <w:instrText xml:space="preserve">PAGE  </w:instrText>
    </w:r>
    <w:r w:rsidRPr="00302555">
      <w:rPr>
        <w:rStyle w:val="PageNumber"/>
        <w:rFonts w:ascii="Verdana" w:hAnsi="Verdana"/>
        <w:b/>
        <w:sz w:val="18"/>
        <w:szCs w:val="18"/>
      </w:rPr>
      <w:fldChar w:fldCharType="separate"/>
    </w:r>
    <w:r w:rsidR="00CF44DE">
      <w:rPr>
        <w:rStyle w:val="PageNumber"/>
        <w:rFonts w:ascii="Verdana" w:hAnsi="Verdana"/>
        <w:b/>
        <w:noProof/>
        <w:sz w:val="18"/>
        <w:szCs w:val="18"/>
      </w:rPr>
      <w:t>4</w:t>
    </w:r>
    <w:r w:rsidRPr="00302555">
      <w:rPr>
        <w:rStyle w:val="PageNumber"/>
        <w:rFonts w:ascii="Verdana" w:hAnsi="Verdana"/>
        <w:b/>
        <w:sz w:val="18"/>
        <w:szCs w:val="18"/>
      </w:rPr>
      <w:fldChar w:fldCharType="end"/>
    </w:r>
  </w:p>
  <w:p w14:paraId="370CC2B0" w14:textId="77777777" w:rsidR="00B92F6A" w:rsidRPr="00302555" w:rsidRDefault="00B92F6A" w:rsidP="00B579F7">
    <w:pPr>
      <w:pStyle w:val="FootnoteText"/>
      <w:tabs>
        <w:tab w:val="center" w:pos="4536"/>
        <w:tab w:val="right" w:pos="9072"/>
      </w:tabs>
      <w:ind w:right="360"/>
      <w:jc w:val="center"/>
      <w:rPr>
        <w:rFonts w:ascii="Verdana" w:hAnsi="Verdana"/>
        <w:b/>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39C92" w14:textId="20D7C485" w:rsidR="00B92F6A" w:rsidRPr="00302555" w:rsidRDefault="00B92F6A" w:rsidP="00B579F7">
    <w:pPr>
      <w:pStyle w:val="Header"/>
      <w:framePr w:wrap="around" w:vAnchor="text" w:hAnchor="margin" w:xAlign="right" w:y="1"/>
      <w:rPr>
        <w:rStyle w:val="PageNumber"/>
        <w:rFonts w:ascii="Verdana" w:hAnsi="Verdana"/>
        <w:b/>
        <w:sz w:val="20"/>
        <w:szCs w:val="20"/>
      </w:rPr>
    </w:pPr>
    <w:r w:rsidRPr="00302555">
      <w:rPr>
        <w:rStyle w:val="PageNumber"/>
        <w:rFonts w:ascii="Verdana" w:hAnsi="Verdana"/>
        <w:b/>
        <w:sz w:val="20"/>
        <w:szCs w:val="20"/>
      </w:rPr>
      <w:fldChar w:fldCharType="begin"/>
    </w:r>
    <w:r w:rsidRPr="00302555">
      <w:rPr>
        <w:rStyle w:val="PageNumber"/>
        <w:rFonts w:ascii="Verdana" w:hAnsi="Verdana"/>
        <w:b/>
        <w:sz w:val="20"/>
        <w:szCs w:val="20"/>
      </w:rPr>
      <w:instrText xml:space="preserve">PAGE  </w:instrText>
    </w:r>
    <w:r w:rsidRPr="00302555">
      <w:rPr>
        <w:rStyle w:val="PageNumber"/>
        <w:rFonts w:ascii="Verdana" w:hAnsi="Verdana"/>
        <w:b/>
        <w:sz w:val="20"/>
        <w:szCs w:val="20"/>
      </w:rPr>
      <w:fldChar w:fldCharType="separate"/>
    </w:r>
    <w:r w:rsidR="00CF44DE">
      <w:rPr>
        <w:rStyle w:val="PageNumber"/>
        <w:rFonts w:ascii="Verdana" w:hAnsi="Verdana"/>
        <w:b/>
        <w:noProof/>
        <w:sz w:val="20"/>
        <w:szCs w:val="20"/>
      </w:rPr>
      <w:t>1</w:t>
    </w:r>
    <w:r w:rsidRPr="00302555">
      <w:rPr>
        <w:rStyle w:val="PageNumber"/>
        <w:rFonts w:ascii="Verdana" w:hAnsi="Verdana"/>
        <w:b/>
        <w:sz w:val="20"/>
        <w:szCs w:val="20"/>
      </w:rPr>
      <w:fldChar w:fldCharType="end"/>
    </w:r>
  </w:p>
  <w:p w14:paraId="501A6262" w14:textId="77777777" w:rsidR="00B92F6A" w:rsidRDefault="00B92F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4593F" w14:textId="36AF88E5" w:rsidR="008D6E91" w:rsidRDefault="008D6E91">
    <w:pPr>
      <w:pStyle w:val="Foote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CF44DE" w:rsidRPr="00CF44DE">
      <w:rPr>
        <w:rFonts w:ascii="Times New Roman" w:hAnsi="Times New Roman" w:cs="Times New Roman"/>
        <w:noProof/>
        <w:sz w:val="24"/>
        <w:szCs w:val="24"/>
        <w:lang w:val="en-US"/>
      </w:rPr>
      <w:t>5</w:t>
    </w:r>
    <w:r>
      <w:rPr>
        <w:rFonts w:ascii="Times New Roman" w:hAnsi="Times New Roman" w:cs="Times New Roman"/>
        <w:noProof/>
        <w:sz w:val="24"/>
        <w:szCs w:val="24"/>
        <w:lang w:val="en-US"/>
      </w:rPr>
      <w:fldChar w:fldCharType="end"/>
    </w:r>
  </w:p>
  <w:p w14:paraId="7F50C0EA" w14:textId="77777777" w:rsidR="008D6E91" w:rsidRDefault="008D6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20255" w14:textId="77777777" w:rsidR="00B302FF" w:rsidRDefault="00B302FF">
      <w:pPr>
        <w:spacing w:after="0" w:line="240" w:lineRule="auto"/>
      </w:pPr>
      <w:r>
        <w:separator/>
      </w:r>
    </w:p>
  </w:footnote>
  <w:footnote w:type="continuationSeparator" w:id="0">
    <w:p w14:paraId="71F3AD42" w14:textId="77777777" w:rsidR="00B302FF" w:rsidRDefault="00B302FF">
      <w:pPr>
        <w:spacing w:after="0" w:line="240" w:lineRule="auto"/>
      </w:pPr>
      <w:r>
        <w:continuationSeparator/>
      </w:r>
    </w:p>
  </w:footnote>
  <w:footnote w:type="continuationNotice" w:id="1">
    <w:p w14:paraId="4AD6A918" w14:textId="77777777" w:rsidR="00B302FF" w:rsidRDefault="00B302FF">
      <w:pPr>
        <w:spacing w:after="0" w:line="240" w:lineRule="auto"/>
      </w:pPr>
    </w:p>
  </w:footnote>
  <w:footnote w:id="2">
    <w:p w14:paraId="3F7627B6" w14:textId="77777777" w:rsidR="008D6E91" w:rsidRDefault="008D6E91" w:rsidP="00A83B34">
      <w:pPr>
        <w:pStyle w:val="FootnoteText"/>
        <w:jc w:val="both"/>
      </w:pPr>
      <w:r w:rsidRPr="00C14437">
        <w:rPr>
          <w:rFonts w:ascii="Times New Roman" w:hAnsi="Times New Roman" w:cs="Times New Roman"/>
          <w:sz w:val="18"/>
          <w:szCs w:val="18"/>
        </w:rPr>
        <w:t xml:space="preserve">Средносписъчният брой на персонала се формира като сбор от </w:t>
      </w:r>
      <w:proofErr w:type="spellStart"/>
      <w:r w:rsidRPr="00C14437">
        <w:rPr>
          <w:rFonts w:ascii="Times New Roman" w:hAnsi="Times New Roman" w:cs="Times New Roman"/>
          <w:sz w:val="18"/>
          <w:szCs w:val="18"/>
        </w:rPr>
        <w:t>средносписъчния</w:t>
      </w:r>
      <w:proofErr w:type="spellEnd"/>
      <w:r w:rsidRPr="00C14437">
        <w:rPr>
          <w:rFonts w:ascii="Times New Roman" w:hAnsi="Times New Roman" w:cs="Times New Roman"/>
          <w:sz w:val="18"/>
          <w:szCs w:val="18"/>
        </w:rPr>
        <w:t xml:space="preserve"> брой на персонала без лицата, които са по майчинство (код 1001), наетите лица по договори за управление и контрол (код 1400) и работещите собственици (код 1600) от „Отчет за заетите лица, средствата за работна заплата и други разходи за труд” за съответната финансова година.</w:t>
      </w:r>
    </w:p>
  </w:footnote>
  <w:footnote w:id="3">
    <w:p w14:paraId="32DE4676" w14:textId="77777777" w:rsidR="008D6E91" w:rsidRPr="00C14437" w:rsidRDefault="008D6E91">
      <w:pPr>
        <w:pStyle w:val="FootnoteText"/>
        <w:rPr>
          <w:rFonts w:ascii="Times New Roman" w:hAnsi="Times New Roman" w:cs="Times New Roman"/>
          <w:sz w:val="18"/>
          <w:szCs w:val="18"/>
        </w:rPr>
      </w:pPr>
      <w:r>
        <w:rPr>
          <w:rStyle w:val="FootnoteReference"/>
        </w:rPr>
        <w:footnoteRef/>
      </w:r>
      <w:r>
        <w:t xml:space="preserve"> </w:t>
      </w:r>
      <w:r w:rsidRPr="00C14437">
        <w:rPr>
          <w:rFonts w:ascii="Times New Roman" w:hAnsi="Times New Roman" w:cs="Times New Roman"/>
          <w:sz w:val="18"/>
          <w:szCs w:val="18"/>
        </w:rPr>
        <w:t>Под годишен оборот следва да се разбира стойността на ред  „Нетни приходи от продажби“ (код на реда 15100, кол. 1) от приходната част на Отчета за приходите и разходите за съответната година, респективно Консолидирания отчет за приходите и разходи (ако е приложимо).</w:t>
      </w:r>
    </w:p>
  </w:footnote>
  <w:footnote w:id="4">
    <w:p w14:paraId="1441F270" w14:textId="77777777" w:rsidR="008D6E91" w:rsidRPr="00C14437" w:rsidRDefault="008D6E91">
      <w:pPr>
        <w:pStyle w:val="FootnoteText"/>
        <w:rPr>
          <w:rFonts w:ascii="Times New Roman" w:hAnsi="Times New Roman" w:cs="Times New Roman"/>
          <w:sz w:val="18"/>
          <w:szCs w:val="18"/>
        </w:rPr>
      </w:pPr>
      <w:r>
        <w:rPr>
          <w:rStyle w:val="FootnoteReference"/>
        </w:rPr>
        <w:footnoteRef/>
      </w:r>
      <w:r>
        <w:t xml:space="preserve"> </w:t>
      </w:r>
      <w:r w:rsidRPr="00C14437">
        <w:rPr>
          <w:rFonts w:ascii="Times New Roman" w:hAnsi="Times New Roman" w:cs="Times New Roman"/>
          <w:sz w:val="18"/>
          <w:szCs w:val="18"/>
        </w:rPr>
        <w:t>Под стойност на активите следва да се разбира общата сума на активите (код на реда 04500, кол. 1) от Счетоводния баланс за съответната година, респективно Консолидирания счетоводен баланс (ако е приложимо).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70AF1" w14:textId="77777777" w:rsidR="00B92F6A" w:rsidRDefault="00B92F6A" w:rsidP="00B579F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ABB808" w14:textId="77777777" w:rsidR="00B92F6A" w:rsidRDefault="00B92F6A" w:rsidP="00B579F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9FDBF" w14:textId="77777777" w:rsidR="00B92F6A" w:rsidRPr="00302555" w:rsidRDefault="00B92F6A" w:rsidP="00B579F7">
    <w:pPr>
      <w:pStyle w:val="Header"/>
      <w:tabs>
        <w:tab w:val="clear" w:pos="9072"/>
        <w:tab w:val="left" w:pos="5685"/>
      </w:tabs>
      <w:ind w:right="360"/>
      <w:rPr>
        <w:rFonts w:ascii="Verdana" w:hAnsi="Verdana"/>
        <w:b/>
        <w:color w:val="FFFFFF"/>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53E37" w14:textId="2CA4B647" w:rsidR="00BC26B8" w:rsidRDefault="00BC26B8">
    <w:pPr>
      <w:pStyle w:val="Header"/>
    </w:pPr>
  </w:p>
  <w:tbl>
    <w:tblPr>
      <w:tblW w:w="10206" w:type="dxa"/>
      <w:tblCellMar>
        <w:left w:w="70" w:type="dxa"/>
        <w:right w:w="70" w:type="dxa"/>
      </w:tblCellMar>
      <w:tblLook w:val="0000" w:firstRow="0" w:lastRow="0" w:firstColumn="0" w:lastColumn="0" w:noHBand="0" w:noVBand="0"/>
    </w:tblPr>
    <w:tblGrid>
      <w:gridCol w:w="2621"/>
      <w:gridCol w:w="1823"/>
      <w:gridCol w:w="5762"/>
    </w:tblGrid>
    <w:tr w:rsidR="00BC26B8" w:rsidRPr="00030647" w14:paraId="746504AB" w14:textId="77777777" w:rsidTr="00C876C4">
      <w:trPr>
        <w:trHeight w:val="684"/>
      </w:trPr>
      <w:tc>
        <w:tcPr>
          <w:tcW w:w="2621" w:type="dxa"/>
        </w:tcPr>
        <w:p w14:paraId="0DF090C9" w14:textId="77777777" w:rsidR="00BC26B8" w:rsidRPr="00030647" w:rsidRDefault="00BC26B8" w:rsidP="00BC26B8">
          <w:pPr>
            <w:spacing w:after="160" w:line="259" w:lineRule="auto"/>
            <w:jc w:val="center"/>
            <w:rPr>
              <w:snapToGrid w:val="0"/>
              <w:sz w:val="28"/>
              <w:szCs w:val="28"/>
              <w:lang w:val="en-GB"/>
            </w:rPr>
          </w:pPr>
          <w:r w:rsidRPr="00030647">
            <w:rPr>
              <w:noProof/>
              <w:lang w:eastAsia="bg-BG"/>
            </w:rPr>
            <w:drawing>
              <wp:anchor distT="0" distB="0" distL="114300" distR="114300" simplePos="0" relativeHeight="251659264" behindDoc="0" locked="0" layoutInCell="1" allowOverlap="1" wp14:anchorId="6271197E" wp14:editId="27EBDCE7">
                <wp:simplePos x="0" y="0"/>
                <wp:positionH relativeFrom="column">
                  <wp:posOffset>65405</wp:posOffset>
                </wp:positionH>
                <wp:positionV relativeFrom="paragraph">
                  <wp:posOffset>85725</wp:posOffset>
                </wp:positionV>
                <wp:extent cx="1133475" cy="646430"/>
                <wp:effectExtent l="0" t="0" r="9525" b="1270"/>
                <wp:wrapNone/>
                <wp:docPr id="7" name="Picture 7" descr="Description: 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13347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EF2976" w14:textId="77777777" w:rsidR="00BC26B8" w:rsidRPr="00030647" w:rsidRDefault="00BC26B8" w:rsidP="00BC26B8">
          <w:pPr>
            <w:spacing w:after="160" w:line="259" w:lineRule="auto"/>
            <w:jc w:val="center"/>
            <w:rPr>
              <w:b/>
              <w:snapToGrid w:val="0"/>
              <w:sz w:val="14"/>
              <w:szCs w:val="14"/>
              <w:lang w:val="en-GB"/>
            </w:rPr>
          </w:pPr>
        </w:p>
        <w:p w14:paraId="521687C8" w14:textId="77777777" w:rsidR="00BC26B8" w:rsidRPr="00030647" w:rsidRDefault="00BC26B8" w:rsidP="00BC26B8">
          <w:pPr>
            <w:spacing w:after="160" w:line="259" w:lineRule="auto"/>
            <w:jc w:val="center"/>
            <w:rPr>
              <w:b/>
              <w:snapToGrid w:val="0"/>
              <w:sz w:val="14"/>
              <w:szCs w:val="14"/>
              <w:lang w:val="en-GB"/>
            </w:rPr>
          </w:pPr>
        </w:p>
        <w:p w14:paraId="4563DD6C" w14:textId="77777777" w:rsidR="00BC26B8" w:rsidRPr="00030647" w:rsidRDefault="00BC26B8" w:rsidP="00BC26B8">
          <w:pPr>
            <w:spacing w:after="160" w:line="259" w:lineRule="auto"/>
            <w:rPr>
              <w:b/>
              <w:snapToGrid w:val="0"/>
              <w:sz w:val="18"/>
              <w:szCs w:val="18"/>
              <w:lang w:val="en-GB"/>
            </w:rPr>
          </w:pPr>
          <w:r w:rsidRPr="00030647">
            <w:rPr>
              <w:b/>
              <w:snapToGrid w:val="0"/>
              <w:sz w:val="18"/>
              <w:szCs w:val="18"/>
              <w:lang w:val="en-GB"/>
            </w:rPr>
            <w:t xml:space="preserve">      ЕВРОПЕЙСКИ СЪЮЗ</w:t>
          </w:r>
        </w:p>
      </w:tc>
      <w:tc>
        <w:tcPr>
          <w:tcW w:w="1823" w:type="dxa"/>
        </w:tcPr>
        <w:p w14:paraId="233242F1" w14:textId="77777777" w:rsidR="00BC26B8" w:rsidRPr="00030647" w:rsidRDefault="00BC26B8" w:rsidP="00BC26B8">
          <w:pPr>
            <w:spacing w:after="160" w:line="259" w:lineRule="auto"/>
            <w:jc w:val="center"/>
            <w:rPr>
              <w:snapToGrid w:val="0"/>
              <w:lang w:val="en-GB"/>
            </w:rPr>
          </w:pPr>
        </w:p>
        <w:p w14:paraId="5A3ECEB2" w14:textId="77777777" w:rsidR="00BC26B8" w:rsidRPr="00030647" w:rsidRDefault="00BC26B8" w:rsidP="00BC26B8">
          <w:pPr>
            <w:spacing w:after="160" w:line="259" w:lineRule="auto"/>
            <w:jc w:val="center"/>
            <w:rPr>
              <w:snapToGrid w:val="0"/>
              <w:lang w:val="en-GB"/>
            </w:rPr>
          </w:pPr>
        </w:p>
        <w:p w14:paraId="368C76E1" w14:textId="77777777" w:rsidR="00BC26B8" w:rsidRPr="00030647" w:rsidRDefault="00BC26B8" w:rsidP="00BC26B8">
          <w:pPr>
            <w:spacing w:after="160" w:line="259" w:lineRule="auto"/>
            <w:jc w:val="center"/>
            <w:rPr>
              <w:snapToGrid w:val="0"/>
              <w:lang w:val="en-GB"/>
            </w:rPr>
          </w:pPr>
        </w:p>
      </w:tc>
      <w:tc>
        <w:tcPr>
          <w:tcW w:w="5762" w:type="dxa"/>
        </w:tcPr>
        <w:p w14:paraId="45B96503" w14:textId="77777777" w:rsidR="00BC26B8" w:rsidRPr="00030647" w:rsidRDefault="00BC26B8" w:rsidP="00BC26B8">
          <w:pPr>
            <w:tabs>
              <w:tab w:val="left" w:pos="2465"/>
              <w:tab w:val="left" w:pos="4804"/>
            </w:tabs>
            <w:spacing w:after="160" w:line="259" w:lineRule="auto"/>
            <w:ind w:left="697" w:right="182"/>
            <w:jc w:val="center"/>
            <w:rPr>
              <w:snapToGrid w:val="0"/>
              <w:lang w:val="en-GB"/>
            </w:rPr>
          </w:pPr>
          <w:r w:rsidRPr="00030647">
            <w:rPr>
              <w:noProof/>
              <w:lang w:eastAsia="bg-BG"/>
            </w:rPr>
            <w:drawing>
              <wp:inline distT="0" distB="0" distL="0" distR="0" wp14:anchorId="1E865380" wp14:editId="223E1737">
                <wp:extent cx="2286000" cy="93154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286000" cy="931545"/>
                        </a:xfrm>
                        <a:prstGeom prst="rect">
                          <a:avLst/>
                        </a:prstGeom>
                        <a:noFill/>
                        <a:ln>
                          <a:noFill/>
                        </a:ln>
                      </pic:spPr>
                    </pic:pic>
                  </a:graphicData>
                </a:graphic>
              </wp:inline>
            </w:drawing>
          </w:r>
        </w:p>
      </w:tc>
    </w:tr>
  </w:tbl>
  <w:p w14:paraId="21EC115A" w14:textId="45F03EC4" w:rsidR="00BC26B8" w:rsidRDefault="00BC26B8">
    <w:pPr>
      <w:pStyle w:val="Header"/>
    </w:pPr>
  </w:p>
  <w:p w14:paraId="2D74E716" w14:textId="77777777" w:rsidR="00B92F6A" w:rsidRPr="002F37C7" w:rsidRDefault="00B92F6A" w:rsidP="00B579F7">
    <w:pPr>
      <w:pStyle w:val="Header"/>
      <w:ind w:right="360"/>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19F19" w14:textId="77777777" w:rsidR="008D6E91" w:rsidRDefault="008D6E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306DBE0"/>
    <w:lvl w:ilvl="0" w:tplc="EC0E8B74">
      <w:start w:val="1"/>
      <w:numFmt w:val="bullet"/>
      <w:lvlText w:val="→"/>
      <w:lvlJc w:val="left"/>
      <w:pPr>
        <w:ind w:left="786" w:hanging="360"/>
      </w:pPr>
      <w:rPr>
        <w:rFonts w:ascii="Times New Roman" w:eastAsia="Times New Roman" w:hAnsi="Times New Roman" w:cs="Times New Roman" w:hint="default"/>
      </w:rPr>
    </w:lvl>
    <w:lvl w:ilvl="1" w:tplc="04090003">
      <w:start w:val="1"/>
      <w:numFmt w:val="bullet"/>
      <w:lvlText w:val="o"/>
      <w:lvlJc w:val="left"/>
      <w:pPr>
        <w:ind w:left="1506" w:hanging="360"/>
      </w:pPr>
      <w:rPr>
        <w:rFonts w:ascii="Courier New" w:hAnsi="Courier New" w:cs="Courier New" w:hint="default"/>
      </w:rPr>
    </w:lvl>
    <w:lvl w:ilvl="2" w:tplc="04090005">
      <w:start w:val="1"/>
      <w:numFmt w:val="bullet"/>
      <w:lvlText w:val=""/>
      <w:lvlJc w:val="left"/>
      <w:pPr>
        <w:ind w:left="2226" w:hanging="360"/>
      </w:pPr>
      <w:rPr>
        <w:rFonts w:ascii="Wingdings" w:hAnsi="Wingdings" w:hint="default"/>
      </w:rPr>
    </w:lvl>
    <w:lvl w:ilvl="3" w:tplc="04090001">
      <w:start w:val="1"/>
      <w:numFmt w:val="bullet"/>
      <w:lvlText w:val=""/>
      <w:lvlJc w:val="left"/>
      <w:pPr>
        <w:ind w:left="2946" w:hanging="360"/>
      </w:pPr>
      <w:rPr>
        <w:rFonts w:ascii="Symbol" w:hAnsi="Symbol" w:hint="default"/>
      </w:rPr>
    </w:lvl>
    <w:lvl w:ilvl="4" w:tplc="04090003">
      <w:start w:val="1"/>
      <w:numFmt w:val="bullet"/>
      <w:lvlText w:val="o"/>
      <w:lvlJc w:val="left"/>
      <w:pPr>
        <w:ind w:left="3666" w:hanging="360"/>
      </w:pPr>
      <w:rPr>
        <w:rFonts w:ascii="Courier New" w:hAnsi="Courier New" w:cs="Courier New" w:hint="default"/>
      </w:rPr>
    </w:lvl>
    <w:lvl w:ilvl="5" w:tplc="04090005">
      <w:start w:val="1"/>
      <w:numFmt w:val="bullet"/>
      <w:lvlText w:val=""/>
      <w:lvlJc w:val="left"/>
      <w:pPr>
        <w:ind w:left="4386" w:hanging="360"/>
      </w:pPr>
      <w:rPr>
        <w:rFonts w:ascii="Wingdings" w:hAnsi="Wingdings" w:hint="default"/>
      </w:rPr>
    </w:lvl>
    <w:lvl w:ilvl="6" w:tplc="04090001">
      <w:start w:val="1"/>
      <w:numFmt w:val="bullet"/>
      <w:lvlText w:val=""/>
      <w:lvlJc w:val="left"/>
      <w:pPr>
        <w:ind w:left="5106" w:hanging="360"/>
      </w:pPr>
      <w:rPr>
        <w:rFonts w:ascii="Symbol" w:hAnsi="Symbol" w:hint="default"/>
      </w:rPr>
    </w:lvl>
    <w:lvl w:ilvl="7" w:tplc="04090003">
      <w:start w:val="1"/>
      <w:numFmt w:val="bullet"/>
      <w:lvlText w:val="o"/>
      <w:lvlJc w:val="left"/>
      <w:pPr>
        <w:ind w:left="5826" w:hanging="360"/>
      </w:pPr>
      <w:rPr>
        <w:rFonts w:ascii="Courier New" w:hAnsi="Courier New" w:cs="Courier New" w:hint="default"/>
      </w:rPr>
    </w:lvl>
    <w:lvl w:ilvl="8" w:tplc="04090005">
      <w:start w:val="1"/>
      <w:numFmt w:val="bullet"/>
      <w:lvlText w:val=""/>
      <w:lvlJc w:val="left"/>
      <w:pPr>
        <w:ind w:left="6546" w:hanging="360"/>
      </w:pPr>
      <w:rPr>
        <w:rFonts w:ascii="Wingdings" w:hAnsi="Wingdings" w:hint="default"/>
      </w:rPr>
    </w:lvl>
  </w:abstractNum>
  <w:abstractNum w:abstractNumId="1" w15:restartNumberingAfterBreak="0">
    <w:nsid w:val="00000002"/>
    <w:multiLevelType w:val="hybridMultilevel"/>
    <w:tmpl w:val="53CADB0E"/>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4F60A030"/>
    <w:lvl w:ilvl="0" w:tplc="387A1F5C">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0000004"/>
    <w:multiLevelType w:val="hybridMultilevel"/>
    <w:tmpl w:val="8BA6E2EA"/>
    <w:lvl w:ilvl="0" w:tplc="0402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3DBA97E0"/>
    <w:lvl w:ilvl="0" w:tplc="0BF4E1CE">
      <w:start w:val="1"/>
      <w:numFmt w:val="bullet"/>
      <w:lvlText w:val="-"/>
      <w:lvlJc w:val="left"/>
      <w:pPr>
        <w:ind w:left="720" w:hanging="360"/>
      </w:pPr>
      <w:rPr>
        <w:rFonts w:ascii="Times New Roman" w:eastAsia="Calibr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C55269EA"/>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multilevel"/>
    <w:tmpl w:val="6DF251C8"/>
    <w:lvl w:ilvl="0">
      <w:start w:val="1"/>
      <w:numFmt w:val="decimal"/>
      <w:lvlText w:val="%1."/>
      <w:lvlJc w:val="left"/>
      <w:pPr>
        <w:ind w:left="644" w:hanging="360"/>
      </w:pPr>
      <w:rPr>
        <w:rFonts w:ascii="Times New Roman" w:hAnsi="Times New Roman" w:cs="Times New Roman" w:hint="default"/>
        <w:b w:val="0"/>
        <w:i w:val="0"/>
        <w:sz w:val="24"/>
        <w:szCs w:val="24"/>
      </w:rPr>
    </w:lvl>
    <w:lvl w:ilvl="1">
      <w:start w:val="1"/>
      <w:numFmt w:val="decimal"/>
      <w:isLgl/>
      <w:lvlText w:val="%1.%2."/>
      <w:lvlJc w:val="left"/>
      <w:pPr>
        <w:ind w:left="900" w:hanging="54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0000008"/>
    <w:multiLevelType w:val="multilevel"/>
    <w:tmpl w:val="851C0C1C"/>
    <w:lvl w:ilvl="0">
      <w:start w:val="3"/>
      <w:numFmt w:val="decimal"/>
      <w:lvlText w:val="%1."/>
      <w:lvlJc w:val="left"/>
      <w:pPr>
        <w:ind w:left="360" w:hanging="360"/>
      </w:pPr>
      <w:rPr>
        <w:rFonts w:hint="default"/>
      </w:rPr>
    </w:lvl>
    <w:lvl w:ilvl="1">
      <w:start w:val="1"/>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8" w15:restartNumberingAfterBreak="0">
    <w:nsid w:val="00000009"/>
    <w:multiLevelType w:val="multilevel"/>
    <w:tmpl w:val="CF86EF82"/>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0000000A"/>
    <w:multiLevelType w:val="hybridMultilevel"/>
    <w:tmpl w:val="13DC33D0"/>
    <w:lvl w:ilvl="0" w:tplc="21AC1ACC">
      <w:start w:val="1"/>
      <w:numFmt w:val="decimal"/>
      <w:lvlText w:val="%1."/>
      <w:lvlJc w:val="left"/>
      <w:pPr>
        <w:ind w:left="45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0000000B"/>
    <w:multiLevelType w:val="multilevel"/>
    <w:tmpl w:val="E078D7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000000C"/>
    <w:multiLevelType w:val="hybridMultilevel"/>
    <w:tmpl w:val="AEC0AA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43B79C6"/>
    <w:multiLevelType w:val="hybridMultilevel"/>
    <w:tmpl w:val="AE76823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1248072F"/>
    <w:multiLevelType w:val="hybridMultilevel"/>
    <w:tmpl w:val="8284962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616878"/>
    <w:multiLevelType w:val="hybridMultilevel"/>
    <w:tmpl w:val="D8443D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DAB2F9F"/>
    <w:multiLevelType w:val="hybridMultilevel"/>
    <w:tmpl w:val="A0AA47E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D4F4168"/>
    <w:multiLevelType w:val="hybridMultilevel"/>
    <w:tmpl w:val="DB50170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6759D9"/>
    <w:multiLevelType w:val="multilevel"/>
    <w:tmpl w:val="6DF251C8"/>
    <w:lvl w:ilvl="0">
      <w:start w:val="1"/>
      <w:numFmt w:val="decimal"/>
      <w:lvlText w:val="%1."/>
      <w:lvlJc w:val="left"/>
      <w:pPr>
        <w:ind w:left="3054" w:hanging="360"/>
      </w:pPr>
      <w:rPr>
        <w:rFonts w:ascii="Times New Roman" w:hAnsi="Times New Roman" w:cs="Times New Roman" w:hint="default"/>
        <w:b w:val="0"/>
        <w:i w:val="0"/>
        <w:sz w:val="24"/>
        <w:szCs w:val="24"/>
      </w:rPr>
    </w:lvl>
    <w:lvl w:ilvl="1">
      <w:start w:val="1"/>
      <w:numFmt w:val="decimal"/>
      <w:isLgl/>
      <w:lvlText w:val="%1.%2."/>
      <w:lvlJc w:val="left"/>
      <w:pPr>
        <w:ind w:left="900" w:hanging="54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0CC0DEC"/>
    <w:multiLevelType w:val="hybridMultilevel"/>
    <w:tmpl w:val="CDC452CA"/>
    <w:lvl w:ilvl="0" w:tplc="4F00291E">
      <w:start w:val="3"/>
      <w:numFmt w:val="bullet"/>
      <w:lvlText w:val="-"/>
      <w:lvlJc w:val="left"/>
      <w:pPr>
        <w:ind w:left="420" w:hanging="360"/>
      </w:pPr>
      <w:rPr>
        <w:rFonts w:ascii="Times New Roman" w:eastAsia="Calibr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9" w15:restartNumberingAfterBreak="0">
    <w:nsid w:val="414E1818"/>
    <w:multiLevelType w:val="hybridMultilevel"/>
    <w:tmpl w:val="40BCCB8E"/>
    <w:lvl w:ilvl="0" w:tplc="BC1CF7E8">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241579"/>
    <w:multiLevelType w:val="hybridMultilevel"/>
    <w:tmpl w:val="CA92BE5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15:restartNumberingAfterBreak="0">
    <w:nsid w:val="58876E82"/>
    <w:multiLevelType w:val="hybridMultilevel"/>
    <w:tmpl w:val="6152F69A"/>
    <w:lvl w:ilvl="0" w:tplc="6E8696E4">
      <w:start w:val="7"/>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730B45"/>
    <w:multiLevelType w:val="hybridMultilevel"/>
    <w:tmpl w:val="2E1A158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1"/>
  </w:num>
  <w:num w:numId="2">
    <w:abstractNumId w:val="9"/>
  </w:num>
  <w:num w:numId="3">
    <w:abstractNumId w:val="6"/>
  </w:num>
  <w:num w:numId="4">
    <w:abstractNumId w:val="3"/>
  </w:num>
  <w:num w:numId="5">
    <w:abstractNumId w:val="2"/>
  </w:num>
  <w:num w:numId="6">
    <w:abstractNumId w:val="10"/>
  </w:num>
  <w:num w:numId="7">
    <w:abstractNumId w:val="8"/>
  </w:num>
  <w:num w:numId="8">
    <w:abstractNumId w:val="7"/>
  </w:num>
  <w:num w:numId="9">
    <w:abstractNumId w:val="0"/>
  </w:num>
  <w:num w:numId="10">
    <w:abstractNumId w:val="11"/>
  </w:num>
  <w:num w:numId="11">
    <w:abstractNumId w:val="14"/>
  </w:num>
  <w:num w:numId="12">
    <w:abstractNumId w:val="4"/>
  </w:num>
  <w:num w:numId="13">
    <w:abstractNumId w:val="5"/>
  </w:num>
  <w:num w:numId="14">
    <w:abstractNumId w:val="18"/>
  </w:num>
  <w:num w:numId="15">
    <w:abstractNumId w:val="17"/>
  </w:num>
  <w:num w:numId="16">
    <w:abstractNumId w:val="15"/>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1"/>
  </w:num>
  <w:num w:numId="20">
    <w:abstractNumId w:val="16"/>
  </w:num>
  <w:num w:numId="21">
    <w:abstractNumId w:val="13"/>
  </w:num>
  <w:num w:numId="22">
    <w:abstractNumId w:val="2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defaultTabStop w:val="708"/>
  <w:hyphenationZone w:val="425"/>
  <w:doNotShadeFormData/>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01"/>
    <w:rsid w:val="00000C1B"/>
    <w:rsid w:val="00005456"/>
    <w:rsid w:val="00012894"/>
    <w:rsid w:val="000177CE"/>
    <w:rsid w:val="00025BF1"/>
    <w:rsid w:val="00033EDF"/>
    <w:rsid w:val="00034514"/>
    <w:rsid w:val="00034A67"/>
    <w:rsid w:val="00035714"/>
    <w:rsid w:val="00036390"/>
    <w:rsid w:val="00043629"/>
    <w:rsid w:val="00046B5F"/>
    <w:rsid w:val="000546B7"/>
    <w:rsid w:val="0006436C"/>
    <w:rsid w:val="00064E24"/>
    <w:rsid w:val="00067A22"/>
    <w:rsid w:val="00074818"/>
    <w:rsid w:val="00075E64"/>
    <w:rsid w:val="000861DB"/>
    <w:rsid w:val="00092DA5"/>
    <w:rsid w:val="00097C44"/>
    <w:rsid w:val="000A18C3"/>
    <w:rsid w:val="000A45F3"/>
    <w:rsid w:val="000A6518"/>
    <w:rsid w:val="000A6AD5"/>
    <w:rsid w:val="000B6514"/>
    <w:rsid w:val="000C24E0"/>
    <w:rsid w:val="000C2DDE"/>
    <w:rsid w:val="000C7260"/>
    <w:rsid w:val="000D0DEA"/>
    <w:rsid w:val="000E4F89"/>
    <w:rsid w:val="000E59F3"/>
    <w:rsid w:val="000F7991"/>
    <w:rsid w:val="001129D3"/>
    <w:rsid w:val="00116CDC"/>
    <w:rsid w:val="001202E1"/>
    <w:rsid w:val="00121A38"/>
    <w:rsid w:val="001224EB"/>
    <w:rsid w:val="00125DCB"/>
    <w:rsid w:val="0013285B"/>
    <w:rsid w:val="0013703A"/>
    <w:rsid w:val="00142331"/>
    <w:rsid w:val="001432E4"/>
    <w:rsid w:val="00155AB6"/>
    <w:rsid w:val="00161C0A"/>
    <w:rsid w:val="00161FB8"/>
    <w:rsid w:val="001621C7"/>
    <w:rsid w:val="001667AB"/>
    <w:rsid w:val="001719BA"/>
    <w:rsid w:val="00193DF8"/>
    <w:rsid w:val="00197767"/>
    <w:rsid w:val="001A194F"/>
    <w:rsid w:val="001A786B"/>
    <w:rsid w:val="001A79A0"/>
    <w:rsid w:val="001B558D"/>
    <w:rsid w:val="001C3C26"/>
    <w:rsid w:val="001C4D5C"/>
    <w:rsid w:val="001D0EBC"/>
    <w:rsid w:val="001D1E0B"/>
    <w:rsid w:val="001E0D25"/>
    <w:rsid w:val="001E2F69"/>
    <w:rsid w:val="001E3E82"/>
    <w:rsid w:val="001E4B61"/>
    <w:rsid w:val="001E5A8B"/>
    <w:rsid w:val="001F0705"/>
    <w:rsid w:val="001F0A9C"/>
    <w:rsid w:val="001F60CB"/>
    <w:rsid w:val="001F71F7"/>
    <w:rsid w:val="00201AE3"/>
    <w:rsid w:val="00203EF6"/>
    <w:rsid w:val="002049FB"/>
    <w:rsid w:val="00204DC1"/>
    <w:rsid w:val="002205E1"/>
    <w:rsid w:val="00221291"/>
    <w:rsid w:val="002379A0"/>
    <w:rsid w:val="00242B59"/>
    <w:rsid w:val="00244390"/>
    <w:rsid w:val="00244B2A"/>
    <w:rsid w:val="00244F8F"/>
    <w:rsid w:val="00254757"/>
    <w:rsid w:val="00255794"/>
    <w:rsid w:val="00256F26"/>
    <w:rsid w:val="00273C46"/>
    <w:rsid w:val="00273F81"/>
    <w:rsid w:val="00280E69"/>
    <w:rsid w:val="002827A2"/>
    <w:rsid w:val="00286282"/>
    <w:rsid w:val="00291D92"/>
    <w:rsid w:val="00297765"/>
    <w:rsid w:val="002A5C7F"/>
    <w:rsid w:val="002A5C97"/>
    <w:rsid w:val="002B0129"/>
    <w:rsid w:val="002B194D"/>
    <w:rsid w:val="002B1D1D"/>
    <w:rsid w:val="002B29F6"/>
    <w:rsid w:val="002B5714"/>
    <w:rsid w:val="002B6F54"/>
    <w:rsid w:val="002C0A65"/>
    <w:rsid w:val="002C0FA7"/>
    <w:rsid w:val="002C44E3"/>
    <w:rsid w:val="002C6B1E"/>
    <w:rsid w:val="002C7C4A"/>
    <w:rsid w:val="002D3867"/>
    <w:rsid w:val="002D63BD"/>
    <w:rsid w:val="002E23DC"/>
    <w:rsid w:val="002F0AC1"/>
    <w:rsid w:val="00303FDB"/>
    <w:rsid w:val="00305E35"/>
    <w:rsid w:val="00310DCF"/>
    <w:rsid w:val="00311964"/>
    <w:rsid w:val="003129F9"/>
    <w:rsid w:val="00315B61"/>
    <w:rsid w:val="00316889"/>
    <w:rsid w:val="003370A6"/>
    <w:rsid w:val="003501A5"/>
    <w:rsid w:val="00352A01"/>
    <w:rsid w:val="00354223"/>
    <w:rsid w:val="003550C0"/>
    <w:rsid w:val="00355F70"/>
    <w:rsid w:val="00357BEB"/>
    <w:rsid w:val="003604D4"/>
    <w:rsid w:val="003608F5"/>
    <w:rsid w:val="00361357"/>
    <w:rsid w:val="00364274"/>
    <w:rsid w:val="003657FC"/>
    <w:rsid w:val="00366630"/>
    <w:rsid w:val="00371E85"/>
    <w:rsid w:val="00376F72"/>
    <w:rsid w:val="00381BFB"/>
    <w:rsid w:val="003B18BC"/>
    <w:rsid w:val="003B1FA7"/>
    <w:rsid w:val="003B3355"/>
    <w:rsid w:val="003C28ED"/>
    <w:rsid w:val="003C4ACD"/>
    <w:rsid w:val="003C6967"/>
    <w:rsid w:val="003D1179"/>
    <w:rsid w:val="003D163F"/>
    <w:rsid w:val="003D6E20"/>
    <w:rsid w:val="003E39DA"/>
    <w:rsid w:val="003E5753"/>
    <w:rsid w:val="003E7338"/>
    <w:rsid w:val="00413DDD"/>
    <w:rsid w:val="00414384"/>
    <w:rsid w:val="00414813"/>
    <w:rsid w:val="00414C50"/>
    <w:rsid w:val="004167D5"/>
    <w:rsid w:val="004172C7"/>
    <w:rsid w:val="00425DC6"/>
    <w:rsid w:val="00430D17"/>
    <w:rsid w:val="00432C06"/>
    <w:rsid w:val="004378FF"/>
    <w:rsid w:val="00442DA8"/>
    <w:rsid w:val="004474B1"/>
    <w:rsid w:val="00464682"/>
    <w:rsid w:val="0046779D"/>
    <w:rsid w:val="004705FE"/>
    <w:rsid w:val="00472A92"/>
    <w:rsid w:val="00491EDC"/>
    <w:rsid w:val="004A2DFB"/>
    <w:rsid w:val="004B2CBA"/>
    <w:rsid w:val="004C2D69"/>
    <w:rsid w:val="004C5DD1"/>
    <w:rsid w:val="004D148F"/>
    <w:rsid w:val="004D2FBD"/>
    <w:rsid w:val="004D370A"/>
    <w:rsid w:val="004D79A1"/>
    <w:rsid w:val="004E5463"/>
    <w:rsid w:val="004E58AF"/>
    <w:rsid w:val="004E7FF4"/>
    <w:rsid w:val="0050714E"/>
    <w:rsid w:val="00513385"/>
    <w:rsid w:val="005367A4"/>
    <w:rsid w:val="005444C3"/>
    <w:rsid w:val="0054789B"/>
    <w:rsid w:val="00562C63"/>
    <w:rsid w:val="00572951"/>
    <w:rsid w:val="00581095"/>
    <w:rsid w:val="005838F5"/>
    <w:rsid w:val="005852A6"/>
    <w:rsid w:val="00597122"/>
    <w:rsid w:val="00597187"/>
    <w:rsid w:val="005A3CEB"/>
    <w:rsid w:val="005B0291"/>
    <w:rsid w:val="005B1F9D"/>
    <w:rsid w:val="005B2B40"/>
    <w:rsid w:val="005B301E"/>
    <w:rsid w:val="005B41D8"/>
    <w:rsid w:val="005B6FDB"/>
    <w:rsid w:val="005B769D"/>
    <w:rsid w:val="005B7FAC"/>
    <w:rsid w:val="005C29C8"/>
    <w:rsid w:val="005C43C6"/>
    <w:rsid w:val="005C5F01"/>
    <w:rsid w:val="005C67BE"/>
    <w:rsid w:val="005C78FD"/>
    <w:rsid w:val="005D40EC"/>
    <w:rsid w:val="005D7F7D"/>
    <w:rsid w:val="005E1B0D"/>
    <w:rsid w:val="006007A5"/>
    <w:rsid w:val="0060200A"/>
    <w:rsid w:val="00617521"/>
    <w:rsid w:val="00621201"/>
    <w:rsid w:val="00622757"/>
    <w:rsid w:val="006237F6"/>
    <w:rsid w:val="00632B16"/>
    <w:rsid w:val="00640FC1"/>
    <w:rsid w:val="00645B75"/>
    <w:rsid w:val="006461C7"/>
    <w:rsid w:val="00653270"/>
    <w:rsid w:val="00654F64"/>
    <w:rsid w:val="00655120"/>
    <w:rsid w:val="00655E65"/>
    <w:rsid w:val="0066033F"/>
    <w:rsid w:val="00661E38"/>
    <w:rsid w:val="00662235"/>
    <w:rsid w:val="00662236"/>
    <w:rsid w:val="00662BBD"/>
    <w:rsid w:val="00671A1A"/>
    <w:rsid w:val="0068025D"/>
    <w:rsid w:val="0068259F"/>
    <w:rsid w:val="00683BD0"/>
    <w:rsid w:val="0068630F"/>
    <w:rsid w:val="006877D1"/>
    <w:rsid w:val="00692284"/>
    <w:rsid w:val="006932CB"/>
    <w:rsid w:val="00695697"/>
    <w:rsid w:val="00696143"/>
    <w:rsid w:val="006A0D7C"/>
    <w:rsid w:val="006B794A"/>
    <w:rsid w:val="006C02B5"/>
    <w:rsid w:val="006C0B69"/>
    <w:rsid w:val="006D2454"/>
    <w:rsid w:val="006E4311"/>
    <w:rsid w:val="006E563E"/>
    <w:rsid w:val="006F52BE"/>
    <w:rsid w:val="007006C8"/>
    <w:rsid w:val="0070481D"/>
    <w:rsid w:val="0070537D"/>
    <w:rsid w:val="00711A8C"/>
    <w:rsid w:val="00715AE9"/>
    <w:rsid w:val="007356AF"/>
    <w:rsid w:val="00735FE6"/>
    <w:rsid w:val="00737900"/>
    <w:rsid w:val="00742962"/>
    <w:rsid w:val="00756635"/>
    <w:rsid w:val="00756CEF"/>
    <w:rsid w:val="007604E2"/>
    <w:rsid w:val="00767A05"/>
    <w:rsid w:val="007723EE"/>
    <w:rsid w:val="00776214"/>
    <w:rsid w:val="0077676B"/>
    <w:rsid w:val="007822B4"/>
    <w:rsid w:val="00785DA6"/>
    <w:rsid w:val="00787582"/>
    <w:rsid w:val="00795ED1"/>
    <w:rsid w:val="007A0052"/>
    <w:rsid w:val="007A02E1"/>
    <w:rsid w:val="007A40E2"/>
    <w:rsid w:val="007B25B4"/>
    <w:rsid w:val="007B5966"/>
    <w:rsid w:val="007C1D66"/>
    <w:rsid w:val="007C2B3D"/>
    <w:rsid w:val="007D2063"/>
    <w:rsid w:val="007D5EDF"/>
    <w:rsid w:val="007E0BF8"/>
    <w:rsid w:val="007F1DBC"/>
    <w:rsid w:val="007F2B35"/>
    <w:rsid w:val="007F6A0E"/>
    <w:rsid w:val="00800EF2"/>
    <w:rsid w:val="00802095"/>
    <w:rsid w:val="00814CF7"/>
    <w:rsid w:val="00821C3D"/>
    <w:rsid w:val="00823F36"/>
    <w:rsid w:val="00827CFB"/>
    <w:rsid w:val="008309A9"/>
    <w:rsid w:val="008508F1"/>
    <w:rsid w:val="00872A4E"/>
    <w:rsid w:val="00872D82"/>
    <w:rsid w:val="008731E8"/>
    <w:rsid w:val="00873F21"/>
    <w:rsid w:val="00884971"/>
    <w:rsid w:val="008871D9"/>
    <w:rsid w:val="00895422"/>
    <w:rsid w:val="008B119D"/>
    <w:rsid w:val="008B6B2E"/>
    <w:rsid w:val="008C2182"/>
    <w:rsid w:val="008C76B7"/>
    <w:rsid w:val="008D6E91"/>
    <w:rsid w:val="008E5AA1"/>
    <w:rsid w:val="008E5EF6"/>
    <w:rsid w:val="008E6B15"/>
    <w:rsid w:val="008F370B"/>
    <w:rsid w:val="008F48BD"/>
    <w:rsid w:val="0090038E"/>
    <w:rsid w:val="00920EA4"/>
    <w:rsid w:val="00932E54"/>
    <w:rsid w:val="00933700"/>
    <w:rsid w:val="00935305"/>
    <w:rsid w:val="0093669C"/>
    <w:rsid w:val="00937B54"/>
    <w:rsid w:val="00942B68"/>
    <w:rsid w:val="0094326F"/>
    <w:rsid w:val="00944C15"/>
    <w:rsid w:val="0094593C"/>
    <w:rsid w:val="0096045C"/>
    <w:rsid w:val="009606A7"/>
    <w:rsid w:val="00967AEC"/>
    <w:rsid w:val="00972027"/>
    <w:rsid w:val="00972A9E"/>
    <w:rsid w:val="0097485F"/>
    <w:rsid w:val="009870D8"/>
    <w:rsid w:val="00990499"/>
    <w:rsid w:val="009A39BF"/>
    <w:rsid w:val="009A5E4C"/>
    <w:rsid w:val="009C28D8"/>
    <w:rsid w:val="009C61ED"/>
    <w:rsid w:val="009D243B"/>
    <w:rsid w:val="009D3152"/>
    <w:rsid w:val="009D46E9"/>
    <w:rsid w:val="009E1239"/>
    <w:rsid w:val="009E56F7"/>
    <w:rsid w:val="009F16F5"/>
    <w:rsid w:val="00A024A0"/>
    <w:rsid w:val="00A035A7"/>
    <w:rsid w:val="00A05A2C"/>
    <w:rsid w:val="00A2562B"/>
    <w:rsid w:val="00A26A19"/>
    <w:rsid w:val="00A32160"/>
    <w:rsid w:val="00A37789"/>
    <w:rsid w:val="00A4523C"/>
    <w:rsid w:val="00A466F5"/>
    <w:rsid w:val="00A5230F"/>
    <w:rsid w:val="00A61679"/>
    <w:rsid w:val="00A631AD"/>
    <w:rsid w:val="00A77437"/>
    <w:rsid w:val="00A833AE"/>
    <w:rsid w:val="00A83B34"/>
    <w:rsid w:val="00A92EE7"/>
    <w:rsid w:val="00A95D2F"/>
    <w:rsid w:val="00AA1A0E"/>
    <w:rsid w:val="00AA53FF"/>
    <w:rsid w:val="00AA5D7F"/>
    <w:rsid w:val="00AA6E59"/>
    <w:rsid w:val="00AB06F5"/>
    <w:rsid w:val="00AB15BF"/>
    <w:rsid w:val="00AC709D"/>
    <w:rsid w:val="00AD7B06"/>
    <w:rsid w:val="00AF25D8"/>
    <w:rsid w:val="00AF3DA9"/>
    <w:rsid w:val="00AF7060"/>
    <w:rsid w:val="00B03EA2"/>
    <w:rsid w:val="00B161C2"/>
    <w:rsid w:val="00B302FF"/>
    <w:rsid w:val="00B34045"/>
    <w:rsid w:val="00B34969"/>
    <w:rsid w:val="00B37967"/>
    <w:rsid w:val="00B467E1"/>
    <w:rsid w:val="00B562A1"/>
    <w:rsid w:val="00B579F7"/>
    <w:rsid w:val="00B6091C"/>
    <w:rsid w:val="00B634FF"/>
    <w:rsid w:val="00B72EA5"/>
    <w:rsid w:val="00B86157"/>
    <w:rsid w:val="00B91F0F"/>
    <w:rsid w:val="00B92F6A"/>
    <w:rsid w:val="00BB1DF1"/>
    <w:rsid w:val="00BB26B8"/>
    <w:rsid w:val="00BB2C94"/>
    <w:rsid w:val="00BC0056"/>
    <w:rsid w:val="00BC26B8"/>
    <w:rsid w:val="00BC6379"/>
    <w:rsid w:val="00BD1D69"/>
    <w:rsid w:val="00BD2384"/>
    <w:rsid w:val="00BD5B6C"/>
    <w:rsid w:val="00BE796F"/>
    <w:rsid w:val="00BE7A28"/>
    <w:rsid w:val="00C01563"/>
    <w:rsid w:val="00C0600C"/>
    <w:rsid w:val="00C13E30"/>
    <w:rsid w:val="00C1428F"/>
    <w:rsid w:val="00C14437"/>
    <w:rsid w:val="00C15631"/>
    <w:rsid w:val="00C1685B"/>
    <w:rsid w:val="00C2383F"/>
    <w:rsid w:val="00C26BB8"/>
    <w:rsid w:val="00C27B1B"/>
    <w:rsid w:val="00C43020"/>
    <w:rsid w:val="00C43D4B"/>
    <w:rsid w:val="00C50524"/>
    <w:rsid w:val="00C56191"/>
    <w:rsid w:val="00C605A1"/>
    <w:rsid w:val="00C60EC0"/>
    <w:rsid w:val="00C66340"/>
    <w:rsid w:val="00C66A0F"/>
    <w:rsid w:val="00C67E4B"/>
    <w:rsid w:val="00C71E01"/>
    <w:rsid w:val="00C72852"/>
    <w:rsid w:val="00C75899"/>
    <w:rsid w:val="00C8176F"/>
    <w:rsid w:val="00C95A31"/>
    <w:rsid w:val="00C960AC"/>
    <w:rsid w:val="00CC01D4"/>
    <w:rsid w:val="00CD4B6B"/>
    <w:rsid w:val="00CE187C"/>
    <w:rsid w:val="00CE77D3"/>
    <w:rsid w:val="00CF44DE"/>
    <w:rsid w:val="00D147EA"/>
    <w:rsid w:val="00D14AD6"/>
    <w:rsid w:val="00D17133"/>
    <w:rsid w:val="00D20164"/>
    <w:rsid w:val="00D201B5"/>
    <w:rsid w:val="00D20233"/>
    <w:rsid w:val="00D226E4"/>
    <w:rsid w:val="00D25CBB"/>
    <w:rsid w:val="00D2691B"/>
    <w:rsid w:val="00D31CBA"/>
    <w:rsid w:val="00D346F1"/>
    <w:rsid w:val="00D34BC7"/>
    <w:rsid w:val="00D368E5"/>
    <w:rsid w:val="00D369B2"/>
    <w:rsid w:val="00D409DF"/>
    <w:rsid w:val="00D537E7"/>
    <w:rsid w:val="00D5479A"/>
    <w:rsid w:val="00D54C5F"/>
    <w:rsid w:val="00D6206E"/>
    <w:rsid w:val="00D92844"/>
    <w:rsid w:val="00D957B2"/>
    <w:rsid w:val="00DA3FF5"/>
    <w:rsid w:val="00DA464A"/>
    <w:rsid w:val="00DA65D2"/>
    <w:rsid w:val="00DA7922"/>
    <w:rsid w:val="00DB0C81"/>
    <w:rsid w:val="00DB6E24"/>
    <w:rsid w:val="00DC0183"/>
    <w:rsid w:val="00DC01DB"/>
    <w:rsid w:val="00DC61C2"/>
    <w:rsid w:val="00DC6C7B"/>
    <w:rsid w:val="00DD0A21"/>
    <w:rsid w:val="00DD55BF"/>
    <w:rsid w:val="00DE2A0C"/>
    <w:rsid w:val="00DE2E6F"/>
    <w:rsid w:val="00DE3A8B"/>
    <w:rsid w:val="00DE58E1"/>
    <w:rsid w:val="00DF0BDF"/>
    <w:rsid w:val="00DF386B"/>
    <w:rsid w:val="00DF3EAB"/>
    <w:rsid w:val="00E03E88"/>
    <w:rsid w:val="00E1281D"/>
    <w:rsid w:val="00E130FF"/>
    <w:rsid w:val="00E270AB"/>
    <w:rsid w:val="00E2756E"/>
    <w:rsid w:val="00E3066B"/>
    <w:rsid w:val="00E4097D"/>
    <w:rsid w:val="00E41745"/>
    <w:rsid w:val="00E4454F"/>
    <w:rsid w:val="00E469B3"/>
    <w:rsid w:val="00E54EAC"/>
    <w:rsid w:val="00E6212E"/>
    <w:rsid w:val="00E624BA"/>
    <w:rsid w:val="00E635A6"/>
    <w:rsid w:val="00E67EDD"/>
    <w:rsid w:val="00E73111"/>
    <w:rsid w:val="00E75CFD"/>
    <w:rsid w:val="00E81795"/>
    <w:rsid w:val="00E836AC"/>
    <w:rsid w:val="00E838A8"/>
    <w:rsid w:val="00E91690"/>
    <w:rsid w:val="00E95B7F"/>
    <w:rsid w:val="00E961BB"/>
    <w:rsid w:val="00E965B4"/>
    <w:rsid w:val="00E9761B"/>
    <w:rsid w:val="00E97C5E"/>
    <w:rsid w:val="00EA5D1F"/>
    <w:rsid w:val="00EB3DC7"/>
    <w:rsid w:val="00EB6CEA"/>
    <w:rsid w:val="00EC02EE"/>
    <w:rsid w:val="00ED6387"/>
    <w:rsid w:val="00EE4824"/>
    <w:rsid w:val="00EE6CBE"/>
    <w:rsid w:val="00EF000F"/>
    <w:rsid w:val="00EF016B"/>
    <w:rsid w:val="00EF167D"/>
    <w:rsid w:val="00EF3B1B"/>
    <w:rsid w:val="00EF4718"/>
    <w:rsid w:val="00EF7D2A"/>
    <w:rsid w:val="00F01FEA"/>
    <w:rsid w:val="00F054F5"/>
    <w:rsid w:val="00F31A32"/>
    <w:rsid w:val="00F33242"/>
    <w:rsid w:val="00F5226A"/>
    <w:rsid w:val="00F54354"/>
    <w:rsid w:val="00F76401"/>
    <w:rsid w:val="00F76AA7"/>
    <w:rsid w:val="00F80D09"/>
    <w:rsid w:val="00F8443D"/>
    <w:rsid w:val="00F91415"/>
    <w:rsid w:val="00F94C33"/>
    <w:rsid w:val="00FA2109"/>
    <w:rsid w:val="00FB395C"/>
    <w:rsid w:val="00FB7074"/>
    <w:rsid w:val="00FC3527"/>
    <w:rsid w:val="00FE5167"/>
    <w:rsid w:val="00FF20F8"/>
    <w:rsid w:val="00FF4EA9"/>
    <w:rsid w:val="00FF64E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659994"/>
  <w15:docId w15:val="{14040E11-CA94-46BE-8CEB-65A8AE3CF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rPr>
      <w:rFonts w:ascii="Calibri" w:eastAsia="Calibri" w:hAnsi="Calibri" w:cs="Arial"/>
    </w:rPr>
  </w:style>
  <w:style w:type="paragraph" w:styleId="Header">
    <w:name w:val="header"/>
    <w:basedOn w:val="Normal"/>
    <w:link w:val="HeaderChar"/>
    <w:uiPriority w:val="99"/>
    <w:pPr>
      <w:tabs>
        <w:tab w:val="center" w:pos="4536"/>
        <w:tab w:val="right" w:pos="9072"/>
      </w:tabs>
      <w:spacing w:after="0" w:line="240" w:lineRule="auto"/>
    </w:pPr>
  </w:style>
  <w:style w:type="character" w:customStyle="1" w:styleId="FooterChar">
    <w:name w:val="Footer Char"/>
    <w:link w:val="Footer"/>
    <w:rPr>
      <w:rFonts w:ascii="Calibri" w:eastAsia="Calibri" w:hAnsi="Calibri" w:cs="Arial"/>
    </w:rPr>
  </w:style>
  <w:style w:type="paragraph" w:styleId="Footer">
    <w:name w:val="footer"/>
    <w:basedOn w:val="Normal"/>
    <w:link w:val="FooterChar"/>
    <w:pPr>
      <w:tabs>
        <w:tab w:val="center" w:pos="4536"/>
        <w:tab w:val="right" w:pos="9072"/>
      </w:tabs>
      <w:spacing w:after="0" w:line="240" w:lineRule="auto"/>
    </w:p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pPr>
      <w:spacing w:after="0" w:line="240" w:lineRule="auto"/>
    </w:pPr>
    <w:rPr>
      <w:sz w:val="20"/>
      <w:szCs w:val="20"/>
    </w:rPr>
  </w:style>
  <w:style w:type="character" w:customStyle="1" w:styleId="FootnoteTextChar">
    <w:name w:val="Footnote Text Char"/>
    <w:link w:val="FootnoteText"/>
    <w:rPr>
      <w:rFonts w:ascii="Calibri" w:eastAsia="Calibri" w:hAnsi="Calibri" w:cs="Arial"/>
      <w:sz w:val="20"/>
      <w:szCs w:val="20"/>
    </w:rPr>
  </w:style>
  <w:style w:type="character" w:styleId="FootnoteReference">
    <w:name w:val="footnote reference"/>
    <w:rPr>
      <w:rFonts w:ascii="Calibri" w:eastAsia="Calibri" w:hAnsi="Calibri" w:cs="Arial"/>
      <w:vertAlign w:val="superscript"/>
    </w:rPr>
  </w:style>
  <w:style w:type="character" w:styleId="CommentReference">
    <w:name w:val="annotation reference"/>
    <w:rPr>
      <w:rFonts w:ascii="Calibri" w:eastAsia="Calibri" w:hAnsi="Calibri" w:cs="Arial"/>
      <w:sz w:val="16"/>
      <w:szCs w:val="16"/>
    </w:rPr>
  </w:style>
  <w:style w:type="paragraph" w:styleId="CommentText">
    <w:name w:val="annotation text"/>
    <w:basedOn w:val="Normal"/>
    <w:link w:val="CommentTextChar"/>
    <w:pPr>
      <w:spacing w:line="240" w:lineRule="auto"/>
    </w:pPr>
    <w:rPr>
      <w:sz w:val="20"/>
      <w:szCs w:val="20"/>
    </w:rPr>
  </w:style>
  <w:style w:type="character" w:customStyle="1" w:styleId="CommentTextChar">
    <w:name w:val="Comment Text Char"/>
    <w:link w:val="CommentText"/>
    <w:rPr>
      <w:rFonts w:ascii="Calibri" w:eastAsia="Calibri" w:hAnsi="Calibri" w:cs="Arial"/>
      <w:sz w:val="20"/>
      <w:szCs w:val="20"/>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ascii="Calibri" w:eastAsia="Calibri" w:hAnsi="Calibri" w:cs="Arial"/>
      <w:b/>
      <w:bCs/>
      <w:sz w:val="20"/>
      <w:szCs w:val="20"/>
    </w:rPr>
  </w:style>
  <w:style w:type="paragraph" w:styleId="BalloonText">
    <w:name w:val="Balloon Text"/>
    <w:basedOn w:val="Normal"/>
    <w:link w:val="BalloonTextChar"/>
    <w:pPr>
      <w:spacing w:after="0" w:line="240" w:lineRule="auto"/>
    </w:pPr>
    <w:rPr>
      <w:rFonts w:ascii="Tahoma" w:hAnsi="Tahoma" w:cs="Tahoma"/>
      <w:sz w:val="16"/>
      <w:szCs w:val="16"/>
    </w:rPr>
  </w:style>
  <w:style w:type="character" w:customStyle="1" w:styleId="BalloonTextChar">
    <w:name w:val="Balloon Text Char"/>
    <w:link w:val="BalloonText"/>
    <w:rPr>
      <w:rFonts w:ascii="Tahoma" w:eastAsia="Calibri" w:hAnsi="Tahoma" w:cs="Tahoma"/>
      <w:sz w:val="16"/>
      <w:szCs w:val="16"/>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
    <w:name w:val="Body text_"/>
    <w:link w:val="BodyText8"/>
    <w:rPr>
      <w:rFonts w:ascii="Times New Roman" w:eastAsia="Times New Roman" w:hAnsi="Times New Roman" w:cs="Times New Roman"/>
      <w:sz w:val="23"/>
      <w:szCs w:val="23"/>
      <w:shd w:val="clear" w:color="auto" w:fill="FFFFFF"/>
    </w:rPr>
  </w:style>
  <w:style w:type="paragraph" w:customStyle="1" w:styleId="BodyText8">
    <w:name w:val="Body Text8"/>
    <w:basedOn w:val="Normal"/>
    <w:link w:val="Bodytext"/>
    <w:pPr>
      <w:widowControl w:val="0"/>
      <w:shd w:val="clear" w:color="auto" w:fill="FFFFFF"/>
      <w:spacing w:after="180" w:line="0" w:lineRule="atLeast"/>
      <w:ind w:hanging="780"/>
    </w:pPr>
    <w:rPr>
      <w:rFonts w:ascii="Times New Roman" w:eastAsia="Times New Roman" w:hAnsi="Times New Roman" w:cs="Times New Roman"/>
      <w:sz w:val="23"/>
      <w:szCs w:val="23"/>
    </w:rPr>
  </w:style>
  <w:style w:type="paragraph" w:styleId="Revision">
    <w:name w:val="Revision"/>
    <w:rPr>
      <w:rFonts w:cs="Arial"/>
      <w:sz w:val="22"/>
      <w:szCs w:val="22"/>
      <w:lang w:eastAsia="en-US"/>
    </w:rPr>
  </w:style>
  <w:style w:type="character" w:styleId="Hyperlink">
    <w:name w:val="Hyperlink"/>
    <w:rPr>
      <w:rFonts w:ascii="Calibri" w:eastAsia="Calibri" w:hAnsi="Calibri" w:cs="Arial"/>
      <w:color w:val="0000FF"/>
      <w:u w:val="single"/>
    </w:rPr>
  </w:style>
  <w:style w:type="paragraph" w:styleId="NormalWeb">
    <w:name w:val="Normal (Web)"/>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lue">
    <w:name w:val="blue"/>
    <w:rPr>
      <w:rFonts w:ascii="Calibri" w:eastAsia="Calibri" w:hAnsi="Calibri" w:cs="Arial"/>
    </w:rPr>
  </w:style>
  <w:style w:type="table" w:styleId="TableGrid">
    <w:name w:val="Table Grid"/>
    <w:basedOn w:val="TableNormal"/>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qFormat/>
    <w:pPr>
      <w:spacing w:before="200" w:after="160"/>
      <w:ind w:left="864" w:right="864"/>
      <w:jc w:val="center"/>
    </w:pPr>
    <w:rPr>
      <w:i/>
      <w:iCs/>
      <w:color w:val="404040"/>
    </w:rPr>
  </w:style>
  <w:style w:type="character" w:customStyle="1" w:styleId="QuoteChar">
    <w:name w:val="Quote Char"/>
    <w:link w:val="Quote"/>
    <w:rPr>
      <w:rFonts w:ascii="Calibri" w:eastAsia="Calibri" w:hAnsi="Calibri" w:cs="Arial"/>
      <w:i/>
      <w:iCs/>
      <w:color w:val="404040"/>
      <w:sz w:val="22"/>
      <w:szCs w:val="22"/>
      <w:lang w:eastAsia="en-US"/>
    </w:rPr>
  </w:style>
  <w:style w:type="character" w:styleId="FollowedHyperlink">
    <w:name w:val="FollowedHyperlink"/>
    <w:rPr>
      <w:rFonts w:ascii="Calibri" w:eastAsia="Calibri" w:hAnsi="Calibri" w:cs="Arial"/>
      <w:color w:val="954F72"/>
      <w:u w:val="single"/>
    </w:rPr>
  </w:style>
  <w:style w:type="character" w:customStyle="1" w:styleId="UnresolvedMention1">
    <w:name w:val="Unresolved Mention1"/>
    <w:rPr>
      <w:rFonts w:ascii="Calibri" w:eastAsia="Calibri" w:hAnsi="Calibri" w:cs="Arial"/>
      <w:color w:val="605E5C"/>
      <w:shd w:val="clear" w:color="auto" w:fill="E1DFDD"/>
    </w:rPr>
  </w:style>
  <w:style w:type="numbering" w:customStyle="1" w:styleId="NoList1">
    <w:name w:val="No List1"/>
    <w:next w:val="NoList"/>
    <w:semiHidden/>
    <w:rsid w:val="00B579F7"/>
  </w:style>
  <w:style w:type="character" w:styleId="PageNumber">
    <w:name w:val="page number"/>
    <w:basedOn w:val="DefaultParagraphFont"/>
    <w:rsid w:val="00B579F7"/>
  </w:style>
  <w:style w:type="paragraph" w:customStyle="1" w:styleId="firstline">
    <w:name w:val="firstline"/>
    <w:basedOn w:val="Normal"/>
    <w:rsid w:val="00B579F7"/>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fotext">
    <w:name w:val="infotext"/>
    <w:basedOn w:val="DefaultParagraphFont"/>
    <w:rsid w:val="00B579F7"/>
  </w:style>
  <w:style w:type="character" w:styleId="Strong">
    <w:name w:val="Strong"/>
    <w:qFormat/>
    <w:rsid w:val="00B579F7"/>
    <w:rPr>
      <w:b/>
      <w:bCs/>
    </w:rPr>
  </w:style>
  <w:style w:type="character" w:customStyle="1" w:styleId="ldef">
    <w:name w:val="ldef"/>
    <w:basedOn w:val="DefaultParagraphFont"/>
    <w:rsid w:val="00B579F7"/>
  </w:style>
  <w:style w:type="paragraph" w:customStyle="1" w:styleId="CharCharChar">
    <w:name w:val="Char Char Char"/>
    <w:basedOn w:val="Normal"/>
    <w:rsid w:val="00B579F7"/>
    <w:pPr>
      <w:tabs>
        <w:tab w:val="left" w:pos="709"/>
      </w:tabs>
      <w:spacing w:after="0" w:line="240" w:lineRule="auto"/>
    </w:pPr>
    <w:rPr>
      <w:rFonts w:ascii="Tahoma" w:eastAsia="Times New Roman" w:hAnsi="Tahoma" w:cs="Times New Roman"/>
      <w:sz w:val="24"/>
      <w:szCs w:val="24"/>
      <w:lang w:val="pl-PL" w:eastAsia="pl-PL"/>
    </w:rPr>
  </w:style>
  <w:style w:type="table" w:customStyle="1" w:styleId="TableGrid1">
    <w:name w:val="Table Grid1"/>
    <w:basedOn w:val="TableNormal"/>
    <w:next w:val="TableGrid"/>
    <w:rsid w:val="00B579F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79F7"/>
    <w:pPr>
      <w:autoSpaceDE w:val="0"/>
      <w:autoSpaceDN w:val="0"/>
      <w:adjustRightInd w:val="0"/>
    </w:pPr>
    <w:rPr>
      <w:rFonts w:ascii="Times New Roman" w:eastAsia="Times New Roman" w:hAnsi="Times New Roman"/>
      <w:color w:val="000000"/>
      <w:sz w:val="24"/>
      <w:szCs w:val="24"/>
    </w:rPr>
  </w:style>
  <w:style w:type="paragraph" w:customStyle="1" w:styleId="CharCharCharChar">
    <w:name w:val="Char Char Char Char"/>
    <w:basedOn w:val="Normal"/>
    <w:rsid w:val="00B579F7"/>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basedOn w:val="DefaultParagraphFont"/>
    <w:rsid w:val="00B579F7"/>
  </w:style>
  <w:style w:type="character" w:customStyle="1" w:styleId="A11">
    <w:name w:val="A11"/>
    <w:rsid w:val="00B579F7"/>
    <w:rPr>
      <w:rFonts w:cs="Myriad Pro"/>
      <w:color w:val="000000"/>
      <w:sz w:val="17"/>
      <w:szCs w:val="17"/>
    </w:rPr>
  </w:style>
  <w:style w:type="paragraph" w:customStyle="1" w:styleId="Pa27">
    <w:name w:val="Pa27"/>
    <w:basedOn w:val="Normal"/>
    <w:next w:val="Normal"/>
    <w:rsid w:val="00B579F7"/>
    <w:pPr>
      <w:autoSpaceDE w:val="0"/>
      <w:autoSpaceDN w:val="0"/>
      <w:adjustRightInd w:val="0"/>
      <w:spacing w:after="0" w:line="241" w:lineRule="atLeast"/>
    </w:pPr>
    <w:rPr>
      <w:rFonts w:ascii="Myriad Pro" w:eastAsia="Times New Roman" w:hAnsi="Myriad Pro" w:cs="Times New Roman"/>
      <w:sz w:val="24"/>
      <w:szCs w:val="24"/>
      <w:lang w:eastAsia="bg-BG"/>
    </w:rPr>
  </w:style>
  <w:style w:type="paragraph" w:customStyle="1" w:styleId="Pa26">
    <w:name w:val="Pa26"/>
    <w:basedOn w:val="Normal"/>
    <w:next w:val="Normal"/>
    <w:rsid w:val="00B579F7"/>
    <w:pPr>
      <w:autoSpaceDE w:val="0"/>
      <w:autoSpaceDN w:val="0"/>
      <w:adjustRightInd w:val="0"/>
      <w:spacing w:after="0" w:line="241" w:lineRule="atLeast"/>
    </w:pPr>
    <w:rPr>
      <w:rFonts w:ascii="Myriad Pro" w:eastAsia="Times New Roman" w:hAnsi="Myriad Pro"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35040">
      <w:bodyDiv w:val="1"/>
      <w:marLeft w:val="0"/>
      <w:marRight w:val="0"/>
      <w:marTop w:val="0"/>
      <w:marBottom w:val="0"/>
      <w:divBdr>
        <w:top w:val="none" w:sz="0" w:space="0" w:color="auto"/>
        <w:left w:val="none" w:sz="0" w:space="0" w:color="auto"/>
        <w:bottom w:val="none" w:sz="0" w:space="0" w:color="auto"/>
        <w:right w:val="none" w:sz="0" w:space="0" w:color="auto"/>
      </w:divBdr>
    </w:div>
    <w:div w:id="395401388">
      <w:bodyDiv w:val="1"/>
      <w:marLeft w:val="0"/>
      <w:marRight w:val="0"/>
      <w:marTop w:val="0"/>
      <w:marBottom w:val="0"/>
      <w:divBdr>
        <w:top w:val="none" w:sz="0" w:space="0" w:color="auto"/>
        <w:left w:val="none" w:sz="0" w:space="0" w:color="auto"/>
        <w:bottom w:val="none" w:sz="0" w:space="0" w:color="auto"/>
        <w:right w:val="none" w:sz="0" w:space="0" w:color="auto"/>
      </w:divBdr>
    </w:div>
    <w:div w:id="1193887015">
      <w:bodyDiv w:val="1"/>
      <w:marLeft w:val="0"/>
      <w:marRight w:val="0"/>
      <w:marTop w:val="0"/>
      <w:marBottom w:val="0"/>
      <w:divBdr>
        <w:top w:val="none" w:sz="0" w:space="0" w:color="auto"/>
        <w:left w:val="none" w:sz="0" w:space="0" w:color="auto"/>
        <w:bottom w:val="none" w:sz="0" w:space="0" w:color="auto"/>
        <w:right w:val="none" w:sz="0" w:space="0" w:color="auto"/>
      </w:divBdr>
      <w:divsChild>
        <w:div w:id="441802759">
          <w:marLeft w:val="0"/>
          <w:marRight w:val="0"/>
          <w:marTop w:val="0"/>
          <w:marBottom w:val="0"/>
          <w:divBdr>
            <w:top w:val="none" w:sz="0" w:space="0" w:color="auto"/>
            <w:left w:val="none" w:sz="0" w:space="0" w:color="auto"/>
            <w:bottom w:val="none" w:sz="0" w:space="0" w:color="auto"/>
            <w:right w:val="none" w:sz="0" w:space="0" w:color="auto"/>
          </w:divBdr>
        </w:div>
        <w:div w:id="181360107">
          <w:marLeft w:val="0"/>
          <w:marRight w:val="0"/>
          <w:marTop w:val="0"/>
          <w:marBottom w:val="0"/>
          <w:divBdr>
            <w:top w:val="none" w:sz="0" w:space="0" w:color="auto"/>
            <w:left w:val="none" w:sz="0" w:space="0" w:color="auto"/>
            <w:bottom w:val="none" w:sz="0" w:space="0" w:color="auto"/>
            <w:right w:val="none" w:sz="0" w:space="0" w:color="auto"/>
          </w:divBdr>
        </w:div>
        <w:div w:id="771827256">
          <w:marLeft w:val="0"/>
          <w:marRight w:val="0"/>
          <w:marTop w:val="0"/>
          <w:marBottom w:val="0"/>
          <w:divBdr>
            <w:top w:val="none" w:sz="0" w:space="0" w:color="auto"/>
            <w:left w:val="none" w:sz="0" w:space="0" w:color="auto"/>
            <w:bottom w:val="none" w:sz="0" w:space="0" w:color="auto"/>
            <w:right w:val="none" w:sz="0" w:space="0" w:color="auto"/>
          </w:divBdr>
        </w:div>
      </w:divsChild>
    </w:div>
    <w:div w:id="1681351903">
      <w:bodyDiv w:val="1"/>
      <w:marLeft w:val="0"/>
      <w:marRight w:val="0"/>
      <w:marTop w:val="0"/>
      <w:marBottom w:val="0"/>
      <w:divBdr>
        <w:top w:val="none" w:sz="0" w:space="0" w:color="auto"/>
        <w:left w:val="none" w:sz="0" w:space="0" w:color="auto"/>
        <w:bottom w:val="none" w:sz="0" w:space="0" w:color="auto"/>
        <w:right w:val="none" w:sz="0" w:space="0" w:color="auto"/>
      </w:divBdr>
    </w:div>
    <w:div w:id="2066442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42"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43" Type="http://schemas.microsoft.com/office/2018/08/relationships/commentsExtensible" Target="commentsExtensi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A167C-A2C7-4132-BF44-0E38D3C3A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1647</Words>
  <Characters>9390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AIgnatova</cp:lastModifiedBy>
  <cp:revision>6</cp:revision>
  <cp:lastPrinted>2023-09-28T13:36:00Z</cp:lastPrinted>
  <dcterms:created xsi:type="dcterms:W3CDTF">2023-10-10T17:03:00Z</dcterms:created>
  <dcterms:modified xsi:type="dcterms:W3CDTF">2023-10-12T08:07:00Z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0f25531193bd4a7f9a908b5e03fc8935</vt:lpwstr>
  </property>
</Properties>
</file>