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46A0D" w14:textId="65B42A22" w:rsidR="00E0449B" w:rsidRPr="00E0449B" w:rsidRDefault="00176872" w:rsidP="00E0449B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lang w:val="en-US"/>
        </w:rPr>
        <w:t xml:space="preserve"> </w:t>
      </w:r>
      <w:r w:rsidR="00E0449B" w:rsidRPr="00E0449B">
        <w:rPr>
          <w:rFonts w:ascii="Times New Roman" w:hAnsi="Times New Roman"/>
          <w:b/>
          <w:sz w:val="24"/>
          <w:szCs w:val="24"/>
        </w:rPr>
        <w:t>Приложение № 3</w:t>
      </w:r>
    </w:p>
    <w:p w14:paraId="3D30C986" w14:textId="21469F2F" w:rsidR="0052477D" w:rsidRPr="00764722" w:rsidRDefault="00EF5ADD" w:rsidP="00996230">
      <w:pPr>
        <w:jc w:val="center"/>
        <w:rPr>
          <w:rFonts w:ascii="Times New Roman" w:hAnsi="Times New Roman"/>
          <w:b/>
          <w:sz w:val="24"/>
          <w:szCs w:val="24"/>
        </w:rPr>
      </w:pPr>
      <w:r w:rsidRPr="00764722">
        <w:rPr>
          <w:rFonts w:ascii="Times New Roman" w:hAnsi="Times New Roman"/>
          <w:b/>
          <w:sz w:val="24"/>
          <w:szCs w:val="24"/>
        </w:rPr>
        <w:t xml:space="preserve">Методология </w:t>
      </w:r>
      <w:bookmarkStart w:id="0" w:name="_Hlk143784702"/>
      <w:r w:rsidRPr="00764722">
        <w:rPr>
          <w:rFonts w:ascii="Times New Roman" w:hAnsi="Times New Roman"/>
          <w:b/>
          <w:sz w:val="24"/>
          <w:szCs w:val="24"/>
        </w:rPr>
        <w:t xml:space="preserve">за формиране на извадка при проверка на </w:t>
      </w:r>
      <w:r w:rsidR="00996230" w:rsidRPr="00764722">
        <w:rPr>
          <w:rFonts w:ascii="Times New Roman" w:hAnsi="Times New Roman"/>
          <w:b/>
          <w:sz w:val="24"/>
          <w:szCs w:val="24"/>
        </w:rPr>
        <w:t xml:space="preserve">допустимост на </w:t>
      </w:r>
      <w:r w:rsidR="00073355" w:rsidRPr="00764722">
        <w:rPr>
          <w:rFonts w:ascii="Times New Roman" w:hAnsi="Times New Roman"/>
          <w:b/>
          <w:sz w:val="24"/>
          <w:szCs w:val="24"/>
        </w:rPr>
        <w:t>разходите</w:t>
      </w:r>
      <w:r w:rsidR="00996230" w:rsidRPr="00764722">
        <w:rPr>
          <w:rFonts w:ascii="Times New Roman" w:hAnsi="Times New Roman"/>
          <w:b/>
          <w:sz w:val="24"/>
          <w:szCs w:val="24"/>
        </w:rPr>
        <w:t xml:space="preserve"> в рамките на</w:t>
      </w:r>
      <w:r w:rsidR="00137A60" w:rsidRPr="00764722">
        <w:rPr>
          <w:rFonts w:ascii="Times New Roman" w:hAnsi="Times New Roman"/>
          <w:b/>
          <w:sz w:val="24"/>
          <w:szCs w:val="24"/>
        </w:rPr>
        <w:t xml:space="preserve"> управленски проверки на Управляващите органи при верификация по</w:t>
      </w:r>
      <w:r w:rsidR="00996230" w:rsidRPr="00764722">
        <w:rPr>
          <w:rFonts w:ascii="Times New Roman" w:hAnsi="Times New Roman"/>
          <w:b/>
          <w:sz w:val="24"/>
          <w:szCs w:val="24"/>
        </w:rPr>
        <w:t xml:space="preserve"> </w:t>
      </w:r>
      <w:r w:rsidR="00402E07" w:rsidRPr="00764722">
        <w:rPr>
          <w:rFonts w:ascii="Times New Roman" w:hAnsi="Times New Roman"/>
          <w:b/>
          <w:sz w:val="24"/>
          <w:szCs w:val="24"/>
        </w:rPr>
        <w:t xml:space="preserve">операции, финансирани от </w:t>
      </w:r>
      <w:r w:rsidRPr="00764722">
        <w:rPr>
          <w:rFonts w:ascii="Times New Roman" w:hAnsi="Times New Roman"/>
          <w:b/>
          <w:sz w:val="24"/>
          <w:szCs w:val="24"/>
        </w:rPr>
        <w:t xml:space="preserve">Инструмента SAFE за възстановяване на вече изплатени средства за компенсация на МСП </w:t>
      </w:r>
      <w:bookmarkEnd w:id="0"/>
      <w:r w:rsidRPr="00764722">
        <w:rPr>
          <w:rFonts w:ascii="Times New Roman" w:hAnsi="Times New Roman"/>
          <w:b/>
          <w:sz w:val="24"/>
          <w:szCs w:val="24"/>
        </w:rPr>
        <w:t>за увеличените разходи за електрическа енергия за периода февруари-</w:t>
      </w:r>
      <w:r w:rsidR="0078207F">
        <w:rPr>
          <w:rFonts w:ascii="Times New Roman" w:hAnsi="Times New Roman"/>
          <w:b/>
          <w:sz w:val="24"/>
          <w:szCs w:val="24"/>
        </w:rPr>
        <w:t>септември</w:t>
      </w:r>
      <w:r w:rsidR="0078207F" w:rsidRPr="00764722">
        <w:rPr>
          <w:rFonts w:ascii="Times New Roman" w:hAnsi="Times New Roman"/>
          <w:b/>
          <w:sz w:val="24"/>
          <w:szCs w:val="24"/>
        </w:rPr>
        <w:t xml:space="preserve"> </w:t>
      </w:r>
      <w:r w:rsidRPr="00764722">
        <w:rPr>
          <w:rFonts w:ascii="Times New Roman" w:hAnsi="Times New Roman"/>
          <w:b/>
          <w:sz w:val="24"/>
          <w:szCs w:val="24"/>
        </w:rPr>
        <w:t>2022 г.</w:t>
      </w:r>
    </w:p>
    <w:p w14:paraId="13AFFE03" w14:textId="77777777" w:rsidR="00996230" w:rsidRPr="00764722" w:rsidRDefault="00996230" w:rsidP="00996230">
      <w:pPr>
        <w:tabs>
          <w:tab w:val="left" w:pos="426"/>
        </w:tabs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722">
        <w:rPr>
          <w:rFonts w:ascii="Times New Roman" w:hAnsi="Times New Roman"/>
          <w:b/>
          <w:sz w:val="24"/>
          <w:szCs w:val="24"/>
        </w:rPr>
        <w:t>Приложимост на методологията</w:t>
      </w:r>
    </w:p>
    <w:p w14:paraId="61B074E2" w14:textId="77777777" w:rsidR="00996230" w:rsidRPr="00764722" w:rsidRDefault="00996230" w:rsidP="00996230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64722">
        <w:rPr>
          <w:rFonts w:ascii="Times New Roman" w:hAnsi="Times New Roman"/>
          <w:i/>
          <w:sz w:val="24"/>
          <w:szCs w:val="24"/>
        </w:rPr>
        <w:t xml:space="preserve">Европейски структурни и инвестиционни фондове 2014 – 2020: </w:t>
      </w:r>
    </w:p>
    <w:p w14:paraId="4980D9FE" w14:textId="77777777" w:rsidR="00996230" w:rsidRPr="00764722" w:rsidRDefault="00996230" w:rsidP="00996230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Европейски фонд за регионално развитие, Кохезион</w:t>
      </w:r>
      <w:r w:rsidR="007305DD" w:rsidRPr="00764722">
        <w:rPr>
          <w:rFonts w:ascii="Times New Roman" w:hAnsi="Times New Roman"/>
          <w:sz w:val="24"/>
          <w:szCs w:val="24"/>
        </w:rPr>
        <w:t>е</w:t>
      </w:r>
      <w:r w:rsidRPr="00764722">
        <w:rPr>
          <w:rFonts w:ascii="Times New Roman" w:hAnsi="Times New Roman"/>
          <w:sz w:val="24"/>
          <w:szCs w:val="24"/>
        </w:rPr>
        <w:t xml:space="preserve">н </w:t>
      </w:r>
      <w:r w:rsidR="007305DD" w:rsidRPr="00764722">
        <w:rPr>
          <w:rFonts w:ascii="Times New Roman" w:hAnsi="Times New Roman"/>
          <w:sz w:val="24"/>
          <w:szCs w:val="24"/>
        </w:rPr>
        <w:t>фонд,</w:t>
      </w:r>
      <w:r w:rsidRPr="00764722">
        <w:rPr>
          <w:rFonts w:ascii="Times New Roman" w:hAnsi="Times New Roman"/>
          <w:sz w:val="24"/>
          <w:szCs w:val="24"/>
        </w:rPr>
        <w:t xml:space="preserve"> Европейски социален фонд</w:t>
      </w:r>
      <w:r w:rsidR="007305DD" w:rsidRPr="00764722">
        <w:rPr>
          <w:rFonts w:ascii="Times New Roman" w:hAnsi="Times New Roman"/>
          <w:sz w:val="24"/>
          <w:szCs w:val="24"/>
        </w:rPr>
        <w:t>,</w:t>
      </w:r>
      <w:r w:rsidRPr="00764722">
        <w:rPr>
          <w:rFonts w:ascii="Times New Roman" w:hAnsi="Times New Roman"/>
          <w:sz w:val="24"/>
          <w:szCs w:val="24"/>
        </w:rPr>
        <w:t xml:space="preserve"> Помощ за възстановяване в полза на сближаването и териториите на Европа (REACT-EU).</w:t>
      </w:r>
    </w:p>
    <w:p w14:paraId="6F37C195" w14:textId="77777777" w:rsidR="00996230" w:rsidRPr="00764722" w:rsidRDefault="00996230" w:rsidP="00996230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64722">
        <w:rPr>
          <w:rFonts w:ascii="Times New Roman" w:hAnsi="Times New Roman"/>
          <w:i/>
          <w:sz w:val="24"/>
          <w:szCs w:val="24"/>
        </w:rPr>
        <w:t xml:space="preserve">Оперативни програми 2014 – 2020: </w:t>
      </w:r>
    </w:p>
    <w:p w14:paraId="490A68F0" w14:textId="77777777" w:rsidR="00EF5ADD" w:rsidRPr="00764722" w:rsidRDefault="00EF5ADD" w:rsidP="00EF5ADD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Оперативна програма „Иновации и конкурентоспособност“;</w:t>
      </w:r>
    </w:p>
    <w:p w14:paraId="2F68AA1D" w14:textId="77777777" w:rsidR="00EF5ADD" w:rsidRPr="00764722" w:rsidRDefault="00EF5ADD" w:rsidP="00EF5AD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Оперативна програма „Транспорт и транспортна инфраструктура“;</w:t>
      </w:r>
    </w:p>
    <w:p w14:paraId="5D52D5BA" w14:textId="77777777" w:rsidR="00EF5ADD" w:rsidRPr="00764722" w:rsidRDefault="00EF5ADD" w:rsidP="00EF5AD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Оперативна програма „Околна среда“;</w:t>
      </w:r>
    </w:p>
    <w:p w14:paraId="4DDE2D71" w14:textId="77777777" w:rsidR="00EF5ADD" w:rsidRPr="00764722" w:rsidRDefault="00EF5ADD" w:rsidP="00EF5AD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Оперативна програма „Региони в растеж“;</w:t>
      </w:r>
    </w:p>
    <w:p w14:paraId="5F821EF7" w14:textId="77777777" w:rsidR="00EF5ADD" w:rsidRPr="00764722" w:rsidRDefault="00EF5ADD" w:rsidP="00EF5AD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Оперативна програма „Наука и образование за интелигентен растеж“;</w:t>
      </w:r>
    </w:p>
    <w:p w14:paraId="1DEADE8C" w14:textId="77777777" w:rsidR="00EF5ADD" w:rsidRPr="00764722" w:rsidRDefault="00EF5ADD" w:rsidP="00EF5AD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Оперативна програма „Добро управление“.</w:t>
      </w:r>
    </w:p>
    <w:p w14:paraId="56685B27" w14:textId="77777777" w:rsidR="00CE54C9" w:rsidRPr="00764722" w:rsidRDefault="00CE54C9" w:rsidP="00DE2B07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64722">
        <w:rPr>
          <w:rFonts w:ascii="Times New Roman" w:hAnsi="Times New Roman"/>
          <w:i/>
          <w:sz w:val="24"/>
          <w:szCs w:val="24"/>
        </w:rPr>
        <w:t>Операции</w:t>
      </w:r>
      <w:r w:rsidR="004F5873" w:rsidRPr="00764722">
        <w:rPr>
          <w:rFonts w:ascii="Times New Roman" w:hAnsi="Times New Roman"/>
          <w:i/>
          <w:sz w:val="24"/>
          <w:szCs w:val="24"/>
        </w:rPr>
        <w:t>:</w:t>
      </w:r>
    </w:p>
    <w:p w14:paraId="7C7DCD24" w14:textId="2D5597BB" w:rsidR="00996230" w:rsidRPr="00764722" w:rsidRDefault="00CE54C9" w:rsidP="00DE2B07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О</w:t>
      </w:r>
      <w:r w:rsidR="00DE2B07" w:rsidRPr="00764722">
        <w:rPr>
          <w:rFonts w:ascii="Times New Roman" w:hAnsi="Times New Roman"/>
          <w:sz w:val="24"/>
          <w:szCs w:val="24"/>
        </w:rPr>
        <w:t>перации, чрез които се прилага Инструмента SAFE за възстановяване на вече изплатени средства за компенсация на МСП за увеличените разходи за електрическа енергия за периода февруари-</w:t>
      </w:r>
      <w:r w:rsidR="00E00615">
        <w:rPr>
          <w:rFonts w:ascii="Times New Roman" w:hAnsi="Times New Roman"/>
          <w:sz w:val="24"/>
          <w:szCs w:val="24"/>
        </w:rPr>
        <w:t>септември</w:t>
      </w:r>
      <w:r w:rsidR="00DE2B07" w:rsidRPr="00764722">
        <w:rPr>
          <w:rFonts w:ascii="Times New Roman" w:hAnsi="Times New Roman"/>
          <w:sz w:val="24"/>
          <w:szCs w:val="24"/>
        </w:rPr>
        <w:t xml:space="preserve"> 2022 г. Средствата са изплатени в рамките на Национална мярка за компенсиране на небитовите крайни клиенти на електрическа енергия, одобрена с решение на Министерски съвет и изпълнявана от Министерство на енергетиката и Фонд „Сигурност на електроенергийната система“. </w:t>
      </w:r>
    </w:p>
    <w:p w14:paraId="0133E674" w14:textId="77777777" w:rsidR="00D040B7" w:rsidRPr="00764722" w:rsidRDefault="00D040B7" w:rsidP="00DE2B07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Бенефициент</w:t>
      </w:r>
      <w:r w:rsidR="00CE54C9" w:rsidRPr="00764722">
        <w:rPr>
          <w:rFonts w:ascii="Times New Roman" w:hAnsi="Times New Roman"/>
          <w:sz w:val="24"/>
          <w:szCs w:val="24"/>
        </w:rPr>
        <w:t xml:space="preserve">: </w:t>
      </w:r>
      <w:r w:rsidRPr="00764722">
        <w:rPr>
          <w:rFonts w:ascii="Times New Roman" w:hAnsi="Times New Roman"/>
          <w:sz w:val="24"/>
          <w:szCs w:val="24"/>
        </w:rPr>
        <w:t>Фонд „Енергийна сигурност на електроенергийната система“.</w:t>
      </w:r>
    </w:p>
    <w:p w14:paraId="3F1C93BB" w14:textId="77777777" w:rsidR="00D040B7" w:rsidRPr="00764722" w:rsidRDefault="00D040B7" w:rsidP="007305DD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Крайни получатели</w:t>
      </w:r>
      <w:r w:rsidR="00CE54C9" w:rsidRPr="00764722">
        <w:rPr>
          <w:rFonts w:ascii="Times New Roman" w:hAnsi="Times New Roman"/>
          <w:sz w:val="24"/>
          <w:szCs w:val="24"/>
        </w:rPr>
        <w:t>:</w:t>
      </w:r>
      <w:r w:rsidRPr="00764722">
        <w:rPr>
          <w:rFonts w:ascii="Times New Roman" w:hAnsi="Times New Roman"/>
          <w:sz w:val="24"/>
          <w:szCs w:val="24"/>
        </w:rPr>
        <w:t xml:space="preserve"> </w:t>
      </w:r>
      <w:r w:rsidR="007305DD" w:rsidRPr="00764722">
        <w:rPr>
          <w:rFonts w:ascii="Times New Roman" w:hAnsi="Times New Roman"/>
          <w:sz w:val="24"/>
          <w:szCs w:val="24"/>
        </w:rPr>
        <w:t>Крайните получатели са определени от бенефициента въз основа на подхода в Приложение 1.</w:t>
      </w:r>
    </w:p>
    <w:p w14:paraId="465C517D" w14:textId="77777777" w:rsidR="00636608" w:rsidRPr="00764722" w:rsidRDefault="00636608" w:rsidP="00636608">
      <w:pPr>
        <w:tabs>
          <w:tab w:val="left" w:pos="426"/>
        </w:tabs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722">
        <w:rPr>
          <w:rFonts w:ascii="Times New Roman" w:hAnsi="Times New Roman"/>
          <w:b/>
          <w:sz w:val="24"/>
          <w:szCs w:val="24"/>
        </w:rPr>
        <w:t>Оценка на риска:</w:t>
      </w:r>
    </w:p>
    <w:p w14:paraId="5EAF0492" w14:textId="77777777" w:rsidR="00636608" w:rsidRPr="00764722" w:rsidRDefault="00636608" w:rsidP="00636608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Основните рискови фактори при верификацията на разходите произтичат от:</w:t>
      </w:r>
    </w:p>
    <w:p w14:paraId="7B4F3EE9" w14:textId="77777777" w:rsidR="00636608" w:rsidRPr="00764722" w:rsidRDefault="00636608" w:rsidP="00D37C7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липса на опит на бенефициента от изпълнение на подобни проекти</w:t>
      </w:r>
      <w:r w:rsidR="004D40E0" w:rsidRPr="00764722">
        <w:rPr>
          <w:rFonts w:ascii="Times New Roman" w:hAnsi="Times New Roman"/>
          <w:sz w:val="24"/>
          <w:szCs w:val="24"/>
        </w:rPr>
        <w:t xml:space="preserve"> – ниско ниво на </w:t>
      </w:r>
      <w:r w:rsidR="00DE27DB" w:rsidRPr="00764722">
        <w:rPr>
          <w:rFonts w:ascii="Times New Roman" w:hAnsi="Times New Roman"/>
          <w:sz w:val="24"/>
          <w:szCs w:val="24"/>
        </w:rPr>
        <w:t>увереност</w:t>
      </w:r>
      <w:r w:rsidR="004D40E0" w:rsidRPr="00764722">
        <w:rPr>
          <w:rFonts w:ascii="Times New Roman" w:hAnsi="Times New Roman"/>
          <w:sz w:val="24"/>
          <w:szCs w:val="24"/>
        </w:rPr>
        <w:t xml:space="preserve"> в системата</w:t>
      </w:r>
      <w:r w:rsidRPr="00764722">
        <w:rPr>
          <w:rFonts w:ascii="Times New Roman" w:hAnsi="Times New Roman"/>
          <w:sz w:val="24"/>
          <w:szCs w:val="24"/>
        </w:rPr>
        <w:t>;</w:t>
      </w:r>
    </w:p>
    <w:p w14:paraId="2A2D63BC" w14:textId="77777777" w:rsidR="00636608" w:rsidRPr="00764722" w:rsidRDefault="00636608" w:rsidP="00D37C7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кратки срокове за изпълнение и верификация на операциите;</w:t>
      </w:r>
    </w:p>
    <w:p w14:paraId="2A57FD23" w14:textId="77777777" w:rsidR="00636608" w:rsidRPr="00764722" w:rsidRDefault="00636608" w:rsidP="00D37C7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голям брой крайни получатели на помощта.</w:t>
      </w:r>
    </w:p>
    <w:p w14:paraId="0C96F964" w14:textId="77777777" w:rsidR="00636608" w:rsidRPr="00764722" w:rsidRDefault="00636608" w:rsidP="00D37C7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Тези рискови фактори са взети предвид при допусканията за формиране на извадката.</w:t>
      </w:r>
    </w:p>
    <w:p w14:paraId="16EA245B" w14:textId="77777777" w:rsidR="00CE54C9" w:rsidRPr="00764722" w:rsidRDefault="00CE54C9" w:rsidP="00D37C7E">
      <w:pPr>
        <w:keepNext/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722">
        <w:rPr>
          <w:rFonts w:ascii="Times New Roman" w:hAnsi="Times New Roman"/>
          <w:b/>
          <w:sz w:val="24"/>
          <w:szCs w:val="24"/>
        </w:rPr>
        <w:lastRenderedPageBreak/>
        <w:t>Основание за прилагане на извадка при осъществяване на управленски проверки в процеса на верификация</w:t>
      </w:r>
    </w:p>
    <w:p w14:paraId="2F818549" w14:textId="77777777" w:rsidR="00CE54C9" w:rsidRPr="00764722" w:rsidRDefault="00CE54C9" w:rsidP="00CE54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От </w:t>
      </w:r>
      <w:r w:rsidR="00DB46DE" w:rsidRPr="00764722">
        <w:rPr>
          <w:rFonts w:ascii="Times New Roman" w:hAnsi="Times New Roman"/>
          <w:sz w:val="24"/>
          <w:szCs w:val="24"/>
        </w:rPr>
        <w:t xml:space="preserve">Националната </w:t>
      </w:r>
      <w:r w:rsidRPr="00764722">
        <w:rPr>
          <w:rFonts w:ascii="Times New Roman" w:hAnsi="Times New Roman"/>
          <w:sz w:val="24"/>
          <w:szCs w:val="24"/>
        </w:rPr>
        <w:t>мярка</w:t>
      </w:r>
      <w:r w:rsidR="00DB46DE" w:rsidRPr="00764722">
        <w:rPr>
          <w:rFonts w:ascii="Times New Roman" w:hAnsi="Times New Roman"/>
          <w:sz w:val="24"/>
          <w:szCs w:val="24"/>
        </w:rPr>
        <w:t xml:space="preserve"> са могли</w:t>
      </w:r>
      <w:r w:rsidRPr="00764722">
        <w:rPr>
          <w:rFonts w:ascii="Times New Roman" w:hAnsi="Times New Roman"/>
          <w:sz w:val="24"/>
          <w:szCs w:val="24"/>
        </w:rPr>
        <w:t xml:space="preserve"> да се възползват около 633 000 небитови крайни клиенти, вкл. всички малки и средни предприятия. Към 31.12.2022 г. по данни от Националния статистически институт нефинансовите предприятия в Република България са около 411 000 броя, от които над 99% са МСП. </w:t>
      </w:r>
    </w:p>
    <w:p w14:paraId="16E30D46" w14:textId="77777777" w:rsidR="00CE54C9" w:rsidRPr="00764722" w:rsidRDefault="00CE54C9" w:rsidP="00CE54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В рамките на двете програми, формиращи Националната мярка, са подкрепени общо над 250 хил. небитови крайни потребители на електрическа енергия, като общият размер на изплатените компенсации надхвърля 3.9 млрд. лева.</w:t>
      </w:r>
      <w:r w:rsidR="005664CA" w:rsidRPr="00764722">
        <w:rPr>
          <w:rFonts w:ascii="Times New Roman" w:hAnsi="Times New Roman"/>
          <w:sz w:val="24"/>
          <w:szCs w:val="24"/>
        </w:rPr>
        <w:t xml:space="preserve"> В подкрепените крайни </w:t>
      </w:r>
      <w:r w:rsidR="00C20D99" w:rsidRPr="00764722">
        <w:rPr>
          <w:rFonts w:ascii="Times New Roman" w:hAnsi="Times New Roman"/>
          <w:sz w:val="24"/>
          <w:szCs w:val="24"/>
        </w:rPr>
        <w:t xml:space="preserve">получатели </w:t>
      </w:r>
      <w:r w:rsidR="005664CA" w:rsidRPr="00764722">
        <w:rPr>
          <w:rFonts w:ascii="Times New Roman" w:hAnsi="Times New Roman"/>
          <w:sz w:val="24"/>
          <w:szCs w:val="24"/>
        </w:rPr>
        <w:t>са включени МСП, които са допустими за финансиране по описаните по-горе оперативни програми.</w:t>
      </w:r>
    </w:p>
    <w:p w14:paraId="1F810269" w14:textId="77777777" w:rsidR="00C20D99" w:rsidRPr="00764722" w:rsidRDefault="005664CA" w:rsidP="00D37C7E">
      <w:pPr>
        <w:spacing w:before="120" w:after="120" w:line="260" w:lineRule="atLeast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Предвид това, че в исканията за плащане, подадени от бенефициента Фонд „Сигурност на електроенергийната система“ предстои да бъдат включени значителен брой разходни позиции (фактури и/или други статистически единици), с цел спазване на принципа разходите за контрол да не превишават ползите от него, е подходящо верификацията на искането за плащане да се извърши въз основа на извадка</w:t>
      </w:r>
      <w:r w:rsidR="00504D07" w:rsidRPr="00764722">
        <w:rPr>
          <w:rFonts w:ascii="Times New Roman" w:hAnsi="Times New Roman"/>
          <w:sz w:val="24"/>
          <w:szCs w:val="24"/>
        </w:rPr>
        <w:t xml:space="preserve">, базирана на статистически метод. </w:t>
      </w:r>
    </w:p>
    <w:p w14:paraId="334630AA" w14:textId="77777777" w:rsidR="00257083" w:rsidRPr="00764722" w:rsidRDefault="00C20D99" w:rsidP="00CE54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По отношение на попадналите в извадката разходни позиции ще бъде извършена </w:t>
      </w:r>
      <w:r w:rsidR="00CE54C9" w:rsidRPr="00764722">
        <w:rPr>
          <w:rFonts w:ascii="Times New Roman" w:hAnsi="Times New Roman"/>
          <w:sz w:val="24"/>
          <w:szCs w:val="24"/>
        </w:rPr>
        <w:t xml:space="preserve"> проверка </w:t>
      </w:r>
      <w:bookmarkStart w:id="1" w:name="_Hlk143875757"/>
      <w:r w:rsidR="00CE54C9" w:rsidRPr="00764722">
        <w:rPr>
          <w:rFonts w:ascii="Times New Roman" w:hAnsi="Times New Roman"/>
          <w:sz w:val="24"/>
          <w:szCs w:val="24"/>
        </w:rPr>
        <w:t>на допустимостта на крайните получатели по отношение на категорията предприятие (МСП</w:t>
      </w:r>
      <w:bookmarkEnd w:id="1"/>
      <w:r w:rsidR="00CE54C9" w:rsidRPr="00764722">
        <w:rPr>
          <w:rFonts w:ascii="Times New Roman" w:hAnsi="Times New Roman"/>
          <w:sz w:val="24"/>
          <w:szCs w:val="24"/>
        </w:rPr>
        <w:t xml:space="preserve">). </w:t>
      </w:r>
    </w:p>
    <w:p w14:paraId="26C5BE47" w14:textId="77777777" w:rsidR="00CE54C9" w:rsidRPr="00764722" w:rsidRDefault="00CE54C9" w:rsidP="00CE54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Подобен подход е допустим при </w:t>
      </w:r>
      <w:r w:rsidR="00257083" w:rsidRPr="00764722">
        <w:rPr>
          <w:rFonts w:ascii="Times New Roman" w:hAnsi="Times New Roman"/>
          <w:sz w:val="24"/>
          <w:szCs w:val="24"/>
        </w:rPr>
        <w:t>описаните по-горе</w:t>
      </w:r>
      <w:r w:rsidRPr="00764722">
        <w:rPr>
          <w:rFonts w:ascii="Times New Roman" w:hAnsi="Times New Roman"/>
          <w:sz w:val="24"/>
          <w:szCs w:val="24"/>
        </w:rPr>
        <w:t xml:space="preserve"> обстоятелства съгласно т. 1.7. от </w:t>
      </w:r>
      <w:r w:rsidR="00B14EF2" w:rsidRPr="00764722">
        <w:rPr>
          <w:rFonts w:ascii="Times New Roman" w:hAnsi="Times New Roman"/>
          <w:sz w:val="24"/>
          <w:szCs w:val="24"/>
        </w:rPr>
        <w:t xml:space="preserve">Ръководството за държавите членки относно проверките на управлението (EGESIF_14-0012_02 </w:t>
      </w:r>
      <w:proofErr w:type="spellStart"/>
      <w:r w:rsidR="00B14EF2" w:rsidRPr="00764722">
        <w:rPr>
          <w:rFonts w:ascii="Times New Roman" w:hAnsi="Times New Roman"/>
          <w:sz w:val="24"/>
          <w:szCs w:val="24"/>
        </w:rPr>
        <w:t>final</w:t>
      </w:r>
      <w:proofErr w:type="spellEnd"/>
      <w:r w:rsidR="00B14EF2" w:rsidRPr="00764722">
        <w:rPr>
          <w:rFonts w:ascii="Times New Roman" w:hAnsi="Times New Roman"/>
          <w:sz w:val="24"/>
          <w:szCs w:val="24"/>
        </w:rPr>
        <w:t>).</w:t>
      </w:r>
      <w:r w:rsidR="00543620" w:rsidRPr="00764722">
        <w:rPr>
          <w:rFonts w:ascii="Times New Roman" w:hAnsi="Times New Roman"/>
          <w:sz w:val="24"/>
          <w:szCs w:val="24"/>
        </w:rPr>
        <w:t xml:space="preserve"> </w:t>
      </w:r>
    </w:p>
    <w:p w14:paraId="0B217F71" w14:textId="77777777" w:rsidR="00E05674" w:rsidRPr="00764722" w:rsidRDefault="00E05674" w:rsidP="00D37C7E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722">
        <w:rPr>
          <w:rFonts w:ascii="Times New Roman" w:hAnsi="Times New Roman"/>
          <w:b/>
          <w:sz w:val="24"/>
          <w:szCs w:val="24"/>
        </w:rPr>
        <w:t>Формиране на извадката:</w:t>
      </w:r>
    </w:p>
    <w:p w14:paraId="1F22B6C5" w14:textId="77777777" w:rsidR="00620676" w:rsidRPr="00764722" w:rsidRDefault="00DE2B07" w:rsidP="00620676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i/>
          <w:sz w:val="24"/>
          <w:szCs w:val="24"/>
        </w:rPr>
        <w:t>Съвкупност</w:t>
      </w:r>
      <w:r w:rsidR="00E05674" w:rsidRPr="00764722">
        <w:rPr>
          <w:rFonts w:ascii="Times New Roman" w:hAnsi="Times New Roman"/>
          <w:i/>
          <w:sz w:val="24"/>
          <w:szCs w:val="24"/>
        </w:rPr>
        <w:t>:</w:t>
      </w:r>
      <w:r w:rsidR="00DE27DB" w:rsidRPr="00764722">
        <w:rPr>
          <w:rFonts w:ascii="Times New Roman" w:hAnsi="Times New Roman"/>
          <w:i/>
          <w:sz w:val="24"/>
          <w:szCs w:val="24"/>
        </w:rPr>
        <w:t xml:space="preserve"> </w:t>
      </w:r>
      <w:r w:rsidR="00DE27DB" w:rsidRPr="00764722">
        <w:rPr>
          <w:rFonts w:ascii="Times New Roman" w:hAnsi="Times New Roman"/>
          <w:sz w:val="24"/>
          <w:szCs w:val="24"/>
        </w:rPr>
        <w:t>разходни позиции, включени в</w:t>
      </w:r>
      <w:r w:rsidR="00E05674" w:rsidRPr="00764722">
        <w:rPr>
          <w:rFonts w:ascii="Times New Roman" w:hAnsi="Times New Roman"/>
          <w:sz w:val="24"/>
          <w:szCs w:val="24"/>
        </w:rPr>
        <w:t xml:space="preserve"> </w:t>
      </w:r>
      <w:r w:rsidR="00DE27DB" w:rsidRPr="00764722">
        <w:rPr>
          <w:rFonts w:ascii="Times New Roman" w:hAnsi="Times New Roman"/>
          <w:sz w:val="24"/>
          <w:szCs w:val="24"/>
        </w:rPr>
        <w:t xml:space="preserve">ИП, подадено </w:t>
      </w:r>
      <w:r w:rsidR="00620676" w:rsidRPr="00764722">
        <w:rPr>
          <w:rFonts w:ascii="Times New Roman" w:hAnsi="Times New Roman"/>
          <w:sz w:val="24"/>
          <w:szCs w:val="24"/>
        </w:rPr>
        <w:t xml:space="preserve">от бенефициента пред </w:t>
      </w:r>
      <w:r w:rsidR="005653A4" w:rsidRPr="00764722">
        <w:rPr>
          <w:rFonts w:ascii="Times New Roman" w:hAnsi="Times New Roman"/>
          <w:sz w:val="24"/>
          <w:szCs w:val="24"/>
        </w:rPr>
        <w:t>Управляващия орган</w:t>
      </w:r>
      <w:r w:rsidR="00257083" w:rsidRPr="00764722">
        <w:rPr>
          <w:rFonts w:ascii="Times New Roman" w:hAnsi="Times New Roman"/>
          <w:sz w:val="24"/>
          <w:szCs w:val="24"/>
        </w:rPr>
        <w:t>;</w:t>
      </w:r>
    </w:p>
    <w:p w14:paraId="11CA5732" w14:textId="77777777" w:rsidR="00DE2B07" w:rsidRPr="00764722" w:rsidRDefault="00DE2B07" w:rsidP="00DE2B07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i/>
          <w:sz w:val="24"/>
          <w:szCs w:val="24"/>
        </w:rPr>
        <w:t>Метод за формиране на извадката:</w:t>
      </w:r>
      <w:r w:rsidRPr="00764722">
        <w:rPr>
          <w:rFonts w:ascii="Times New Roman" w:hAnsi="Times New Roman"/>
          <w:sz w:val="24"/>
          <w:szCs w:val="24"/>
        </w:rPr>
        <w:t xml:space="preserve"> статистически</w:t>
      </w:r>
      <w:r w:rsidR="00257083" w:rsidRPr="00764722">
        <w:rPr>
          <w:rFonts w:ascii="Times New Roman" w:hAnsi="Times New Roman"/>
          <w:sz w:val="24"/>
          <w:szCs w:val="24"/>
        </w:rPr>
        <w:t>;</w:t>
      </w:r>
    </w:p>
    <w:p w14:paraId="1A7FD269" w14:textId="77777777" w:rsidR="00DE2B07" w:rsidRPr="00764722" w:rsidRDefault="00DE2B07" w:rsidP="00DE2B07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i/>
          <w:sz w:val="24"/>
          <w:szCs w:val="24"/>
        </w:rPr>
        <w:t>Техника за осъществяване на статистическия подбор:</w:t>
      </w:r>
      <w:r w:rsidRPr="00764722">
        <w:rPr>
          <w:rFonts w:ascii="Times New Roman" w:hAnsi="Times New Roman"/>
          <w:sz w:val="24"/>
          <w:szCs w:val="24"/>
        </w:rPr>
        <w:t xml:space="preserve"> п</w:t>
      </w:r>
      <w:r w:rsidR="007B3234" w:rsidRPr="00764722">
        <w:rPr>
          <w:rFonts w:ascii="Times New Roman" w:hAnsi="Times New Roman"/>
          <w:sz w:val="24"/>
          <w:szCs w:val="24"/>
        </w:rPr>
        <w:t>одбор на случаен принцип</w:t>
      </w:r>
      <w:r w:rsidR="00F25980" w:rsidRPr="00764722">
        <w:rPr>
          <w:rFonts w:ascii="Times New Roman" w:hAnsi="Times New Roman"/>
          <w:sz w:val="24"/>
          <w:szCs w:val="24"/>
        </w:rPr>
        <w:t xml:space="preserve"> с вероятност</w:t>
      </w:r>
      <w:r w:rsidR="006A4324" w:rsidRPr="00764722">
        <w:rPr>
          <w:rFonts w:ascii="Times New Roman" w:hAnsi="Times New Roman"/>
          <w:sz w:val="24"/>
          <w:szCs w:val="24"/>
        </w:rPr>
        <w:t>, пропорционална на размера</w:t>
      </w:r>
      <w:r w:rsidR="00257083" w:rsidRPr="00764722">
        <w:rPr>
          <w:rFonts w:ascii="Times New Roman" w:hAnsi="Times New Roman"/>
          <w:sz w:val="24"/>
          <w:szCs w:val="24"/>
        </w:rPr>
        <w:t>;</w:t>
      </w:r>
    </w:p>
    <w:p w14:paraId="34B7D74B" w14:textId="77777777" w:rsidR="00E05674" w:rsidRPr="00764722" w:rsidRDefault="00E05674" w:rsidP="00E0567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i/>
          <w:sz w:val="24"/>
          <w:szCs w:val="24"/>
        </w:rPr>
        <w:t>Статистическа единица:</w:t>
      </w:r>
      <w:r w:rsidRPr="00764722">
        <w:rPr>
          <w:rFonts w:ascii="Times New Roman" w:hAnsi="Times New Roman"/>
          <w:sz w:val="24"/>
          <w:szCs w:val="24"/>
        </w:rPr>
        <w:t xml:space="preserve"> </w:t>
      </w:r>
      <w:r w:rsidR="00257083" w:rsidRPr="00764722">
        <w:rPr>
          <w:rFonts w:ascii="Times New Roman" w:hAnsi="Times New Roman"/>
          <w:sz w:val="24"/>
          <w:szCs w:val="24"/>
        </w:rPr>
        <w:t>разходна позиция;</w:t>
      </w:r>
    </w:p>
    <w:p w14:paraId="0BCB2739" w14:textId="77777777" w:rsidR="00224100" w:rsidRPr="00764722" w:rsidRDefault="004F5873" w:rsidP="004F5873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i/>
          <w:sz w:val="24"/>
          <w:szCs w:val="24"/>
        </w:rPr>
        <w:t>Статистически метод:</w:t>
      </w:r>
      <w:r w:rsidRPr="00764722">
        <w:rPr>
          <w:rFonts w:ascii="Times New Roman" w:hAnsi="Times New Roman"/>
          <w:sz w:val="24"/>
          <w:szCs w:val="24"/>
        </w:rPr>
        <w:t xml:space="preserve"> </w:t>
      </w:r>
      <w:r w:rsidR="006A4324" w:rsidRPr="00764722">
        <w:rPr>
          <w:rFonts w:ascii="Times New Roman" w:hAnsi="Times New Roman"/>
          <w:sz w:val="24"/>
          <w:szCs w:val="24"/>
        </w:rPr>
        <w:t>извадка по парична единица</w:t>
      </w:r>
      <w:r w:rsidR="00257083" w:rsidRPr="00764722">
        <w:rPr>
          <w:rFonts w:ascii="Times New Roman" w:hAnsi="Times New Roman"/>
          <w:sz w:val="24"/>
          <w:szCs w:val="24"/>
        </w:rPr>
        <w:t xml:space="preserve"> </w:t>
      </w:r>
      <w:r w:rsidR="00B1403E" w:rsidRPr="00764722">
        <w:rPr>
          <w:rFonts w:ascii="Times New Roman" w:hAnsi="Times New Roman"/>
          <w:sz w:val="24"/>
          <w:szCs w:val="24"/>
        </w:rPr>
        <w:t>(MUS)</w:t>
      </w:r>
      <w:r w:rsidR="00DE27DB" w:rsidRPr="00764722">
        <w:rPr>
          <w:rFonts w:ascii="Times New Roman" w:hAnsi="Times New Roman"/>
          <w:sz w:val="24"/>
          <w:szCs w:val="24"/>
        </w:rPr>
        <w:t>;</w:t>
      </w:r>
      <w:r w:rsidR="00E60237" w:rsidRPr="00764722">
        <w:rPr>
          <w:rFonts w:ascii="Times New Roman" w:hAnsi="Times New Roman"/>
          <w:sz w:val="24"/>
          <w:szCs w:val="24"/>
        </w:rPr>
        <w:t xml:space="preserve"> </w:t>
      </w:r>
    </w:p>
    <w:p w14:paraId="0BAC7A6B" w14:textId="77777777" w:rsidR="00B1403E" w:rsidRPr="00764722" w:rsidRDefault="00B1403E" w:rsidP="004F5873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Същият е избран предвид следното:</w:t>
      </w:r>
    </w:p>
    <w:p w14:paraId="72E12400" w14:textId="77777777" w:rsidR="000D20D1" w:rsidRPr="00764722" w:rsidRDefault="00B1403E" w:rsidP="00E44983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- </w:t>
      </w:r>
      <w:r w:rsidR="00224100" w:rsidRPr="00764722">
        <w:rPr>
          <w:rFonts w:ascii="Times New Roman" w:hAnsi="Times New Roman"/>
          <w:sz w:val="24"/>
          <w:szCs w:val="24"/>
        </w:rPr>
        <w:t>популацията, от която ще бъде формирана извадката е еднотипна (състои се от компенсации, изплатени на МСП);</w:t>
      </w:r>
    </w:p>
    <w:p w14:paraId="422EF8A1" w14:textId="77777777" w:rsidR="00CC176F" w:rsidRPr="00764722" w:rsidRDefault="000D20D1" w:rsidP="00E44983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- с</w:t>
      </w:r>
      <w:r w:rsidR="00DE27DB" w:rsidRPr="00764722">
        <w:rPr>
          <w:rFonts w:ascii="Times New Roman" w:hAnsi="Times New Roman"/>
          <w:sz w:val="24"/>
          <w:szCs w:val="24"/>
        </w:rPr>
        <w:t xml:space="preserve">писъкът на допустимите </w:t>
      </w:r>
      <w:r w:rsidR="00CC176F" w:rsidRPr="00764722">
        <w:rPr>
          <w:rFonts w:ascii="Times New Roman" w:hAnsi="Times New Roman"/>
          <w:sz w:val="24"/>
          <w:szCs w:val="24"/>
        </w:rPr>
        <w:t xml:space="preserve">крайни получатели, </w:t>
      </w:r>
      <w:r w:rsidR="00DE27DB" w:rsidRPr="00764722">
        <w:rPr>
          <w:rFonts w:ascii="Times New Roman" w:hAnsi="Times New Roman"/>
          <w:sz w:val="24"/>
          <w:szCs w:val="24"/>
        </w:rPr>
        <w:t xml:space="preserve">разходи за които са включени от </w:t>
      </w:r>
      <w:r w:rsidR="00CC176F" w:rsidRPr="00764722">
        <w:rPr>
          <w:rFonts w:ascii="Times New Roman" w:hAnsi="Times New Roman"/>
          <w:sz w:val="24"/>
          <w:szCs w:val="24"/>
        </w:rPr>
        <w:t xml:space="preserve"> бенефициента </w:t>
      </w:r>
      <w:r w:rsidR="00DE27DB" w:rsidRPr="00764722">
        <w:rPr>
          <w:rFonts w:ascii="Times New Roman" w:hAnsi="Times New Roman"/>
          <w:sz w:val="24"/>
          <w:szCs w:val="24"/>
        </w:rPr>
        <w:t>в ИП</w:t>
      </w:r>
      <w:r w:rsidR="00171234" w:rsidRPr="00764722">
        <w:rPr>
          <w:rFonts w:ascii="Times New Roman" w:hAnsi="Times New Roman"/>
          <w:sz w:val="24"/>
          <w:szCs w:val="24"/>
        </w:rPr>
        <w:t>,</w:t>
      </w:r>
      <w:r w:rsidR="00DE27DB" w:rsidRPr="00764722">
        <w:rPr>
          <w:rFonts w:ascii="Times New Roman" w:hAnsi="Times New Roman"/>
          <w:sz w:val="24"/>
          <w:szCs w:val="24"/>
        </w:rPr>
        <w:t xml:space="preserve"> се </w:t>
      </w:r>
      <w:r w:rsidR="00CC176F" w:rsidRPr="00764722">
        <w:rPr>
          <w:rFonts w:ascii="Times New Roman" w:hAnsi="Times New Roman"/>
          <w:sz w:val="24"/>
          <w:szCs w:val="24"/>
        </w:rPr>
        <w:t>основа</w:t>
      </w:r>
      <w:r w:rsidR="00DE27DB" w:rsidRPr="00764722">
        <w:rPr>
          <w:rFonts w:ascii="Times New Roman" w:hAnsi="Times New Roman"/>
          <w:sz w:val="24"/>
          <w:szCs w:val="24"/>
        </w:rPr>
        <w:t>ва</w:t>
      </w:r>
      <w:r w:rsidR="00CC176F" w:rsidRPr="00764722">
        <w:rPr>
          <w:rFonts w:ascii="Times New Roman" w:hAnsi="Times New Roman"/>
          <w:sz w:val="24"/>
          <w:szCs w:val="24"/>
        </w:rPr>
        <w:t xml:space="preserve"> на данни от НСИ</w:t>
      </w:r>
      <w:r w:rsidR="00DE27DB" w:rsidRPr="00764722">
        <w:rPr>
          <w:rFonts w:ascii="Times New Roman" w:hAnsi="Times New Roman"/>
          <w:sz w:val="24"/>
          <w:szCs w:val="24"/>
        </w:rPr>
        <w:t xml:space="preserve">. Това </w:t>
      </w:r>
      <w:r w:rsidR="00CC176F" w:rsidRPr="00764722">
        <w:rPr>
          <w:rFonts w:ascii="Times New Roman" w:hAnsi="Times New Roman"/>
          <w:sz w:val="24"/>
          <w:szCs w:val="24"/>
        </w:rPr>
        <w:t>позволява очакваното ниво на грешки да се оцени като ниско.</w:t>
      </w:r>
    </w:p>
    <w:p w14:paraId="1F05103B" w14:textId="77777777" w:rsidR="00E60237" w:rsidRPr="00764722" w:rsidRDefault="00E60237" w:rsidP="004F5873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lastRenderedPageBreak/>
        <w:t xml:space="preserve">Предложеният метод е описан в Указанията на ЕК за </w:t>
      </w:r>
      <w:proofErr w:type="spellStart"/>
      <w:r w:rsidRPr="00764722">
        <w:rPr>
          <w:rFonts w:ascii="Times New Roman" w:hAnsi="Times New Roman"/>
          <w:sz w:val="24"/>
          <w:szCs w:val="24"/>
        </w:rPr>
        <w:t>извадкови</w:t>
      </w:r>
      <w:proofErr w:type="spellEnd"/>
      <w:r w:rsidRPr="00764722">
        <w:rPr>
          <w:rFonts w:ascii="Times New Roman" w:hAnsi="Times New Roman"/>
          <w:sz w:val="24"/>
          <w:szCs w:val="24"/>
        </w:rPr>
        <w:t xml:space="preserve"> методи за Одитните органи (</w:t>
      </w:r>
      <w:r w:rsidRPr="006929DD">
        <w:rPr>
          <w:rFonts w:ascii="Times New Roman" w:hAnsi="Times New Roman"/>
          <w:sz w:val="24"/>
          <w:szCs w:val="24"/>
          <w:lang w:val="en-GB"/>
        </w:rPr>
        <w:t>Guidance on sampling methods for audit authorities - Programming periods 2007-2013 and 2014-2020, EGESIF_16-0014-01 20/01//2017</w:t>
      </w:r>
      <w:r w:rsidRPr="00764722">
        <w:rPr>
          <w:rFonts w:ascii="Times New Roman" w:hAnsi="Times New Roman"/>
          <w:sz w:val="24"/>
          <w:szCs w:val="24"/>
        </w:rPr>
        <w:t>).</w:t>
      </w:r>
    </w:p>
    <w:p w14:paraId="204C75D0" w14:textId="77777777" w:rsidR="00E66742" w:rsidRPr="00764722" w:rsidRDefault="00E66742" w:rsidP="00E66742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i/>
          <w:sz w:val="24"/>
          <w:szCs w:val="24"/>
        </w:rPr>
        <w:t>Стратификация:</w:t>
      </w:r>
      <w:r w:rsidRPr="00764722">
        <w:rPr>
          <w:rFonts w:ascii="Times New Roman" w:hAnsi="Times New Roman"/>
          <w:sz w:val="24"/>
          <w:szCs w:val="24"/>
        </w:rPr>
        <w:t xml:space="preserve"> </w:t>
      </w:r>
    </w:p>
    <w:p w14:paraId="30505FE4" w14:textId="77777777" w:rsidR="00E66742" w:rsidRPr="00764722" w:rsidRDefault="00E66742" w:rsidP="00E66742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Идентифицираните рискове предполагат възможна стратификация единствено по размер на разходите. Тъй като в извадката по парична единица размерът на разходите вече е взет предвид при подбора на статистическите единици то за дадената съвкупност стратифицирането не </w:t>
      </w:r>
      <w:r w:rsidR="00724BAC" w:rsidRPr="00764722">
        <w:rPr>
          <w:rFonts w:ascii="Times New Roman" w:hAnsi="Times New Roman"/>
          <w:sz w:val="24"/>
          <w:szCs w:val="24"/>
        </w:rPr>
        <w:t>носи добавена стойност</w:t>
      </w:r>
      <w:r w:rsidRPr="00764722">
        <w:rPr>
          <w:rFonts w:ascii="Times New Roman" w:hAnsi="Times New Roman"/>
          <w:sz w:val="24"/>
          <w:szCs w:val="24"/>
        </w:rPr>
        <w:t>.</w:t>
      </w:r>
    </w:p>
    <w:p w14:paraId="167B7191" w14:textId="77777777" w:rsidR="00E916B5" w:rsidRPr="00764722" w:rsidRDefault="00CF7FE7" w:rsidP="00AD7E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i/>
          <w:sz w:val="24"/>
          <w:szCs w:val="24"/>
        </w:rPr>
        <w:t>Определяне на извадката за верификация</w:t>
      </w:r>
      <w:r w:rsidR="009E37C5" w:rsidRPr="00764722">
        <w:rPr>
          <w:rFonts w:ascii="Times New Roman" w:hAnsi="Times New Roman"/>
          <w:i/>
          <w:sz w:val="24"/>
          <w:szCs w:val="24"/>
        </w:rPr>
        <w:t xml:space="preserve"> </w:t>
      </w:r>
    </w:p>
    <w:p w14:paraId="18C082F2" w14:textId="77777777" w:rsidR="00CF7FE7" w:rsidRPr="00764722" w:rsidRDefault="00CF7FE7" w:rsidP="00AD7E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Статистическият подход предполага използването на достатъчно голям размер на извадката. В теория на статистиката за достатъчно голям обем на извадката се счита, ако тя включва над 30 единици</w:t>
      </w:r>
      <w:r w:rsidR="009E37C5" w:rsidRPr="00764722">
        <w:rPr>
          <w:rFonts w:ascii="Times New Roman" w:hAnsi="Times New Roman"/>
          <w:sz w:val="24"/>
          <w:szCs w:val="24"/>
        </w:rPr>
        <w:t>.</w:t>
      </w:r>
    </w:p>
    <w:p w14:paraId="2C6C4B64" w14:textId="77777777" w:rsidR="00257083" w:rsidRPr="00764722" w:rsidRDefault="00257083" w:rsidP="00AD7E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722">
        <w:rPr>
          <w:rFonts w:ascii="Times New Roman" w:hAnsi="Times New Roman"/>
          <w:b/>
          <w:sz w:val="24"/>
          <w:szCs w:val="24"/>
        </w:rPr>
        <w:t>Стъпка 1</w:t>
      </w:r>
    </w:p>
    <w:p w14:paraId="51950E20" w14:textId="77777777" w:rsidR="00257083" w:rsidRPr="00764722" w:rsidRDefault="002205D1" w:rsidP="00AD7E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Тъй като за този тип операции няма данни за отминали периоди се избира предварителна извадка в размер от </w:t>
      </w:r>
      <w:r w:rsidR="009E37C5" w:rsidRPr="00764722">
        <w:rPr>
          <w:rFonts w:ascii="Times New Roman" w:hAnsi="Times New Roman"/>
          <w:sz w:val="24"/>
          <w:szCs w:val="24"/>
        </w:rPr>
        <w:t xml:space="preserve">минимум </w:t>
      </w:r>
      <w:r w:rsidRPr="00764722">
        <w:rPr>
          <w:rFonts w:ascii="Times New Roman" w:hAnsi="Times New Roman"/>
          <w:sz w:val="24"/>
          <w:szCs w:val="24"/>
        </w:rPr>
        <w:t>30 единици</w:t>
      </w:r>
      <w:r w:rsidR="00257083" w:rsidRPr="00764722">
        <w:rPr>
          <w:rFonts w:ascii="Times New Roman" w:hAnsi="Times New Roman"/>
          <w:sz w:val="24"/>
          <w:szCs w:val="24"/>
        </w:rPr>
        <w:t xml:space="preserve">. </w:t>
      </w:r>
    </w:p>
    <w:p w14:paraId="5E4BB073" w14:textId="77777777" w:rsidR="00E60237" w:rsidRPr="00764722" w:rsidRDefault="002205D1" w:rsidP="00E7745B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Единиците в популацията се подреждат на случаен принцип, чрез генератор на случайни числа (например функцията на MS Excel ROUND(RAND();5). </w:t>
      </w:r>
    </w:p>
    <w:p w14:paraId="18BD08EA" w14:textId="77777777" w:rsidR="00E7745B" w:rsidRPr="00764722" w:rsidRDefault="00E60237" w:rsidP="00E7745B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П</w:t>
      </w:r>
      <w:r w:rsidR="00E7745B" w:rsidRPr="00764722">
        <w:rPr>
          <w:rFonts w:ascii="Times New Roman" w:hAnsi="Times New Roman"/>
          <w:sz w:val="24"/>
          <w:szCs w:val="24"/>
        </w:rPr>
        <w:t xml:space="preserve">рилагането на стандартен подход </w:t>
      </w:r>
      <w:r w:rsidR="00BD5407" w:rsidRPr="00764722">
        <w:rPr>
          <w:rFonts w:ascii="Times New Roman" w:hAnsi="Times New Roman"/>
          <w:sz w:val="24"/>
          <w:szCs w:val="24"/>
        </w:rPr>
        <w:t xml:space="preserve">на </w:t>
      </w:r>
      <w:r w:rsidR="00E7745B" w:rsidRPr="00764722">
        <w:rPr>
          <w:rFonts w:ascii="Times New Roman" w:hAnsi="Times New Roman"/>
          <w:sz w:val="24"/>
          <w:szCs w:val="24"/>
        </w:rPr>
        <w:t>извадка по парична единица</w:t>
      </w:r>
      <w:r w:rsidR="00BD5407" w:rsidRPr="00764722">
        <w:rPr>
          <w:rFonts w:ascii="Times New Roman" w:hAnsi="Times New Roman"/>
          <w:sz w:val="24"/>
          <w:szCs w:val="24"/>
        </w:rPr>
        <w:t xml:space="preserve"> изисква да се </w:t>
      </w:r>
      <w:r w:rsidR="00E7745B" w:rsidRPr="00764722">
        <w:rPr>
          <w:rFonts w:ascii="Times New Roman" w:hAnsi="Times New Roman"/>
          <w:sz w:val="24"/>
          <w:szCs w:val="24"/>
        </w:rPr>
        <w:t xml:space="preserve"> </w:t>
      </w:r>
      <w:r w:rsidR="00E7745B" w:rsidRPr="00764722">
        <w:rPr>
          <w:rFonts w:ascii="Times New Roman" w:hAnsi="Times New Roman"/>
          <w:b/>
          <w:bCs/>
          <w:sz w:val="24"/>
          <w:szCs w:val="24"/>
        </w:rPr>
        <w:t>идентифицират единици</w:t>
      </w:r>
      <w:r w:rsidR="00C91BA8" w:rsidRPr="00764722">
        <w:rPr>
          <w:rFonts w:ascii="Times New Roman" w:hAnsi="Times New Roman"/>
          <w:b/>
          <w:bCs/>
          <w:sz w:val="24"/>
          <w:szCs w:val="24"/>
        </w:rPr>
        <w:t>те</w:t>
      </w:r>
      <w:r w:rsidR="00E7745B" w:rsidRPr="00764722">
        <w:rPr>
          <w:rFonts w:ascii="Times New Roman" w:hAnsi="Times New Roman"/>
          <w:b/>
          <w:bCs/>
          <w:sz w:val="24"/>
          <w:szCs w:val="24"/>
        </w:rPr>
        <w:t xml:space="preserve"> от популацията с висока стойност</w:t>
      </w:r>
      <w:r w:rsidR="00E7745B" w:rsidRPr="00764722">
        <w:rPr>
          <w:rFonts w:ascii="Times New Roman" w:hAnsi="Times New Roman"/>
          <w:sz w:val="24"/>
          <w:szCs w:val="24"/>
        </w:rPr>
        <w:t xml:space="preserve"> (ако има такива), които се обособяват в </w:t>
      </w:r>
      <w:r w:rsidR="00764B55" w:rsidRPr="00764722">
        <w:rPr>
          <w:rFonts w:ascii="Times New Roman" w:hAnsi="Times New Roman"/>
          <w:sz w:val="24"/>
          <w:szCs w:val="24"/>
        </w:rPr>
        <w:t>„</w:t>
      </w:r>
      <w:r w:rsidR="00E7745B" w:rsidRPr="00764722">
        <w:rPr>
          <w:rFonts w:ascii="Times New Roman" w:hAnsi="Times New Roman"/>
          <w:sz w:val="24"/>
          <w:szCs w:val="24"/>
        </w:rPr>
        <w:t xml:space="preserve">горна </w:t>
      </w:r>
      <w:proofErr w:type="spellStart"/>
      <w:r w:rsidR="00E7745B" w:rsidRPr="00764722">
        <w:rPr>
          <w:rFonts w:ascii="Times New Roman" w:hAnsi="Times New Roman"/>
          <w:sz w:val="24"/>
          <w:szCs w:val="24"/>
        </w:rPr>
        <w:t>страта</w:t>
      </w:r>
      <w:proofErr w:type="spellEnd"/>
      <w:r w:rsidR="00764B55" w:rsidRPr="00764722">
        <w:rPr>
          <w:rFonts w:ascii="Times New Roman" w:hAnsi="Times New Roman"/>
          <w:sz w:val="24"/>
          <w:szCs w:val="24"/>
        </w:rPr>
        <w:t>“</w:t>
      </w:r>
      <w:r w:rsidR="00E7745B" w:rsidRPr="00764722">
        <w:rPr>
          <w:rFonts w:ascii="Times New Roman" w:hAnsi="Times New Roman"/>
          <w:sz w:val="24"/>
          <w:szCs w:val="24"/>
        </w:rPr>
        <w:t xml:space="preserve"> и подлежат на 100 % </w:t>
      </w:r>
      <w:r w:rsidR="00257083" w:rsidRPr="00764722">
        <w:rPr>
          <w:rFonts w:ascii="Times New Roman" w:hAnsi="Times New Roman"/>
          <w:sz w:val="24"/>
          <w:szCs w:val="24"/>
        </w:rPr>
        <w:t>проверка</w:t>
      </w:r>
      <w:r w:rsidR="00E7745B" w:rsidRPr="00764722">
        <w:rPr>
          <w:rFonts w:ascii="Times New Roman" w:hAnsi="Times New Roman"/>
          <w:sz w:val="24"/>
          <w:szCs w:val="24"/>
        </w:rPr>
        <w:t xml:space="preserve">. Това са единиците, които </w:t>
      </w:r>
      <w:r w:rsidR="00BD5407" w:rsidRPr="00764722">
        <w:rPr>
          <w:rFonts w:ascii="Times New Roman" w:hAnsi="Times New Roman"/>
          <w:sz w:val="24"/>
          <w:szCs w:val="24"/>
        </w:rPr>
        <w:t>надвишават „гранична</w:t>
      </w:r>
      <w:r w:rsidR="00171234" w:rsidRPr="00764722">
        <w:rPr>
          <w:rFonts w:ascii="Times New Roman" w:hAnsi="Times New Roman"/>
          <w:sz w:val="24"/>
          <w:szCs w:val="24"/>
        </w:rPr>
        <w:t>та</w:t>
      </w:r>
      <w:r w:rsidR="00BD5407" w:rsidRPr="00764722">
        <w:rPr>
          <w:rFonts w:ascii="Times New Roman" w:hAnsi="Times New Roman"/>
          <w:sz w:val="24"/>
          <w:szCs w:val="24"/>
        </w:rPr>
        <w:t xml:space="preserve"> стойност“ (</w:t>
      </w:r>
      <w:proofErr w:type="spellStart"/>
      <w:r w:rsidR="00BD5407" w:rsidRPr="00764722">
        <w:rPr>
          <w:rFonts w:ascii="Times New Roman" w:hAnsi="Times New Roman"/>
          <w:sz w:val="24"/>
          <w:szCs w:val="24"/>
        </w:rPr>
        <w:t>cut-off</w:t>
      </w:r>
      <w:proofErr w:type="spellEnd"/>
      <w:r w:rsidR="00BD5407" w:rsidRPr="007647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407" w:rsidRPr="00764722">
        <w:rPr>
          <w:rFonts w:ascii="Times New Roman" w:hAnsi="Times New Roman"/>
          <w:sz w:val="24"/>
          <w:szCs w:val="24"/>
        </w:rPr>
        <w:t>value</w:t>
      </w:r>
      <w:proofErr w:type="spellEnd"/>
      <w:r w:rsidR="00BD5407" w:rsidRPr="00764722">
        <w:rPr>
          <w:rFonts w:ascii="Times New Roman" w:hAnsi="Times New Roman"/>
          <w:sz w:val="24"/>
          <w:szCs w:val="24"/>
        </w:rPr>
        <w:t xml:space="preserve">), </w:t>
      </w:r>
      <w:r w:rsidR="00E7745B" w:rsidRPr="00764722">
        <w:rPr>
          <w:rFonts w:ascii="Times New Roman" w:hAnsi="Times New Roman"/>
          <w:sz w:val="24"/>
          <w:szCs w:val="24"/>
        </w:rPr>
        <w:t>получен</w:t>
      </w:r>
      <w:r w:rsidR="00C91BA8" w:rsidRPr="00764722">
        <w:rPr>
          <w:rFonts w:ascii="Times New Roman" w:hAnsi="Times New Roman"/>
          <w:sz w:val="24"/>
          <w:szCs w:val="24"/>
        </w:rPr>
        <w:t>а</w:t>
      </w:r>
      <w:r w:rsidR="00E7745B" w:rsidRPr="00764722">
        <w:rPr>
          <w:rFonts w:ascii="Times New Roman" w:hAnsi="Times New Roman"/>
          <w:sz w:val="24"/>
          <w:szCs w:val="24"/>
        </w:rPr>
        <w:t xml:space="preserve"> при разделяне на общата стойност на популацията (BV) </w:t>
      </w:r>
      <w:r w:rsidR="00BD5407" w:rsidRPr="00764722">
        <w:rPr>
          <w:rFonts w:ascii="Times New Roman" w:hAnsi="Times New Roman"/>
          <w:sz w:val="24"/>
          <w:szCs w:val="24"/>
        </w:rPr>
        <w:t>и размера на извадката (n).</w:t>
      </w:r>
      <w:r w:rsidR="00E7745B" w:rsidRPr="00764722">
        <w:rPr>
          <w:rFonts w:ascii="Times New Roman" w:hAnsi="Times New Roman"/>
          <w:sz w:val="24"/>
          <w:szCs w:val="24"/>
        </w:rPr>
        <w:t xml:space="preserve"> </w:t>
      </w:r>
    </w:p>
    <w:p w14:paraId="270BCA62" w14:textId="77777777" w:rsidR="00DB4628" w:rsidRPr="00764722" w:rsidRDefault="001E4E09" w:rsidP="001E4E0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Към остатъка от популацията се прилага коефициент за вероятност, пропорционален на размера – интервал на извадката (SI), чрез който се избира остатък</w:t>
      </w:r>
      <w:r w:rsidR="00171234" w:rsidRPr="00764722">
        <w:rPr>
          <w:rFonts w:ascii="Times New Roman" w:hAnsi="Times New Roman"/>
          <w:sz w:val="24"/>
          <w:szCs w:val="24"/>
        </w:rPr>
        <w:t>ът</w:t>
      </w:r>
      <w:r w:rsidRPr="00764722">
        <w:rPr>
          <w:rFonts w:ascii="Times New Roman" w:hAnsi="Times New Roman"/>
          <w:sz w:val="24"/>
          <w:szCs w:val="24"/>
        </w:rPr>
        <w:t xml:space="preserve"> от единиците от популацията </w:t>
      </w:r>
      <w:r w:rsidR="00764B55" w:rsidRPr="00764722">
        <w:rPr>
          <w:rFonts w:ascii="Times New Roman" w:hAnsi="Times New Roman"/>
          <w:sz w:val="24"/>
          <w:szCs w:val="24"/>
        </w:rPr>
        <w:t xml:space="preserve">(долна </w:t>
      </w:r>
      <w:proofErr w:type="spellStart"/>
      <w:r w:rsidR="00764B55" w:rsidRPr="00764722">
        <w:rPr>
          <w:rFonts w:ascii="Times New Roman" w:hAnsi="Times New Roman"/>
          <w:sz w:val="24"/>
          <w:szCs w:val="24"/>
        </w:rPr>
        <w:t>страта</w:t>
      </w:r>
      <w:proofErr w:type="spellEnd"/>
      <w:r w:rsidR="00764B55" w:rsidRPr="00764722">
        <w:rPr>
          <w:rFonts w:ascii="Times New Roman" w:hAnsi="Times New Roman"/>
          <w:sz w:val="24"/>
          <w:szCs w:val="24"/>
        </w:rPr>
        <w:t xml:space="preserve">) </w:t>
      </w:r>
      <w:r w:rsidRPr="00764722">
        <w:rPr>
          <w:rFonts w:ascii="Times New Roman" w:hAnsi="Times New Roman"/>
          <w:sz w:val="24"/>
          <w:szCs w:val="24"/>
        </w:rPr>
        <w:t xml:space="preserve">до определения размер на извадката. </w:t>
      </w:r>
      <w:r w:rsidR="00333F34" w:rsidRPr="00764722">
        <w:rPr>
          <w:rFonts w:ascii="Times New Roman" w:hAnsi="Times New Roman"/>
          <w:sz w:val="24"/>
          <w:szCs w:val="24"/>
        </w:rPr>
        <w:t xml:space="preserve">Интервалът на извадката (SI) се изчислява чрез разделяне на стойността на единиците от популацията в долна </w:t>
      </w:r>
      <w:proofErr w:type="spellStart"/>
      <w:r w:rsidR="00333F34" w:rsidRPr="00764722">
        <w:rPr>
          <w:rFonts w:ascii="Times New Roman" w:hAnsi="Times New Roman"/>
          <w:sz w:val="24"/>
          <w:szCs w:val="24"/>
        </w:rPr>
        <w:t>страта</w:t>
      </w:r>
      <w:proofErr w:type="spellEnd"/>
      <w:r w:rsidR="00333F34" w:rsidRPr="00764722">
        <w:rPr>
          <w:rFonts w:ascii="Times New Roman" w:hAnsi="Times New Roman"/>
          <w:sz w:val="24"/>
          <w:szCs w:val="24"/>
        </w:rPr>
        <w:t xml:space="preserve"> и техния брой. </w:t>
      </w:r>
    </w:p>
    <w:p w14:paraId="0A5FCF1F" w14:textId="77777777" w:rsidR="001E4E09" w:rsidRPr="00764722" w:rsidRDefault="001E4E09" w:rsidP="001E4E0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В случай, че в остатъка от популацията има единици, чиято стойност надвишава големината на интервала, същите следва да бъдат идентифицирани и отнесени към горната </w:t>
      </w:r>
      <w:proofErr w:type="spellStart"/>
      <w:r w:rsidRPr="00764722">
        <w:rPr>
          <w:rFonts w:ascii="Times New Roman" w:hAnsi="Times New Roman"/>
          <w:sz w:val="24"/>
          <w:szCs w:val="24"/>
        </w:rPr>
        <w:t>страта</w:t>
      </w:r>
      <w:proofErr w:type="spellEnd"/>
      <w:r w:rsidRPr="00764722">
        <w:rPr>
          <w:rFonts w:ascii="Times New Roman" w:hAnsi="Times New Roman"/>
          <w:sz w:val="24"/>
          <w:szCs w:val="24"/>
        </w:rPr>
        <w:t xml:space="preserve">. </w:t>
      </w:r>
    </w:p>
    <w:p w14:paraId="1899909C" w14:textId="77777777" w:rsidR="001E4E09" w:rsidRPr="00764722" w:rsidRDefault="002205D1" w:rsidP="001E4E0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Първата единица се избира чрез генерирано случайно число. След това се избират </w:t>
      </w:r>
      <w:r w:rsidR="00777AE8" w:rsidRPr="00764722">
        <w:rPr>
          <w:rFonts w:ascii="Times New Roman" w:hAnsi="Times New Roman"/>
          <w:sz w:val="24"/>
          <w:szCs w:val="24"/>
        </w:rPr>
        <w:t xml:space="preserve">останалите единици чрез прилагане на </w:t>
      </w:r>
      <w:r w:rsidR="008A6640" w:rsidRPr="00764722">
        <w:rPr>
          <w:rFonts w:ascii="Times New Roman" w:hAnsi="Times New Roman"/>
          <w:sz w:val="24"/>
          <w:szCs w:val="24"/>
        </w:rPr>
        <w:t xml:space="preserve">окончателно </w:t>
      </w:r>
      <w:r w:rsidR="00777AE8" w:rsidRPr="00764722">
        <w:rPr>
          <w:rFonts w:ascii="Times New Roman" w:hAnsi="Times New Roman"/>
          <w:sz w:val="24"/>
          <w:szCs w:val="24"/>
        </w:rPr>
        <w:t>изчислен</w:t>
      </w:r>
      <w:r w:rsidR="008A6640" w:rsidRPr="00764722">
        <w:rPr>
          <w:rFonts w:ascii="Times New Roman" w:hAnsi="Times New Roman"/>
          <w:sz w:val="24"/>
          <w:szCs w:val="24"/>
        </w:rPr>
        <w:t>ия интервал</w:t>
      </w:r>
      <w:r w:rsidR="00777AE8" w:rsidRPr="00764722">
        <w:rPr>
          <w:rFonts w:ascii="Times New Roman" w:hAnsi="Times New Roman"/>
          <w:sz w:val="24"/>
          <w:szCs w:val="24"/>
        </w:rPr>
        <w:t xml:space="preserve"> на извадката. </w:t>
      </w:r>
    </w:p>
    <w:p w14:paraId="564D7AED" w14:textId="77777777" w:rsidR="00C91BA8" w:rsidRPr="00764722" w:rsidRDefault="00C91BA8" w:rsidP="00C91BA8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Верификацията на попадналите в извадката разходни единици се извършва по отношение на допустимостта на крайните получатели и допустимостта на </w:t>
      </w:r>
      <w:proofErr w:type="spellStart"/>
      <w:r w:rsidRPr="00764722">
        <w:rPr>
          <w:rFonts w:ascii="Times New Roman" w:hAnsi="Times New Roman"/>
          <w:sz w:val="24"/>
          <w:szCs w:val="24"/>
        </w:rPr>
        <w:t>относимите</w:t>
      </w:r>
      <w:proofErr w:type="spellEnd"/>
      <w:r w:rsidRPr="00764722">
        <w:rPr>
          <w:rFonts w:ascii="Times New Roman" w:hAnsi="Times New Roman"/>
          <w:sz w:val="24"/>
          <w:szCs w:val="24"/>
        </w:rPr>
        <w:t xml:space="preserve"> за тях разходи. </w:t>
      </w:r>
    </w:p>
    <w:p w14:paraId="7571B029" w14:textId="77777777" w:rsidR="002205D1" w:rsidRPr="00764722" w:rsidRDefault="0092154E" w:rsidP="00AD7E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В случай, че при проверките се установят грешки с финансово влияние, същите се </w:t>
      </w:r>
      <w:r w:rsidR="009D609C" w:rsidRPr="00764722">
        <w:rPr>
          <w:rFonts w:ascii="Times New Roman" w:hAnsi="Times New Roman"/>
          <w:sz w:val="24"/>
          <w:szCs w:val="24"/>
        </w:rPr>
        <w:t>екстраполират</w:t>
      </w:r>
      <w:r w:rsidRPr="00764722">
        <w:rPr>
          <w:rFonts w:ascii="Times New Roman" w:hAnsi="Times New Roman"/>
          <w:sz w:val="24"/>
          <w:szCs w:val="24"/>
        </w:rPr>
        <w:t>, съгласно използвания метод</w:t>
      </w:r>
      <w:r w:rsidR="009D609C" w:rsidRPr="00764722">
        <w:rPr>
          <w:rFonts w:ascii="Times New Roman" w:hAnsi="Times New Roman"/>
          <w:sz w:val="24"/>
          <w:szCs w:val="24"/>
        </w:rPr>
        <w:t xml:space="preserve"> и анализират. </w:t>
      </w:r>
      <w:r w:rsidR="002205D1" w:rsidRPr="00764722">
        <w:rPr>
          <w:rFonts w:ascii="Times New Roman" w:hAnsi="Times New Roman"/>
          <w:sz w:val="24"/>
          <w:szCs w:val="24"/>
        </w:rPr>
        <w:t xml:space="preserve">Ако получените стойности за </w:t>
      </w:r>
      <w:r w:rsidR="00171234" w:rsidRPr="00764722">
        <w:rPr>
          <w:rFonts w:ascii="Times New Roman" w:hAnsi="Times New Roman"/>
          <w:sz w:val="24"/>
          <w:szCs w:val="24"/>
        </w:rPr>
        <w:t>проектираната грешка</w:t>
      </w:r>
      <w:r w:rsidR="00775BA1" w:rsidRPr="0076472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205D1" w:rsidRPr="00764722">
        <w:rPr>
          <w:rFonts w:ascii="Times New Roman" w:hAnsi="Times New Roman"/>
          <w:sz w:val="24"/>
          <w:szCs w:val="24"/>
        </w:rPr>
        <w:t xml:space="preserve">и за </w:t>
      </w:r>
      <w:r w:rsidR="00955BFD" w:rsidRPr="00764722">
        <w:rPr>
          <w:rFonts w:ascii="Times New Roman" w:hAnsi="Times New Roman"/>
          <w:sz w:val="24"/>
          <w:szCs w:val="24"/>
        </w:rPr>
        <w:t xml:space="preserve">горната граница на </w:t>
      </w:r>
      <w:r w:rsidR="002205D1" w:rsidRPr="00764722">
        <w:rPr>
          <w:rFonts w:ascii="Times New Roman" w:hAnsi="Times New Roman"/>
          <w:sz w:val="24"/>
          <w:szCs w:val="24"/>
        </w:rPr>
        <w:t>грешката са под нивото на максималната допустима грешка от 2%</w:t>
      </w:r>
      <w:r w:rsidR="00E44983" w:rsidRPr="00764722">
        <w:rPr>
          <w:rFonts w:ascii="Times New Roman" w:hAnsi="Times New Roman"/>
          <w:sz w:val="24"/>
          <w:szCs w:val="24"/>
        </w:rPr>
        <w:t xml:space="preserve"> от стойността на искането за плащане</w:t>
      </w:r>
      <w:r w:rsidR="002205D1" w:rsidRPr="00764722">
        <w:rPr>
          <w:rFonts w:ascii="Times New Roman" w:hAnsi="Times New Roman"/>
          <w:sz w:val="24"/>
          <w:szCs w:val="24"/>
        </w:rPr>
        <w:t xml:space="preserve">, се приема, че резултатите </w:t>
      </w:r>
      <w:r w:rsidR="002205D1" w:rsidRPr="00764722">
        <w:rPr>
          <w:rFonts w:ascii="Times New Roman" w:hAnsi="Times New Roman"/>
          <w:sz w:val="24"/>
          <w:szCs w:val="24"/>
        </w:rPr>
        <w:lastRenderedPageBreak/>
        <w:t xml:space="preserve">са </w:t>
      </w:r>
      <w:r w:rsidR="00C417E1" w:rsidRPr="00764722">
        <w:rPr>
          <w:rFonts w:ascii="Times New Roman" w:hAnsi="Times New Roman"/>
          <w:sz w:val="24"/>
          <w:szCs w:val="24"/>
        </w:rPr>
        <w:t>достатъчни за формиране на валидно становище</w:t>
      </w:r>
      <w:r w:rsidR="002205D1" w:rsidRPr="00764722">
        <w:rPr>
          <w:rFonts w:ascii="Times New Roman" w:hAnsi="Times New Roman"/>
          <w:sz w:val="24"/>
          <w:szCs w:val="24"/>
        </w:rPr>
        <w:t xml:space="preserve"> и не е </w:t>
      </w:r>
      <w:r w:rsidRPr="00764722">
        <w:rPr>
          <w:rFonts w:ascii="Times New Roman" w:hAnsi="Times New Roman"/>
          <w:sz w:val="24"/>
          <w:szCs w:val="24"/>
        </w:rPr>
        <w:t>необходимо из</w:t>
      </w:r>
      <w:r w:rsidR="00027EA5" w:rsidRPr="00764722">
        <w:rPr>
          <w:rFonts w:ascii="Times New Roman" w:hAnsi="Times New Roman"/>
          <w:sz w:val="24"/>
          <w:szCs w:val="24"/>
        </w:rPr>
        <w:t>вършването на допълнителни проверки</w:t>
      </w:r>
      <w:r w:rsidR="002205D1" w:rsidRPr="00764722">
        <w:rPr>
          <w:rFonts w:ascii="Times New Roman" w:hAnsi="Times New Roman"/>
          <w:sz w:val="24"/>
          <w:szCs w:val="24"/>
        </w:rPr>
        <w:t>.</w:t>
      </w:r>
      <w:r w:rsidR="00027EA5" w:rsidRPr="00764722">
        <w:rPr>
          <w:rFonts w:ascii="Times New Roman" w:hAnsi="Times New Roman"/>
          <w:sz w:val="24"/>
          <w:szCs w:val="24"/>
        </w:rPr>
        <w:t xml:space="preserve"> Установените по време на верификацията грешки следва да бъдат коригирани от поисканите за възстановяване разходи от бенефициента.</w:t>
      </w:r>
    </w:p>
    <w:p w14:paraId="257FFB79" w14:textId="77777777" w:rsidR="00027EA5" w:rsidRPr="00764722" w:rsidRDefault="002205D1" w:rsidP="00AD7E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В случай</w:t>
      </w:r>
      <w:r w:rsidR="00027EA5" w:rsidRPr="00764722">
        <w:rPr>
          <w:rFonts w:ascii="Times New Roman" w:hAnsi="Times New Roman"/>
          <w:sz w:val="24"/>
          <w:szCs w:val="24"/>
        </w:rPr>
        <w:t xml:space="preserve">, че </w:t>
      </w:r>
      <w:r w:rsidR="00171234" w:rsidRPr="00764722">
        <w:rPr>
          <w:rFonts w:ascii="Times New Roman" w:hAnsi="Times New Roman"/>
          <w:sz w:val="24"/>
          <w:szCs w:val="24"/>
        </w:rPr>
        <w:t>проектираната грешка</w:t>
      </w:r>
      <w:r w:rsidR="00027EA5" w:rsidRPr="00764722">
        <w:rPr>
          <w:rFonts w:ascii="Times New Roman" w:hAnsi="Times New Roman"/>
          <w:sz w:val="24"/>
          <w:szCs w:val="24"/>
        </w:rPr>
        <w:t xml:space="preserve"> или горната граница на грешката са над предварително определения праг на същественост от 2%</w:t>
      </w:r>
      <w:r w:rsidRPr="00764722">
        <w:rPr>
          <w:rFonts w:ascii="Times New Roman" w:hAnsi="Times New Roman"/>
          <w:sz w:val="24"/>
          <w:szCs w:val="24"/>
        </w:rPr>
        <w:t xml:space="preserve"> </w:t>
      </w:r>
      <w:r w:rsidR="00E44983" w:rsidRPr="00764722">
        <w:rPr>
          <w:rFonts w:ascii="Times New Roman" w:hAnsi="Times New Roman"/>
          <w:sz w:val="24"/>
          <w:szCs w:val="24"/>
        </w:rPr>
        <w:t xml:space="preserve">от стойността на искането за плащане, </w:t>
      </w:r>
      <w:r w:rsidRPr="00764722">
        <w:rPr>
          <w:rFonts w:ascii="Times New Roman" w:hAnsi="Times New Roman"/>
          <w:sz w:val="24"/>
          <w:szCs w:val="24"/>
        </w:rPr>
        <w:t>се пристъпва към определяне на окончателен размер на извадката по парична единица</w:t>
      </w:r>
      <w:r w:rsidR="00171234" w:rsidRPr="00764722">
        <w:rPr>
          <w:rFonts w:ascii="Times New Roman" w:hAnsi="Times New Roman"/>
          <w:sz w:val="24"/>
          <w:szCs w:val="24"/>
        </w:rPr>
        <w:t>.</w:t>
      </w:r>
    </w:p>
    <w:p w14:paraId="39DF1E0F" w14:textId="77777777" w:rsidR="00027EA5" w:rsidRPr="00764722" w:rsidRDefault="00027EA5" w:rsidP="00AD7E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722">
        <w:rPr>
          <w:rFonts w:ascii="Times New Roman" w:hAnsi="Times New Roman"/>
          <w:b/>
          <w:sz w:val="24"/>
          <w:szCs w:val="24"/>
        </w:rPr>
        <w:t>Стъпка 2</w:t>
      </w:r>
    </w:p>
    <w:p w14:paraId="3F90FBC4" w14:textId="77777777" w:rsidR="00CC176F" w:rsidRPr="00764722" w:rsidRDefault="00027EA5" w:rsidP="00AD7EC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Окончателният размер на извадката следва да бъде определен като се използват резултатите от п</w:t>
      </w:r>
      <w:r w:rsidR="004B6C85" w:rsidRPr="00764722">
        <w:rPr>
          <w:rFonts w:ascii="Times New Roman" w:hAnsi="Times New Roman"/>
          <w:sz w:val="24"/>
          <w:szCs w:val="24"/>
        </w:rPr>
        <w:t xml:space="preserve">редварителната </w:t>
      </w:r>
      <w:r w:rsidRPr="00764722">
        <w:rPr>
          <w:rFonts w:ascii="Times New Roman" w:hAnsi="Times New Roman"/>
          <w:sz w:val="24"/>
          <w:szCs w:val="24"/>
        </w:rPr>
        <w:t xml:space="preserve">извадка и </w:t>
      </w:r>
      <w:r w:rsidR="000F0F7B" w:rsidRPr="00764722">
        <w:rPr>
          <w:rFonts w:ascii="Times New Roman" w:hAnsi="Times New Roman"/>
          <w:sz w:val="24"/>
          <w:szCs w:val="24"/>
        </w:rPr>
        <w:t>се изчислява по</w:t>
      </w:r>
      <w:r w:rsidRPr="00764722">
        <w:rPr>
          <w:rFonts w:ascii="Times New Roman" w:hAnsi="Times New Roman"/>
          <w:sz w:val="24"/>
          <w:szCs w:val="24"/>
        </w:rPr>
        <w:t xml:space="preserve"> следната </w:t>
      </w:r>
      <w:r w:rsidR="002205D1" w:rsidRPr="00764722">
        <w:rPr>
          <w:rFonts w:ascii="Times New Roman" w:hAnsi="Times New Roman"/>
          <w:sz w:val="24"/>
          <w:szCs w:val="24"/>
        </w:rPr>
        <w:t>формула</w:t>
      </w:r>
      <w:r w:rsidRPr="00764722">
        <w:rPr>
          <w:rFonts w:ascii="Times New Roman" w:hAnsi="Times New Roman"/>
          <w:sz w:val="24"/>
          <w:szCs w:val="24"/>
        </w:rPr>
        <w:t>:</w:t>
      </w:r>
      <w:r w:rsidR="009E37C5" w:rsidRPr="00764722">
        <w:rPr>
          <w:rFonts w:ascii="Times New Roman" w:hAnsi="Times New Roman"/>
          <w:sz w:val="24"/>
          <w:szCs w:val="24"/>
        </w:rPr>
        <w:t xml:space="preserve">  </w:t>
      </w:r>
    </w:p>
    <w:p w14:paraId="381771A2" w14:textId="5EB858F3" w:rsidR="00AD7EC9" w:rsidRPr="00764722" w:rsidRDefault="004C3414" w:rsidP="00E916B5">
      <w:pPr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B38AE2" wp14:editId="3FCE0C3D">
                <wp:simplePos x="0" y="0"/>
                <wp:positionH relativeFrom="column">
                  <wp:posOffset>1104900</wp:posOffset>
                </wp:positionH>
                <wp:positionV relativeFrom="paragraph">
                  <wp:posOffset>67945</wp:posOffset>
                </wp:positionV>
                <wp:extent cx="45720" cy="651510"/>
                <wp:effectExtent l="5080" t="6350" r="6350" b="8890"/>
                <wp:wrapNone/>
                <wp:docPr id="4" name="Right Bracke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651510"/>
                        </a:xfrm>
                        <a:prstGeom prst="rightBracket">
                          <a:avLst>
                            <a:gd name="adj" fmla="val 8313"/>
                          </a:avLst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5DBAF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Right Bracket 6" o:spid="_x0000_s1026" type="#_x0000_t86" style="position:absolute;margin-left:87pt;margin-top:5.35pt;width:3.6pt;height:5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" adj="126" strokecolor="#5b9bd5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E3F643" wp14:editId="1CB0DA7C">
                <wp:simplePos x="0" y="0"/>
                <wp:positionH relativeFrom="column">
                  <wp:posOffset>260350</wp:posOffset>
                </wp:positionH>
                <wp:positionV relativeFrom="paragraph">
                  <wp:posOffset>67945</wp:posOffset>
                </wp:positionV>
                <wp:extent cx="45720" cy="652145"/>
                <wp:effectExtent l="8255" t="6350" r="12700" b="8255"/>
                <wp:wrapNone/>
                <wp:docPr id="3" name="Left Bracke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652145"/>
                        </a:xfrm>
                        <a:prstGeom prst="leftBracket">
                          <a:avLst>
                            <a:gd name="adj" fmla="val 8321"/>
                          </a:avLst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3EE3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Left Bracket 5" o:spid="_x0000_s1026" type="#_x0000_t85" style="position:absolute;margin-left:20.5pt;margin-top:5.35pt;width:3.6pt;height:5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" adj="126" strokecolor="#5b9bd5" strokeweight=".5pt">
                <v:stroke joinstyle="miter"/>
              </v:shape>
            </w:pict>
          </mc:Fallback>
        </mc:AlternateContent>
      </w:r>
      <w:r w:rsidR="00AD7EC9" w:rsidRPr="00764722">
        <w:rPr>
          <w:rFonts w:ascii="Times New Roman" w:hAnsi="Times New Roman"/>
          <w:sz w:val="24"/>
          <w:szCs w:val="24"/>
        </w:rPr>
        <w:t xml:space="preserve">       </w:t>
      </w:r>
      <w:r w:rsidR="005E0319" w:rsidRPr="00764722">
        <w:rPr>
          <w:rFonts w:ascii="Times New Roman" w:hAnsi="Times New Roman"/>
          <w:sz w:val="24"/>
          <w:szCs w:val="24"/>
        </w:rPr>
        <w:t xml:space="preserve">  </w:t>
      </w:r>
      <w:r w:rsidR="00AD7EC9" w:rsidRPr="00764722">
        <w:rPr>
          <w:rFonts w:ascii="Times New Roman" w:hAnsi="Times New Roman"/>
          <w:sz w:val="24"/>
          <w:szCs w:val="24"/>
        </w:rPr>
        <w:t xml:space="preserve"> </w:t>
      </w:r>
      <w:r w:rsidR="00AD7EC9" w:rsidRPr="00764722">
        <w:rPr>
          <w:rFonts w:ascii="Cambria Math" w:hAnsi="Cambria Math" w:cs="Cambria Math"/>
          <w:sz w:val="24"/>
          <w:szCs w:val="24"/>
        </w:rPr>
        <w:t>𝑧</w:t>
      </w:r>
      <w:r w:rsidR="00AD7EC9" w:rsidRPr="00764722">
        <w:rPr>
          <w:rFonts w:ascii="Times New Roman" w:hAnsi="Times New Roman"/>
          <w:sz w:val="24"/>
          <w:szCs w:val="24"/>
        </w:rPr>
        <w:t xml:space="preserve"> × </w:t>
      </w:r>
      <w:r w:rsidR="002205D1" w:rsidRPr="00764722">
        <w:rPr>
          <w:rFonts w:ascii="Times New Roman" w:hAnsi="Times New Roman"/>
          <w:sz w:val="24"/>
          <w:szCs w:val="24"/>
          <w:lang w:val="en-US"/>
        </w:rPr>
        <w:t>BV</w:t>
      </w:r>
      <w:r w:rsidR="002205D1" w:rsidRPr="00764722">
        <w:rPr>
          <w:rFonts w:ascii="Times New Roman" w:hAnsi="Times New Roman"/>
          <w:sz w:val="24"/>
          <w:szCs w:val="24"/>
        </w:rPr>
        <w:t xml:space="preserve"> х </w:t>
      </w:r>
      <w:r w:rsidR="00AD7EC9" w:rsidRPr="00764722">
        <w:rPr>
          <w:rFonts w:ascii="Cambria Math" w:hAnsi="Cambria Math" w:cs="Cambria Math"/>
          <w:sz w:val="24"/>
          <w:szCs w:val="24"/>
        </w:rPr>
        <w:t>𝜎</w:t>
      </w:r>
      <w:r w:rsidR="005E0319" w:rsidRPr="00764722">
        <w:rPr>
          <w:rFonts w:ascii="Times New Roman" w:hAnsi="Times New Roman"/>
          <w:sz w:val="24"/>
          <w:szCs w:val="24"/>
          <w:vertAlign w:val="subscript"/>
        </w:rPr>
        <w:t xml:space="preserve">     </w:t>
      </w:r>
      <w:r w:rsidR="005E0319" w:rsidRPr="00764722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766F2F1C" w14:textId="77777777" w:rsidR="00AD7EC9" w:rsidRPr="00764722" w:rsidRDefault="00AD7EC9" w:rsidP="00AD7EC9">
      <w:pPr>
        <w:spacing w:after="0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  <w:lang w:val="en-US"/>
        </w:rPr>
        <w:t>n</w:t>
      </w:r>
      <w:r w:rsidRPr="00764722">
        <w:rPr>
          <w:rFonts w:ascii="Times New Roman" w:hAnsi="Times New Roman"/>
          <w:sz w:val="24"/>
          <w:szCs w:val="24"/>
        </w:rPr>
        <w:t xml:space="preserve"> =</w:t>
      </w:r>
      <w:r w:rsidR="005E0319" w:rsidRPr="00764722">
        <w:rPr>
          <w:rFonts w:ascii="Times New Roman" w:hAnsi="Times New Roman"/>
          <w:sz w:val="24"/>
          <w:szCs w:val="24"/>
        </w:rPr>
        <w:t xml:space="preserve">   </w:t>
      </w:r>
      <w:r w:rsidRPr="00764722">
        <w:rPr>
          <w:rFonts w:ascii="Times New Roman" w:hAnsi="Times New Roman"/>
          <w:sz w:val="24"/>
          <w:szCs w:val="24"/>
        </w:rPr>
        <w:t xml:space="preserve"> --------------</w:t>
      </w:r>
      <w:r w:rsidR="005E0319" w:rsidRPr="00764722">
        <w:rPr>
          <w:rFonts w:ascii="Times New Roman" w:hAnsi="Times New Roman"/>
          <w:sz w:val="24"/>
          <w:szCs w:val="24"/>
        </w:rPr>
        <w:t xml:space="preserve">  </w:t>
      </w:r>
    </w:p>
    <w:p w14:paraId="226F4E84" w14:textId="77777777" w:rsidR="00764722" w:rsidRDefault="00AD7EC9" w:rsidP="00D37C7E">
      <w:pPr>
        <w:spacing w:after="120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   </w:t>
      </w:r>
      <w:r w:rsidR="005E0319" w:rsidRPr="00764722">
        <w:rPr>
          <w:rFonts w:ascii="Times New Roman" w:hAnsi="Times New Roman"/>
          <w:sz w:val="24"/>
          <w:szCs w:val="24"/>
        </w:rPr>
        <w:t xml:space="preserve"> </w:t>
      </w:r>
      <w:r w:rsidRPr="00764722">
        <w:rPr>
          <w:rFonts w:ascii="Times New Roman" w:hAnsi="Times New Roman"/>
          <w:sz w:val="24"/>
          <w:szCs w:val="24"/>
        </w:rPr>
        <w:t xml:space="preserve">     </w:t>
      </w:r>
      <w:r w:rsidR="005E0319" w:rsidRPr="00764722">
        <w:rPr>
          <w:rFonts w:ascii="Times New Roman" w:hAnsi="Times New Roman"/>
          <w:sz w:val="24"/>
          <w:szCs w:val="24"/>
        </w:rPr>
        <w:t xml:space="preserve"> </w:t>
      </w:r>
      <w:r w:rsidRPr="00764722">
        <w:rPr>
          <w:rFonts w:ascii="Cambria Math" w:hAnsi="Cambria Math" w:cs="Cambria Math"/>
          <w:sz w:val="24"/>
          <w:szCs w:val="24"/>
        </w:rPr>
        <w:t>𝑇𝐸</w:t>
      </w:r>
      <w:r w:rsidRPr="00764722">
        <w:rPr>
          <w:rFonts w:ascii="Times New Roman" w:hAnsi="Times New Roman"/>
          <w:sz w:val="24"/>
          <w:szCs w:val="24"/>
        </w:rPr>
        <w:t xml:space="preserve"> </w:t>
      </w:r>
      <w:r w:rsidR="005E0319" w:rsidRPr="00764722">
        <w:rPr>
          <w:rFonts w:ascii="Times New Roman" w:hAnsi="Times New Roman"/>
          <w:sz w:val="24"/>
          <w:szCs w:val="24"/>
        </w:rPr>
        <w:t>–</w:t>
      </w:r>
      <w:r w:rsidRPr="00764722">
        <w:rPr>
          <w:rFonts w:ascii="Times New Roman" w:hAnsi="Times New Roman"/>
          <w:sz w:val="24"/>
          <w:szCs w:val="24"/>
        </w:rPr>
        <w:t xml:space="preserve"> </w:t>
      </w:r>
      <w:r w:rsidRPr="00764722">
        <w:rPr>
          <w:rFonts w:ascii="Cambria Math" w:hAnsi="Cambria Math" w:cs="Cambria Math"/>
          <w:sz w:val="24"/>
          <w:szCs w:val="24"/>
        </w:rPr>
        <w:t>𝐴𝐸</w:t>
      </w:r>
      <w:r w:rsidR="005E0319" w:rsidRPr="00764722">
        <w:rPr>
          <w:rFonts w:ascii="Times New Roman" w:hAnsi="Times New Roman"/>
          <w:sz w:val="24"/>
          <w:szCs w:val="24"/>
        </w:rPr>
        <w:t xml:space="preserve"> </w:t>
      </w:r>
      <w:r w:rsidR="002205D1" w:rsidRPr="00764722">
        <w:rPr>
          <w:rFonts w:ascii="Times New Roman" w:hAnsi="Times New Roman"/>
          <w:sz w:val="24"/>
          <w:szCs w:val="24"/>
        </w:rPr>
        <w:t xml:space="preserve">  </w:t>
      </w:r>
      <w:r w:rsidR="005E0319" w:rsidRPr="00764722">
        <w:rPr>
          <w:rFonts w:ascii="Times New Roman" w:hAnsi="Times New Roman"/>
          <w:sz w:val="24"/>
          <w:szCs w:val="24"/>
        </w:rPr>
        <w:t xml:space="preserve">    </w:t>
      </w:r>
      <w:r w:rsidR="00952C2C" w:rsidRPr="00764722">
        <w:rPr>
          <w:rFonts w:ascii="Times New Roman" w:hAnsi="Times New Roman"/>
          <w:sz w:val="24"/>
          <w:szCs w:val="24"/>
        </w:rPr>
        <w:t>,</w:t>
      </w:r>
    </w:p>
    <w:p w14:paraId="2323F5D9" w14:textId="77777777" w:rsidR="00AD7EC9" w:rsidRPr="00764722" w:rsidRDefault="00AD7EC9" w:rsidP="00D37C7E">
      <w:pPr>
        <w:spacing w:after="120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където</w:t>
      </w:r>
      <w:r w:rsidR="00952C2C" w:rsidRPr="00764722">
        <w:rPr>
          <w:rFonts w:ascii="Times New Roman" w:hAnsi="Times New Roman"/>
          <w:sz w:val="24"/>
          <w:szCs w:val="24"/>
        </w:rPr>
        <w:t>:</w:t>
      </w:r>
    </w:p>
    <w:p w14:paraId="359B3BC8" w14:textId="77777777" w:rsidR="00AD7EC9" w:rsidRPr="00764722" w:rsidRDefault="008379D0" w:rsidP="00AD7EC9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i/>
          <w:sz w:val="24"/>
          <w:szCs w:val="24"/>
          <w:lang w:val="en-US"/>
        </w:rPr>
        <w:t>BV</w:t>
      </w:r>
      <w:r w:rsidR="00AD7EC9" w:rsidRPr="00764722">
        <w:rPr>
          <w:rFonts w:ascii="Times New Roman" w:hAnsi="Times New Roman"/>
          <w:sz w:val="24"/>
          <w:szCs w:val="24"/>
        </w:rPr>
        <w:t xml:space="preserve"> е </w:t>
      </w:r>
      <w:r w:rsidRPr="00764722">
        <w:rPr>
          <w:rFonts w:ascii="Times New Roman" w:hAnsi="Times New Roman"/>
          <w:sz w:val="24"/>
          <w:szCs w:val="24"/>
        </w:rPr>
        <w:t>общата отчетена стойност на разходите в дадено искане</w:t>
      </w:r>
      <w:r w:rsidR="00AD7EC9" w:rsidRPr="00764722">
        <w:rPr>
          <w:rFonts w:ascii="Times New Roman" w:hAnsi="Times New Roman"/>
          <w:sz w:val="24"/>
          <w:szCs w:val="24"/>
        </w:rPr>
        <w:t>;</w:t>
      </w:r>
    </w:p>
    <w:p w14:paraId="1F51391B" w14:textId="77777777" w:rsidR="00AD7EC9" w:rsidRPr="00764722" w:rsidRDefault="00AD7EC9" w:rsidP="00AD7EC9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нивото на сигурност и свързания коефициент z от нормалното разпределение;</w:t>
      </w:r>
    </w:p>
    <w:p w14:paraId="0A08854C" w14:textId="77777777" w:rsidR="00AD7EC9" w:rsidRPr="00764722" w:rsidRDefault="00E44983" w:rsidP="00D37C7E">
      <w:pPr>
        <w:tabs>
          <w:tab w:val="left" w:pos="426"/>
        </w:tabs>
        <w:spacing w:before="120" w:after="0" w:line="240" w:lineRule="auto"/>
        <w:ind w:left="1066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З</w:t>
      </w:r>
      <w:r w:rsidR="00647716" w:rsidRPr="00764722">
        <w:rPr>
          <w:rFonts w:ascii="Times New Roman" w:hAnsi="Times New Roman"/>
          <w:sz w:val="24"/>
          <w:szCs w:val="24"/>
        </w:rPr>
        <w:t xml:space="preserve">а </w:t>
      </w:r>
      <w:r w:rsidR="00647716" w:rsidRPr="00764722">
        <w:rPr>
          <w:rFonts w:ascii="Times New Roman" w:hAnsi="Times New Roman"/>
          <w:i/>
          <w:sz w:val="24"/>
          <w:szCs w:val="24"/>
        </w:rPr>
        <w:t>z</w:t>
      </w:r>
      <w:r w:rsidR="00647716" w:rsidRPr="00764722">
        <w:rPr>
          <w:rFonts w:ascii="Times New Roman" w:hAnsi="Times New Roman"/>
          <w:sz w:val="24"/>
          <w:szCs w:val="24"/>
        </w:rPr>
        <w:t xml:space="preserve"> </w:t>
      </w:r>
      <w:r w:rsidR="00AD7EC9" w:rsidRPr="00764722">
        <w:rPr>
          <w:rFonts w:ascii="Times New Roman" w:hAnsi="Times New Roman"/>
          <w:sz w:val="24"/>
          <w:szCs w:val="24"/>
        </w:rPr>
        <w:t xml:space="preserve">се приема </w:t>
      </w:r>
      <w:r w:rsidR="00B101E9" w:rsidRPr="00764722">
        <w:rPr>
          <w:rFonts w:ascii="Times New Roman" w:hAnsi="Times New Roman"/>
          <w:sz w:val="24"/>
          <w:szCs w:val="24"/>
        </w:rPr>
        <w:t>стойност 1</w:t>
      </w:r>
      <w:r w:rsidR="00171234" w:rsidRPr="00764722">
        <w:rPr>
          <w:rFonts w:ascii="Times New Roman" w:hAnsi="Times New Roman"/>
          <w:sz w:val="24"/>
          <w:szCs w:val="24"/>
        </w:rPr>
        <w:t>,</w:t>
      </w:r>
      <w:r w:rsidR="00647716" w:rsidRPr="00764722">
        <w:rPr>
          <w:rFonts w:ascii="Times New Roman" w:hAnsi="Times New Roman"/>
          <w:sz w:val="24"/>
          <w:szCs w:val="24"/>
        </w:rPr>
        <w:t>6</w:t>
      </w:r>
      <w:r w:rsidR="00B101E9" w:rsidRPr="00764722">
        <w:rPr>
          <w:rFonts w:ascii="Times New Roman" w:hAnsi="Times New Roman"/>
          <w:sz w:val="24"/>
          <w:szCs w:val="24"/>
        </w:rPr>
        <w:t>45</w:t>
      </w:r>
      <w:r w:rsidR="00647716" w:rsidRPr="00764722">
        <w:rPr>
          <w:rFonts w:ascii="Times New Roman" w:hAnsi="Times New Roman"/>
          <w:sz w:val="24"/>
          <w:szCs w:val="24"/>
        </w:rPr>
        <w:t>, съответстваща на ниво на сигурност 9</w:t>
      </w:r>
      <w:r w:rsidR="00B101E9" w:rsidRPr="00764722">
        <w:rPr>
          <w:rFonts w:ascii="Times New Roman" w:hAnsi="Times New Roman"/>
          <w:sz w:val="24"/>
          <w:szCs w:val="24"/>
        </w:rPr>
        <w:t>0</w:t>
      </w:r>
      <w:r w:rsidR="00647716" w:rsidRPr="00764722">
        <w:rPr>
          <w:rFonts w:ascii="Times New Roman" w:hAnsi="Times New Roman"/>
          <w:sz w:val="24"/>
          <w:szCs w:val="24"/>
        </w:rPr>
        <w:t>% и ниско ниво на увереност за системата</w:t>
      </w:r>
      <w:r w:rsidR="00027EA5" w:rsidRPr="00764722">
        <w:rPr>
          <w:rFonts w:ascii="Times New Roman" w:hAnsi="Times New Roman"/>
          <w:sz w:val="24"/>
          <w:szCs w:val="24"/>
        </w:rPr>
        <w:t xml:space="preserve"> на бенефициента, определена на база оценка на риска;</w:t>
      </w:r>
    </w:p>
    <w:p w14:paraId="03EE68D7" w14:textId="77777777" w:rsidR="00647716" w:rsidRPr="00764722" w:rsidRDefault="00647716" w:rsidP="00D37C7E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Cambria Math" w:hAnsi="Cambria Math" w:cs="Cambria Math"/>
          <w:sz w:val="24"/>
          <w:szCs w:val="24"/>
        </w:rPr>
        <w:t>𝑇𝐸</w:t>
      </w:r>
      <w:r w:rsidR="00AD7EC9" w:rsidRPr="00764722">
        <w:rPr>
          <w:rFonts w:ascii="Times New Roman" w:hAnsi="Times New Roman"/>
          <w:sz w:val="24"/>
          <w:szCs w:val="24"/>
        </w:rPr>
        <w:t xml:space="preserve"> </w:t>
      </w:r>
      <w:r w:rsidRPr="00764722">
        <w:rPr>
          <w:rFonts w:ascii="Times New Roman" w:hAnsi="Times New Roman"/>
          <w:sz w:val="24"/>
          <w:szCs w:val="24"/>
        </w:rPr>
        <w:t>е</w:t>
      </w:r>
      <w:r w:rsidR="00AD7EC9" w:rsidRPr="00764722">
        <w:rPr>
          <w:rFonts w:ascii="Times New Roman" w:hAnsi="Times New Roman"/>
          <w:sz w:val="24"/>
          <w:szCs w:val="24"/>
        </w:rPr>
        <w:t xml:space="preserve"> максимална</w:t>
      </w:r>
      <w:r w:rsidRPr="00764722">
        <w:rPr>
          <w:rFonts w:ascii="Times New Roman" w:hAnsi="Times New Roman"/>
          <w:sz w:val="24"/>
          <w:szCs w:val="24"/>
        </w:rPr>
        <w:t>та</w:t>
      </w:r>
      <w:r w:rsidR="00AD7EC9" w:rsidRPr="00764722">
        <w:rPr>
          <w:rFonts w:ascii="Times New Roman" w:hAnsi="Times New Roman"/>
          <w:sz w:val="24"/>
          <w:szCs w:val="24"/>
        </w:rPr>
        <w:t xml:space="preserve"> допустима грешка</w:t>
      </w:r>
      <w:r w:rsidR="00027EA5" w:rsidRPr="00764722">
        <w:rPr>
          <w:rFonts w:ascii="Times New Roman" w:hAnsi="Times New Roman"/>
          <w:sz w:val="24"/>
          <w:szCs w:val="24"/>
        </w:rPr>
        <w:t xml:space="preserve"> - </w:t>
      </w:r>
      <w:r w:rsidR="00AD7EC9" w:rsidRPr="00764722">
        <w:rPr>
          <w:rFonts w:ascii="Times New Roman" w:hAnsi="Times New Roman"/>
          <w:sz w:val="24"/>
          <w:szCs w:val="24"/>
        </w:rPr>
        <w:t xml:space="preserve">2% от </w:t>
      </w:r>
      <w:r w:rsidR="00027EA5" w:rsidRPr="00764722">
        <w:rPr>
          <w:rFonts w:ascii="Times New Roman" w:hAnsi="Times New Roman"/>
          <w:sz w:val="24"/>
          <w:szCs w:val="24"/>
        </w:rPr>
        <w:t xml:space="preserve">стойността на </w:t>
      </w:r>
      <w:r w:rsidR="00AD7EC9" w:rsidRPr="00764722">
        <w:rPr>
          <w:rFonts w:ascii="Times New Roman" w:hAnsi="Times New Roman"/>
          <w:sz w:val="24"/>
          <w:szCs w:val="24"/>
        </w:rPr>
        <w:t>разходи</w:t>
      </w:r>
      <w:r w:rsidR="00F4004F" w:rsidRPr="00764722">
        <w:rPr>
          <w:rFonts w:ascii="Times New Roman" w:hAnsi="Times New Roman"/>
          <w:sz w:val="24"/>
          <w:szCs w:val="24"/>
        </w:rPr>
        <w:t>те</w:t>
      </w:r>
      <w:r w:rsidR="00027EA5" w:rsidRPr="00764722">
        <w:rPr>
          <w:rFonts w:ascii="Times New Roman" w:hAnsi="Times New Roman"/>
          <w:sz w:val="24"/>
          <w:szCs w:val="24"/>
        </w:rPr>
        <w:t xml:space="preserve"> в ИП;</w:t>
      </w:r>
    </w:p>
    <w:p w14:paraId="6C38A45E" w14:textId="77777777" w:rsidR="00647716" w:rsidRPr="00764722" w:rsidRDefault="00647716" w:rsidP="00647716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Cambria Math" w:hAnsi="Cambria Math" w:cs="Cambria Math"/>
          <w:sz w:val="24"/>
          <w:szCs w:val="24"/>
        </w:rPr>
        <w:t>𝐴𝐸</w:t>
      </w:r>
      <w:r w:rsidRPr="00764722">
        <w:rPr>
          <w:rFonts w:ascii="Times New Roman" w:hAnsi="Times New Roman"/>
          <w:sz w:val="24"/>
          <w:szCs w:val="24"/>
        </w:rPr>
        <w:t xml:space="preserve"> е </w:t>
      </w:r>
      <w:r w:rsidR="00AD7EC9" w:rsidRPr="00764722">
        <w:rPr>
          <w:rFonts w:ascii="Times New Roman" w:hAnsi="Times New Roman"/>
          <w:sz w:val="24"/>
          <w:szCs w:val="24"/>
        </w:rPr>
        <w:t>очаквана</w:t>
      </w:r>
      <w:r w:rsidRPr="00764722">
        <w:rPr>
          <w:rFonts w:ascii="Times New Roman" w:hAnsi="Times New Roman"/>
          <w:sz w:val="24"/>
          <w:szCs w:val="24"/>
        </w:rPr>
        <w:t>та</w:t>
      </w:r>
      <w:r w:rsidR="00AD7EC9" w:rsidRPr="00764722">
        <w:rPr>
          <w:rFonts w:ascii="Times New Roman" w:hAnsi="Times New Roman"/>
          <w:sz w:val="24"/>
          <w:szCs w:val="24"/>
        </w:rPr>
        <w:t xml:space="preserve"> грешка</w:t>
      </w:r>
      <w:r w:rsidR="00027EA5" w:rsidRPr="00764722">
        <w:rPr>
          <w:rFonts w:ascii="Times New Roman" w:hAnsi="Times New Roman"/>
          <w:sz w:val="24"/>
          <w:szCs w:val="24"/>
        </w:rPr>
        <w:t xml:space="preserve">, </w:t>
      </w:r>
      <w:r w:rsidR="0078291F" w:rsidRPr="00764722">
        <w:rPr>
          <w:rFonts w:ascii="Times New Roman" w:hAnsi="Times New Roman"/>
          <w:sz w:val="24"/>
          <w:szCs w:val="24"/>
        </w:rPr>
        <w:t xml:space="preserve">представляваща стойността на </w:t>
      </w:r>
      <w:r w:rsidR="00775BA1" w:rsidRPr="00764722">
        <w:rPr>
          <w:rFonts w:ascii="Times New Roman" w:hAnsi="Times New Roman"/>
          <w:sz w:val="24"/>
          <w:szCs w:val="24"/>
        </w:rPr>
        <w:t>проектираната</w:t>
      </w:r>
      <w:r w:rsidR="0078291F" w:rsidRPr="00764722">
        <w:rPr>
          <w:rFonts w:ascii="Times New Roman" w:hAnsi="Times New Roman"/>
          <w:sz w:val="24"/>
          <w:szCs w:val="24"/>
        </w:rPr>
        <w:t xml:space="preserve"> грешка от п</w:t>
      </w:r>
      <w:r w:rsidR="004B6C85" w:rsidRPr="00764722">
        <w:rPr>
          <w:rFonts w:ascii="Times New Roman" w:hAnsi="Times New Roman"/>
          <w:sz w:val="24"/>
          <w:szCs w:val="24"/>
        </w:rPr>
        <w:t>редварителната</w:t>
      </w:r>
      <w:r w:rsidR="0078291F" w:rsidRPr="00764722">
        <w:rPr>
          <w:rFonts w:ascii="Times New Roman" w:hAnsi="Times New Roman"/>
          <w:sz w:val="24"/>
          <w:szCs w:val="24"/>
        </w:rPr>
        <w:t xml:space="preserve"> извадка</w:t>
      </w:r>
      <w:r w:rsidR="00AD7EC9" w:rsidRPr="00764722">
        <w:rPr>
          <w:rFonts w:ascii="Times New Roman" w:hAnsi="Times New Roman"/>
          <w:sz w:val="24"/>
          <w:szCs w:val="24"/>
        </w:rPr>
        <w:t xml:space="preserve">; </w:t>
      </w:r>
    </w:p>
    <w:p w14:paraId="5406A70E" w14:textId="77777777" w:rsidR="00AD7EC9" w:rsidRPr="00764722" w:rsidRDefault="005E0319" w:rsidP="00D37C7E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Cambria Math" w:hAnsi="Cambria Math" w:cs="Cambria Math"/>
          <w:sz w:val="24"/>
          <w:szCs w:val="24"/>
        </w:rPr>
        <w:t>𝜎</w:t>
      </w:r>
      <w:r w:rsidR="00647716" w:rsidRPr="00764722">
        <w:rPr>
          <w:rFonts w:ascii="Times New Roman" w:hAnsi="Times New Roman"/>
          <w:sz w:val="24"/>
          <w:szCs w:val="24"/>
        </w:rPr>
        <w:t xml:space="preserve"> е </w:t>
      </w:r>
      <w:r w:rsidR="00AD7EC9" w:rsidRPr="00764722">
        <w:rPr>
          <w:rFonts w:ascii="Times New Roman" w:hAnsi="Times New Roman"/>
          <w:sz w:val="24"/>
          <w:szCs w:val="24"/>
        </w:rPr>
        <w:t xml:space="preserve">стандартно отклонение </w:t>
      </w:r>
      <w:r w:rsidR="00AB2424" w:rsidRPr="00764722">
        <w:rPr>
          <w:rFonts w:ascii="Times New Roman" w:hAnsi="Times New Roman"/>
          <w:sz w:val="24"/>
          <w:szCs w:val="24"/>
        </w:rPr>
        <w:t>на грешките</w:t>
      </w:r>
      <w:r w:rsidR="0078291F" w:rsidRPr="00764722">
        <w:rPr>
          <w:rFonts w:ascii="Times New Roman" w:hAnsi="Times New Roman"/>
          <w:sz w:val="24"/>
          <w:szCs w:val="24"/>
        </w:rPr>
        <w:t xml:space="preserve">, определено </w:t>
      </w:r>
      <w:r w:rsidR="008379D0" w:rsidRPr="00764722">
        <w:rPr>
          <w:rFonts w:ascii="Times New Roman" w:hAnsi="Times New Roman"/>
          <w:sz w:val="24"/>
          <w:szCs w:val="24"/>
        </w:rPr>
        <w:t>въз основа на резултатите от предварителната извадка</w:t>
      </w:r>
      <w:r w:rsidR="0078291F" w:rsidRPr="00764722">
        <w:rPr>
          <w:rFonts w:ascii="Times New Roman" w:hAnsi="Times New Roman"/>
          <w:sz w:val="24"/>
          <w:szCs w:val="24"/>
        </w:rPr>
        <w:t>.</w:t>
      </w:r>
    </w:p>
    <w:p w14:paraId="1E439623" w14:textId="77777777" w:rsidR="00DD202C" w:rsidRPr="00764722" w:rsidRDefault="00AC39B7" w:rsidP="00B101E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Окончателният размер на извадката се закръглява </w:t>
      </w:r>
      <w:r w:rsidR="0078291F" w:rsidRPr="00764722">
        <w:rPr>
          <w:rFonts w:ascii="Times New Roman" w:hAnsi="Times New Roman"/>
          <w:sz w:val="24"/>
          <w:szCs w:val="24"/>
        </w:rPr>
        <w:t xml:space="preserve">нагоре </w:t>
      </w:r>
      <w:r w:rsidRPr="00764722">
        <w:rPr>
          <w:rFonts w:ascii="Times New Roman" w:hAnsi="Times New Roman"/>
          <w:sz w:val="24"/>
          <w:szCs w:val="24"/>
        </w:rPr>
        <w:t>до най-близкото цяло число</w:t>
      </w:r>
      <w:r w:rsidR="00B101E9" w:rsidRPr="00764722">
        <w:rPr>
          <w:rFonts w:ascii="Times New Roman" w:hAnsi="Times New Roman"/>
          <w:sz w:val="24"/>
          <w:szCs w:val="24"/>
        </w:rPr>
        <w:t>.</w:t>
      </w:r>
    </w:p>
    <w:p w14:paraId="21E36C39" w14:textId="77777777" w:rsidR="009E37C5" w:rsidRPr="00764722" w:rsidRDefault="0078291F" w:rsidP="00B101E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От общ</w:t>
      </w:r>
      <w:r w:rsidR="00D054C7" w:rsidRPr="00764722">
        <w:rPr>
          <w:rFonts w:ascii="Times New Roman" w:hAnsi="Times New Roman"/>
          <w:sz w:val="24"/>
          <w:szCs w:val="24"/>
        </w:rPr>
        <w:t>ия</w:t>
      </w:r>
      <w:r w:rsidRPr="00764722">
        <w:rPr>
          <w:rFonts w:ascii="Times New Roman" w:hAnsi="Times New Roman"/>
          <w:sz w:val="24"/>
          <w:szCs w:val="24"/>
        </w:rPr>
        <w:t xml:space="preserve"> брой на единиците в окончателната извадка се изважда броя</w:t>
      </w:r>
      <w:r w:rsidR="00C90EB8" w:rsidRPr="00764722">
        <w:rPr>
          <w:rFonts w:ascii="Times New Roman" w:hAnsi="Times New Roman"/>
          <w:sz w:val="24"/>
          <w:szCs w:val="24"/>
        </w:rPr>
        <w:t>т</w:t>
      </w:r>
      <w:r w:rsidRPr="00764722">
        <w:rPr>
          <w:rFonts w:ascii="Times New Roman" w:hAnsi="Times New Roman"/>
          <w:sz w:val="24"/>
          <w:szCs w:val="24"/>
        </w:rPr>
        <w:t xml:space="preserve"> на проверените единици в п</w:t>
      </w:r>
      <w:r w:rsidR="004B6C85" w:rsidRPr="00764722">
        <w:rPr>
          <w:rFonts w:ascii="Times New Roman" w:hAnsi="Times New Roman"/>
          <w:sz w:val="24"/>
          <w:szCs w:val="24"/>
        </w:rPr>
        <w:t>редварителната</w:t>
      </w:r>
      <w:r w:rsidRPr="00764722">
        <w:rPr>
          <w:rFonts w:ascii="Times New Roman" w:hAnsi="Times New Roman"/>
          <w:sz w:val="24"/>
          <w:szCs w:val="24"/>
        </w:rPr>
        <w:t xml:space="preserve"> извадка. Разликата представлява броя на разходните позиции, които подлежат на допълнителна проверка.</w:t>
      </w:r>
    </w:p>
    <w:p w14:paraId="2CBB8054" w14:textId="77777777" w:rsidR="0078291F" w:rsidRPr="00764722" w:rsidRDefault="0078291F" w:rsidP="00B101E9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Изборът на разходните единици, които подлежат на проверка в окончателната извадка се извършва по начин</w:t>
      </w:r>
      <w:r w:rsidR="00FD0097" w:rsidRPr="00764722">
        <w:rPr>
          <w:rFonts w:ascii="Times New Roman" w:hAnsi="Times New Roman"/>
          <w:sz w:val="24"/>
          <w:szCs w:val="24"/>
        </w:rPr>
        <w:t>а</w:t>
      </w:r>
      <w:r w:rsidRPr="00764722">
        <w:rPr>
          <w:rFonts w:ascii="Times New Roman" w:hAnsi="Times New Roman"/>
          <w:sz w:val="24"/>
          <w:szCs w:val="24"/>
        </w:rPr>
        <w:t xml:space="preserve">, описан в </w:t>
      </w:r>
      <w:r w:rsidRPr="00764722">
        <w:rPr>
          <w:rFonts w:ascii="Times New Roman" w:hAnsi="Times New Roman"/>
          <w:b/>
          <w:sz w:val="24"/>
          <w:szCs w:val="24"/>
        </w:rPr>
        <w:t xml:space="preserve">Стъпка 1. </w:t>
      </w:r>
    </w:p>
    <w:p w14:paraId="3036E425" w14:textId="77777777" w:rsidR="00764B55" w:rsidRPr="00764722" w:rsidRDefault="00920CA9" w:rsidP="007021CA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Установените в резултат на извършените проверки грешки с финансово влияние се </w:t>
      </w:r>
      <w:r w:rsidR="002B3B7C" w:rsidRPr="00764722">
        <w:rPr>
          <w:rFonts w:ascii="Times New Roman" w:hAnsi="Times New Roman"/>
          <w:sz w:val="24"/>
          <w:szCs w:val="24"/>
        </w:rPr>
        <w:t>п</w:t>
      </w:r>
      <w:r w:rsidR="000B54FD" w:rsidRPr="00764722">
        <w:rPr>
          <w:rFonts w:ascii="Times New Roman" w:hAnsi="Times New Roman"/>
          <w:sz w:val="24"/>
          <w:szCs w:val="24"/>
        </w:rPr>
        <w:t>роектира</w:t>
      </w:r>
      <w:r w:rsidR="002B3B7C" w:rsidRPr="00764722">
        <w:rPr>
          <w:rFonts w:ascii="Times New Roman" w:hAnsi="Times New Roman"/>
          <w:sz w:val="24"/>
          <w:szCs w:val="24"/>
        </w:rPr>
        <w:t xml:space="preserve">т </w:t>
      </w:r>
      <w:r w:rsidR="005E0319" w:rsidRPr="00764722">
        <w:rPr>
          <w:rFonts w:ascii="Times New Roman" w:hAnsi="Times New Roman"/>
          <w:sz w:val="24"/>
          <w:szCs w:val="24"/>
        </w:rPr>
        <w:t>върху съвкупността</w:t>
      </w:r>
      <w:r w:rsidR="00777AE8" w:rsidRPr="00764722">
        <w:rPr>
          <w:rFonts w:ascii="Times New Roman" w:hAnsi="Times New Roman"/>
          <w:sz w:val="24"/>
          <w:szCs w:val="24"/>
        </w:rPr>
        <w:t>.</w:t>
      </w:r>
      <w:r w:rsidR="000E43FA" w:rsidRPr="00764722">
        <w:rPr>
          <w:rFonts w:ascii="Times New Roman" w:hAnsi="Times New Roman"/>
          <w:sz w:val="24"/>
          <w:szCs w:val="24"/>
        </w:rPr>
        <w:t xml:space="preserve"> </w:t>
      </w:r>
    </w:p>
    <w:p w14:paraId="44DB19D0" w14:textId="77777777" w:rsidR="00AE4E97" w:rsidRPr="00764722" w:rsidRDefault="00AE4E97" w:rsidP="00D37C7E">
      <w:pPr>
        <w:pStyle w:val="Default"/>
        <w:spacing w:before="120"/>
        <w:jc w:val="both"/>
        <w:rPr>
          <w:color w:val="auto"/>
        </w:rPr>
      </w:pPr>
      <w:r w:rsidRPr="00764722">
        <w:rPr>
          <w:color w:val="auto"/>
        </w:rPr>
        <w:t xml:space="preserve">1. </w:t>
      </w:r>
      <w:r w:rsidR="003E7AA3" w:rsidRPr="00764722">
        <w:rPr>
          <w:color w:val="auto"/>
        </w:rPr>
        <w:t>Г</w:t>
      </w:r>
      <w:r w:rsidRPr="00764722">
        <w:rPr>
          <w:color w:val="auto"/>
        </w:rPr>
        <w:t>решка</w:t>
      </w:r>
      <w:r w:rsidR="003E7AA3" w:rsidRPr="00764722">
        <w:rPr>
          <w:color w:val="auto"/>
        </w:rPr>
        <w:t>та</w:t>
      </w:r>
      <w:r w:rsidRPr="00764722">
        <w:rPr>
          <w:color w:val="auto"/>
        </w:rPr>
        <w:t xml:space="preserve"> за „горната </w:t>
      </w:r>
      <w:proofErr w:type="spellStart"/>
      <w:r w:rsidRPr="00764722">
        <w:rPr>
          <w:color w:val="auto"/>
        </w:rPr>
        <w:t>страта</w:t>
      </w:r>
      <w:proofErr w:type="spellEnd"/>
      <w:r w:rsidRPr="00764722">
        <w:rPr>
          <w:color w:val="auto"/>
        </w:rPr>
        <w:t xml:space="preserve">“ е равна на сбора </w:t>
      </w:r>
      <w:r w:rsidR="00130DBA" w:rsidRPr="00764722">
        <w:rPr>
          <w:color w:val="auto"/>
        </w:rPr>
        <w:t>от</w:t>
      </w:r>
      <w:r w:rsidRPr="00764722">
        <w:rPr>
          <w:color w:val="auto"/>
        </w:rPr>
        <w:t xml:space="preserve"> грешките, които са открити във всяка от единиците. </w:t>
      </w:r>
    </w:p>
    <w:p w14:paraId="247A0726" w14:textId="77777777" w:rsidR="00955BFD" w:rsidRPr="00764722" w:rsidRDefault="00AE4E97" w:rsidP="007021CA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2. </w:t>
      </w:r>
      <w:r w:rsidR="00814A2B" w:rsidRPr="00764722">
        <w:rPr>
          <w:rFonts w:ascii="Times New Roman" w:hAnsi="Times New Roman"/>
          <w:sz w:val="24"/>
          <w:szCs w:val="24"/>
        </w:rPr>
        <w:t>Пр</w:t>
      </w:r>
      <w:r w:rsidR="00FD0097" w:rsidRPr="00764722">
        <w:rPr>
          <w:rFonts w:ascii="Times New Roman" w:hAnsi="Times New Roman"/>
          <w:sz w:val="24"/>
          <w:szCs w:val="24"/>
        </w:rPr>
        <w:t xml:space="preserve">оектираната </w:t>
      </w:r>
      <w:r w:rsidR="00955BFD" w:rsidRPr="00764722">
        <w:rPr>
          <w:rFonts w:ascii="Times New Roman" w:hAnsi="Times New Roman"/>
          <w:sz w:val="24"/>
          <w:szCs w:val="24"/>
        </w:rPr>
        <w:t xml:space="preserve">грешка за </w:t>
      </w:r>
      <w:r w:rsidRPr="00764722">
        <w:rPr>
          <w:rFonts w:ascii="Times New Roman" w:hAnsi="Times New Roman"/>
          <w:sz w:val="24"/>
          <w:szCs w:val="24"/>
        </w:rPr>
        <w:t xml:space="preserve">„долната </w:t>
      </w:r>
      <w:proofErr w:type="spellStart"/>
      <w:r w:rsidRPr="00764722">
        <w:rPr>
          <w:rFonts w:ascii="Times New Roman" w:hAnsi="Times New Roman"/>
          <w:sz w:val="24"/>
          <w:szCs w:val="24"/>
        </w:rPr>
        <w:t>страта</w:t>
      </w:r>
      <w:proofErr w:type="spellEnd"/>
      <w:r w:rsidRPr="00764722">
        <w:rPr>
          <w:rFonts w:ascii="Times New Roman" w:hAnsi="Times New Roman"/>
          <w:sz w:val="24"/>
          <w:szCs w:val="24"/>
        </w:rPr>
        <w:t xml:space="preserve">“ </w:t>
      </w:r>
      <w:r w:rsidR="00955BFD" w:rsidRPr="00764722">
        <w:rPr>
          <w:rFonts w:ascii="Times New Roman" w:hAnsi="Times New Roman"/>
          <w:sz w:val="24"/>
          <w:szCs w:val="24"/>
        </w:rPr>
        <w:t>се определя като:</w:t>
      </w:r>
    </w:p>
    <w:p w14:paraId="7870F453" w14:textId="77777777" w:rsidR="00955BFD" w:rsidRPr="00764722" w:rsidRDefault="00955BFD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lastRenderedPageBreak/>
        <w:t>за всяка единица в извадката се изчислява процента на грешката като съотношение между грешката и съответния разход</w:t>
      </w:r>
      <w:r w:rsidR="002B3B7C" w:rsidRPr="00764722">
        <w:rPr>
          <w:rFonts w:ascii="Times New Roman" w:hAnsi="Times New Roman"/>
          <w:sz w:val="24"/>
          <w:szCs w:val="24"/>
        </w:rPr>
        <w:t>;</w:t>
      </w:r>
      <w:r w:rsidRPr="00764722">
        <w:rPr>
          <w:rFonts w:ascii="Times New Roman" w:hAnsi="Times New Roman"/>
          <w:sz w:val="24"/>
          <w:szCs w:val="24"/>
        </w:rPr>
        <w:t xml:space="preserve"> </w:t>
      </w:r>
    </w:p>
    <w:p w14:paraId="205A04D9" w14:textId="77777777" w:rsidR="00955BFD" w:rsidRPr="00764722" w:rsidRDefault="00955BFD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изчислените съотношения между грешката и съответната стойност за всяка единица от извадката се сумират</w:t>
      </w:r>
      <w:r w:rsidR="002B3B7C" w:rsidRPr="00764722">
        <w:rPr>
          <w:rFonts w:ascii="Times New Roman" w:hAnsi="Times New Roman"/>
          <w:sz w:val="24"/>
          <w:szCs w:val="24"/>
        </w:rPr>
        <w:t>;</w:t>
      </w:r>
      <w:r w:rsidRPr="00764722">
        <w:rPr>
          <w:rFonts w:ascii="Times New Roman" w:hAnsi="Times New Roman"/>
          <w:sz w:val="24"/>
          <w:szCs w:val="24"/>
        </w:rPr>
        <w:t xml:space="preserve"> </w:t>
      </w:r>
    </w:p>
    <w:p w14:paraId="3878B380" w14:textId="77777777" w:rsidR="00A60167" w:rsidRPr="00764722" w:rsidRDefault="00A60167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полученият резултат от сумирането се умножава по стойността на интервал</w:t>
      </w:r>
      <w:r w:rsidR="00DB4628" w:rsidRPr="00764722">
        <w:rPr>
          <w:rFonts w:ascii="Times New Roman" w:hAnsi="Times New Roman"/>
          <w:sz w:val="24"/>
          <w:szCs w:val="24"/>
        </w:rPr>
        <w:t>а</w:t>
      </w:r>
      <w:r w:rsidRPr="00764722">
        <w:rPr>
          <w:rFonts w:ascii="Times New Roman" w:hAnsi="Times New Roman"/>
          <w:sz w:val="24"/>
          <w:szCs w:val="24"/>
        </w:rPr>
        <w:t xml:space="preserve"> на извадката (SI)</w:t>
      </w:r>
      <w:r w:rsidR="00333F34" w:rsidRPr="00764722">
        <w:rPr>
          <w:rFonts w:ascii="Times New Roman" w:hAnsi="Times New Roman"/>
          <w:sz w:val="24"/>
          <w:szCs w:val="24"/>
        </w:rPr>
        <w:t>.</w:t>
      </w:r>
    </w:p>
    <w:p w14:paraId="098B17F6" w14:textId="77777777" w:rsidR="003E7AA3" w:rsidRPr="00764722" w:rsidRDefault="003E7AA3" w:rsidP="007021CA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Окончателната проектирана грешка е равна на сбора от грешките в „горната </w:t>
      </w:r>
      <w:proofErr w:type="spellStart"/>
      <w:r w:rsidRPr="00764722">
        <w:rPr>
          <w:rFonts w:ascii="Times New Roman" w:hAnsi="Times New Roman"/>
          <w:sz w:val="24"/>
          <w:szCs w:val="24"/>
        </w:rPr>
        <w:t>страта</w:t>
      </w:r>
      <w:proofErr w:type="spellEnd"/>
      <w:r w:rsidRPr="00764722">
        <w:rPr>
          <w:rFonts w:ascii="Times New Roman" w:hAnsi="Times New Roman"/>
          <w:sz w:val="24"/>
          <w:szCs w:val="24"/>
        </w:rPr>
        <w:t xml:space="preserve">“ и проектираната грешка в „долната </w:t>
      </w:r>
      <w:proofErr w:type="spellStart"/>
      <w:r w:rsidRPr="00764722">
        <w:rPr>
          <w:rFonts w:ascii="Times New Roman" w:hAnsi="Times New Roman"/>
          <w:sz w:val="24"/>
          <w:szCs w:val="24"/>
        </w:rPr>
        <w:t>страта</w:t>
      </w:r>
      <w:proofErr w:type="spellEnd"/>
      <w:r w:rsidRPr="00764722">
        <w:rPr>
          <w:rFonts w:ascii="Times New Roman" w:hAnsi="Times New Roman"/>
          <w:sz w:val="24"/>
          <w:szCs w:val="24"/>
        </w:rPr>
        <w:t>“.</w:t>
      </w:r>
    </w:p>
    <w:p w14:paraId="3822DF68" w14:textId="77777777" w:rsidR="00955BFD" w:rsidRPr="00764722" w:rsidRDefault="00955BFD" w:rsidP="007021CA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При анализиране на резултатите могат да се направят следните заключения:</w:t>
      </w:r>
    </w:p>
    <w:p w14:paraId="2CE1649C" w14:textId="77777777" w:rsidR="00955BFD" w:rsidRPr="00764722" w:rsidRDefault="00955BFD" w:rsidP="00955BFD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ако </w:t>
      </w:r>
      <w:r w:rsidR="00130DBA" w:rsidRPr="00764722">
        <w:rPr>
          <w:rFonts w:ascii="Times New Roman" w:hAnsi="Times New Roman"/>
          <w:sz w:val="24"/>
          <w:szCs w:val="24"/>
        </w:rPr>
        <w:t xml:space="preserve">проектираната </w:t>
      </w:r>
      <w:r w:rsidRPr="00764722">
        <w:rPr>
          <w:rFonts w:ascii="Times New Roman" w:hAnsi="Times New Roman"/>
          <w:sz w:val="24"/>
          <w:szCs w:val="24"/>
        </w:rPr>
        <w:t>грешка е по-голяма от максималната допустима грешка, то грешките в съвкупността са по-големи от прага на същественост</w:t>
      </w:r>
      <w:r w:rsidR="00F4004F" w:rsidRPr="00764722">
        <w:rPr>
          <w:rFonts w:ascii="Times New Roman" w:hAnsi="Times New Roman"/>
          <w:sz w:val="24"/>
          <w:szCs w:val="24"/>
        </w:rPr>
        <w:t>;</w:t>
      </w:r>
    </w:p>
    <w:p w14:paraId="5DDD879E" w14:textId="77777777" w:rsidR="005C6B43" w:rsidRPr="00764722" w:rsidRDefault="00955BFD" w:rsidP="00955BFD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>ако горната граница на грешката е по-малка от максималната допустима грешка, то грешките в съвкупността са по-малки от прага на същественост</w:t>
      </w:r>
      <w:r w:rsidR="00F4004F" w:rsidRPr="00764722">
        <w:rPr>
          <w:rFonts w:ascii="Times New Roman" w:hAnsi="Times New Roman"/>
          <w:sz w:val="24"/>
          <w:szCs w:val="24"/>
        </w:rPr>
        <w:t>;</w:t>
      </w:r>
    </w:p>
    <w:p w14:paraId="16A8952A" w14:textId="77777777" w:rsidR="00636839" w:rsidRPr="00764722" w:rsidRDefault="00955BFD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t xml:space="preserve">ако </w:t>
      </w:r>
      <w:r w:rsidR="00130DBA" w:rsidRPr="00764722">
        <w:rPr>
          <w:rFonts w:ascii="Times New Roman" w:hAnsi="Times New Roman"/>
          <w:sz w:val="24"/>
          <w:szCs w:val="24"/>
        </w:rPr>
        <w:t xml:space="preserve">проектираната </w:t>
      </w:r>
      <w:r w:rsidRPr="00764722">
        <w:rPr>
          <w:rFonts w:ascii="Times New Roman" w:hAnsi="Times New Roman"/>
          <w:sz w:val="24"/>
          <w:szCs w:val="24"/>
        </w:rPr>
        <w:t xml:space="preserve">грешка е по-малка от максималната допустима грешка, но горната граница на грешката е по-голяма, </w:t>
      </w:r>
      <w:r w:rsidR="005C6B43" w:rsidRPr="00764722">
        <w:rPr>
          <w:rFonts w:ascii="Times New Roman" w:hAnsi="Times New Roman"/>
          <w:sz w:val="24"/>
          <w:szCs w:val="24"/>
        </w:rPr>
        <w:t>то е необходима допълнителна работа.</w:t>
      </w:r>
    </w:p>
    <w:p w14:paraId="5C6F1AC9" w14:textId="77777777" w:rsidR="007305DD" w:rsidRPr="00764722" w:rsidRDefault="007305DD" w:rsidP="00ED03F9">
      <w:pPr>
        <w:tabs>
          <w:tab w:val="left" w:pos="426"/>
        </w:tabs>
        <w:spacing w:before="120" w:after="0" w:line="240" w:lineRule="auto"/>
        <w:ind w:left="1066"/>
        <w:jc w:val="right"/>
        <w:rPr>
          <w:rFonts w:ascii="Times New Roman" w:hAnsi="Times New Roman"/>
          <w:sz w:val="24"/>
          <w:szCs w:val="24"/>
        </w:rPr>
      </w:pPr>
      <w:r w:rsidRPr="00764722">
        <w:rPr>
          <w:rFonts w:ascii="Times New Roman" w:hAnsi="Times New Roman"/>
          <w:sz w:val="24"/>
          <w:szCs w:val="24"/>
        </w:rPr>
        <w:br w:type="page"/>
      </w:r>
      <w:r w:rsidR="009741AC" w:rsidRPr="00764722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14:paraId="2D638981" w14:textId="77777777" w:rsidR="00DB040A" w:rsidRDefault="00DB040A" w:rsidP="00DB040A">
      <w:pPr>
        <w:spacing w:before="120" w:after="270" w:line="257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E9EF6B3" w14:textId="77777777" w:rsidR="00DB040A" w:rsidRDefault="00DB040A" w:rsidP="00DB040A">
      <w:pPr>
        <w:spacing w:before="120" w:after="270" w:line="257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23882">
        <w:rPr>
          <w:rFonts w:ascii="Times New Roman" w:hAnsi="Times New Roman"/>
          <w:b/>
          <w:bCs/>
          <w:sz w:val="24"/>
          <w:szCs w:val="24"/>
        </w:rPr>
        <w:t xml:space="preserve">Определяне на </w:t>
      </w:r>
      <w:r w:rsidRPr="007A4055">
        <w:rPr>
          <w:rFonts w:ascii="Times New Roman" w:hAnsi="Times New Roman"/>
          <w:b/>
          <w:bCs/>
          <w:sz w:val="24"/>
          <w:szCs w:val="24"/>
        </w:rPr>
        <w:t>съвкупност от всички небитови крайни клиенти</w:t>
      </w:r>
      <w:r>
        <w:rPr>
          <w:rFonts w:ascii="Times New Roman" w:hAnsi="Times New Roman"/>
          <w:b/>
          <w:bCs/>
          <w:sz w:val="24"/>
          <w:szCs w:val="24"/>
        </w:rPr>
        <w:t xml:space="preserve">, по отношение на които ще се </w:t>
      </w:r>
      <w:r w:rsidRPr="00823882">
        <w:rPr>
          <w:rFonts w:ascii="Times New Roman" w:hAnsi="Times New Roman"/>
          <w:b/>
          <w:bCs/>
          <w:sz w:val="24"/>
          <w:szCs w:val="24"/>
        </w:rPr>
        <w:t xml:space="preserve">прилага Инструмента SAFE чрез операции, с които да се възстановят вече </w:t>
      </w:r>
      <w:r>
        <w:rPr>
          <w:rFonts w:ascii="Times New Roman" w:hAnsi="Times New Roman"/>
          <w:b/>
          <w:bCs/>
          <w:sz w:val="24"/>
          <w:szCs w:val="24"/>
        </w:rPr>
        <w:t>извършени допустими разходи за компенсации</w:t>
      </w:r>
      <w:r w:rsidRPr="00823882">
        <w:rPr>
          <w:rFonts w:ascii="Times New Roman" w:hAnsi="Times New Roman"/>
          <w:b/>
          <w:bCs/>
          <w:sz w:val="24"/>
          <w:szCs w:val="24"/>
        </w:rPr>
        <w:t xml:space="preserve"> на МСП за увеличените</w:t>
      </w:r>
      <w:r>
        <w:rPr>
          <w:rFonts w:ascii="Times New Roman" w:hAnsi="Times New Roman"/>
          <w:b/>
          <w:bCs/>
          <w:sz w:val="24"/>
          <w:szCs w:val="24"/>
        </w:rPr>
        <w:t xml:space="preserve"> им</w:t>
      </w:r>
      <w:r w:rsidRPr="00823882">
        <w:rPr>
          <w:rFonts w:ascii="Times New Roman" w:hAnsi="Times New Roman"/>
          <w:b/>
          <w:bCs/>
          <w:sz w:val="24"/>
          <w:szCs w:val="24"/>
        </w:rPr>
        <w:t xml:space="preserve"> разходи за електрическа енергия за периода февруари-септември 2022 г.</w:t>
      </w:r>
    </w:p>
    <w:p w14:paraId="136B0CE4" w14:textId="77777777" w:rsidR="00DB040A" w:rsidRPr="00823882" w:rsidRDefault="00DB040A" w:rsidP="00DB040A">
      <w:pPr>
        <w:spacing w:before="120" w:after="270" w:line="257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DA54D5" w14:textId="77777777" w:rsidR="00DB040A" w:rsidRDefault="00DB040A" w:rsidP="00DB040A">
      <w:pPr>
        <w:spacing w:before="120" w:after="180" w:line="26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идентифициране на съвкупността от предприятия, които отговарят на изискванията за подкрепа и с цел минимизиране на риска от грешки, е необходимо:</w:t>
      </w:r>
    </w:p>
    <w:p w14:paraId="2EF5263A" w14:textId="77777777" w:rsidR="00DB040A" w:rsidRPr="00427AFF" w:rsidRDefault="00DB040A" w:rsidP="00DB040A">
      <w:pPr>
        <w:spacing w:before="120" w:after="180" w:line="26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F7539">
        <w:rPr>
          <w:rFonts w:ascii="Times New Roman" w:hAnsi="Times New Roman"/>
          <w:b/>
          <w:bCs/>
          <w:sz w:val="24"/>
          <w:szCs w:val="24"/>
          <w:u w:val="single"/>
        </w:rPr>
        <w:t xml:space="preserve">Етап </w:t>
      </w:r>
      <w:r w:rsidRPr="00DB327F">
        <w:rPr>
          <w:rFonts w:ascii="Times New Roman" w:hAnsi="Times New Roman"/>
          <w:b/>
          <w:bCs/>
          <w:sz w:val="24"/>
          <w:szCs w:val="24"/>
          <w:u w:val="single"/>
        </w:rPr>
        <w:t>1:</w:t>
      </w:r>
    </w:p>
    <w:p w14:paraId="0DC8576A" w14:textId="77777777" w:rsidR="00DB040A" w:rsidRPr="00DB327F" w:rsidRDefault="00DB040A" w:rsidP="00DB040A">
      <w:pPr>
        <w:pStyle w:val="ListParagraph"/>
        <w:numPr>
          <w:ilvl w:val="0"/>
          <w:numId w:val="4"/>
        </w:numPr>
        <w:spacing w:before="120" w:after="180" w:line="26" w:lineRule="atLeast"/>
        <w:ind w:left="284" w:hanging="142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B327F">
        <w:rPr>
          <w:rFonts w:ascii="Times New Roman" w:hAnsi="Times New Roman"/>
          <w:b/>
          <w:bCs/>
          <w:sz w:val="24"/>
          <w:szCs w:val="24"/>
          <w:u w:val="single"/>
        </w:rPr>
        <w:t>В списъка да не бъдат включвани:</w:t>
      </w:r>
    </w:p>
    <w:p w14:paraId="59CE36E7" w14:textId="77777777" w:rsidR="00DB040A" w:rsidRPr="00DB327F" w:rsidRDefault="00DB040A" w:rsidP="00DB040A">
      <w:pPr>
        <w:pStyle w:val="ListParagraph"/>
        <w:numPr>
          <w:ilvl w:val="0"/>
          <w:numId w:val="3"/>
        </w:numPr>
        <w:spacing w:before="120" w:after="180" w:line="26" w:lineRule="atLeas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B327F">
        <w:rPr>
          <w:rFonts w:ascii="Times New Roman" w:hAnsi="Times New Roman"/>
          <w:sz w:val="24"/>
          <w:szCs w:val="24"/>
        </w:rPr>
        <w:t xml:space="preserve">предприятията, които са подали пред НСИ данни, че са неактивни през </w:t>
      </w:r>
      <w:r>
        <w:rPr>
          <w:rFonts w:ascii="Times New Roman" w:hAnsi="Times New Roman"/>
          <w:sz w:val="24"/>
          <w:szCs w:val="24"/>
        </w:rPr>
        <w:t xml:space="preserve">2021 или </w:t>
      </w:r>
      <w:r w:rsidRPr="00DB327F">
        <w:rPr>
          <w:rFonts w:ascii="Times New Roman" w:hAnsi="Times New Roman"/>
          <w:sz w:val="24"/>
          <w:szCs w:val="24"/>
        </w:rPr>
        <w:t xml:space="preserve">2022 г. или не са подали годишен отчет за 2022 г. </w:t>
      </w:r>
    </w:p>
    <w:p w14:paraId="2F9ECDC9" w14:textId="2CE14281" w:rsidR="0014646F" w:rsidRPr="00DB327F" w:rsidRDefault="0014646F" w:rsidP="0014646F">
      <w:pPr>
        <w:pStyle w:val="ListParagraph"/>
        <w:numPr>
          <w:ilvl w:val="0"/>
          <w:numId w:val="3"/>
        </w:numPr>
        <w:spacing w:before="120" w:after="180" w:line="26" w:lineRule="atLeast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B327F">
        <w:rPr>
          <w:rFonts w:ascii="Times New Roman" w:hAnsi="Times New Roman"/>
          <w:sz w:val="24"/>
          <w:szCs w:val="24"/>
        </w:rPr>
        <w:t xml:space="preserve">предприятията, които въз основа на данни за 2021 г. извършват недопустими дейности (основна и/или допълнителни) съгласно  чл. 3, </w:t>
      </w:r>
      <w:proofErr w:type="spellStart"/>
      <w:r w:rsidRPr="00DB327F">
        <w:rPr>
          <w:rFonts w:ascii="Times New Roman" w:hAnsi="Times New Roman"/>
          <w:sz w:val="24"/>
          <w:szCs w:val="24"/>
        </w:rPr>
        <w:t>пар</w:t>
      </w:r>
      <w:proofErr w:type="spellEnd"/>
      <w:r w:rsidRPr="00DB327F">
        <w:rPr>
          <w:rFonts w:ascii="Times New Roman" w:hAnsi="Times New Roman"/>
          <w:sz w:val="24"/>
          <w:szCs w:val="24"/>
        </w:rPr>
        <w:t>. 3 на Регламент (ЕС) 1301/2013, а именно: производството, обработката и продажбата на тютюн и</w:t>
      </w:r>
      <w:r w:rsidRPr="00DB327F">
        <w:rPr>
          <w:rFonts w:ascii="Times New Roman" w:hAnsi="Times New Roman"/>
          <w:sz w:val="24"/>
          <w:szCs w:val="24"/>
        </w:rPr>
        <w:br/>
        <w:t>тютюневи изделия (предприятия с код по КИД 01.15 „Отглеж</w:t>
      </w:r>
      <w:r>
        <w:rPr>
          <w:rFonts w:ascii="Times New Roman" w:hAnsi="Times New Roman"/>
          <w:sz w:val="24"/>
          <w:szCs w:val="24"/>
        </w:rPr>
        <w:t>д</w:t>
      </w:r>
      <w:r w:rsidRPr="00DB327F">
        <w:rPr>
          <w:rFonts w:ascii="Times New Roman" w:hAnsi="Times New Roman"/>
          <w:sz w:val="24"/>
          <w:szCs w:val="24"/>
        </w:rPr>
        <w:t>ане на тютюн“, 01.63 „Дейности след прибиране на реколта“, 12.00 „Производство на тютюневи изделия“, 46.35 „Търговия на едро с тютюневи изделия“, 47.26 „Търговия на дребно с тютюневи изделия“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DB327F">
        <w:rPr>
          <w:rFonts w:ascii="Times New Roman" w:hAnsi="Times New Roman"/>
          <w:sz w:val="24"/>
          <w:szCs w:val="24"/>
        </w:rPr>
        <w:t xml:space="preserve"> 46.17 „Търговско посредничество с хранителни стоки, напитки и тютюневи изделия“</w:t>
      </w:r>
      <w:r>
        <w:rPr>
          <w:rFonts w:ascii="Times New Roman" w:hAnsi="Times New Roman"/>
          <w:sz w:val="24"/>
          <w:szCs w:val="24"/>
        </w:rPr>
        <w:t>.</w:t>
      </w:r>
      <w:r w:rsidRPr="00DB327F">
        <w:rPr>
          <w:rFonts w:ascii="Times New Roman" w:hAnsi="Times New Roman"/>
          <w:sz w:val="24"/>
          <w:szCs w:val="24"/>
        </w:rPr>
        <w:t xml:space="preserve"> </w:t>
      </w:r>
    </w:p>
    <w:p w14:paraId="12A1BC19" w14:textId="77777777" w:rsidR="00DB040A" w:rsidRPr="00593509" w:rsidRDefault="00DB040A" w:rsidP="00DB040A">
      <w:pPr>
        <w:numPr>
          <w:ilvl w:val="0"/>
          <w:numId w:val="3"/>
        </w:numPr>
        <w:spacing w:before="120" w:after="180" w:line="26" w:lineRule="atLeast"/>
        <w:jc w:val="both"/>
        <w:rPr>
          <w:rFonts w:ascii="Times New Roman" w:hAnsi="Times New Roman"/>
          <w:b/>
          <w:sz w:val="24"/>
          <w:szCs w:val="24"/>
        </w:rPr>
      </w:pPr>
      <w:r w:rsidRPr="00EF7539">
        <w:rPr>
          <w:rFonts w:ascii="Times New Roman" w:hAnsi="Times New Roman"/>
          <w:sz w:val="24"/>
          <w:szCs w:val="24"/>
        </w:rPr>
        <w:t xml:space="preserve">предприятията, които въз основа на данни за 2021 г. осъществяват икономическа дейност </w:t>
      </w:r>
      <w:r w:rsidRPr="00F91FF7">
        <w:rPr>
          <w:rFonts w:ascii="Times New Roman" w:hAnsi="Times New Roman"/>
          <w:sz w:val="24"/>
          <w:szCs w:val="24"/>
        </w:rPr>
        <w:t xml:space="preserve">(основна и/или допълнителни) в секторите O – Държавно управление, T – Дейности на домакинства като работодатели; Недиференцирани дейности на домакинства по производство на стоки и услуги за собствено потребление и U – Дейности на екстериториални организации и служби; </w:t>
      </w:r>
    </w:p>
    <w:p w14:paraId="61B9D08A" w14:textId="77777777" w:rsidR="00DB040A" w:rsidRPr="00593509" w:rsidRDefault="00DB040A" w:rsidP="00DB040A">
      <w:pPr>
        <w:pStyle w:val="ListParagraph"/>
        <w:numPr>
          <w:ilvl w:val="0"/>
          <w:numId w:val="4"/>
        </w:numPr>
        <w:spacing w:before="120" w:after="180" w:line="26" w:lineRule="atLeast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В списъка да бъдат включени:</w:t>
      </w:r>
    </w:p>
    <w:p w14:paraId="30822696" w14:textId="77777777" w:rsidR="00DB040A" w:rsidRPr="005346C9" w:rsidRDefault="00DB040A" w:rsidP="00DB04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предприятия, </w:t>
      </w:r>
      <w:r w:rsidRPr="005346C9">
        <w:rPr>
          <w:rFonts w:ascii="Times New Roman" w:hAnsi="Times New Roman"/>
          <w:b/>
          <w:bCs/>
          <w:sz w:val="24"/>
          <w:szCs w:val="24"/>
        </w:rPr>
        <w:t>за които през 2020 г. и 2021 г.</w:t>
      </w:r>
      <w:r>
        <w:rPr>
          <w:rFonts w:ascii="Times New Roman" w:hAnsi="Times New Roman"/>
          <w:b/>
          <w:bCs/>
          <w:sz w:val="24"/>
          <w:szCs w:val="24"/>
        </w:rPr>
        <w:t xml:space="preserve"> са изпълнени кумулативно следните условия</w:t>
      </w:r>
      <w:r w:rsidRPr="005346C9">
        <w:rPr>
          <w:rFonts w:ascii="Times New Roman" w:hAnsi="Times New Roman"/>
          <w:b/>
          <w:bCs/>
          <w:sz w:val="24"/>
          <w:szCs w:val="24"/>
        </w:rPr>
        <w:t>:</w:t>
      </w:r>
    </w:p>
    <w:p w14:paraId="0C0F03EA" w14:textId="77777777" w:rsidR="00DB040A" w:rsidRPr="00D51CDB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средно списъчният брой на персонала</w:t>
      </w:r>
      <w:r w:rsidRPr="00D51CDB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D51CDB">
        <w:rPr>
          <w:rFonts w:ascii="Times New Roman" w:eastAsia="Times New Roman" w:hAnsi="Times New Roman"/>
          <w:sz w:val="24"/>
          <w:szCs w:val="24"/>
        </w:rPr>
        <w:t xml:space="preserve"> не надвишава 250 човека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3715DD0F" w14:textId="77777777" w:rsidR="00DB040A" w:rsidRPr="00D51CDB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lastRenderedPageBreak/>
        <w:t>годишният оборот</w:t>
      </w:r>
      <w:r w:rsidRPr="00D51CDB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Pr="00D51CDB">
        <w:rPr>
          <w:rFonts w:ascii="Times New Roman" w:eastAsia="Times New Roman" w:hAnsi="Times New Roman"/>
          <w:sz w:val="24"/>
          <w:szCs w:val="24"/>
        </w:rPr>
        <w:t xml:space="preserve"> не превишава 97 500 000 лева и/или стойността на активите</w:t>
      </w:r>
      <w:r w:rsidRPr="00D51CDB">
        <w:rPr>
          <w:rStyle w:val="FootnoteReference"/>
          <w:rFonts w:ascii="Times New Roman" w:hAnsi="Times New Roman"/>
          <w:sz w:val="24"/>
          <w:szCs w:val="24"/>
        </w:rPr>
        <w:footnoteReference w:id="4"/>
      </w:r>
      <w:r w:rsidRPr="00D51CDB">
        <w:rPr>
          <w:rFonts w:ascii="Times New Roman" w:eastAsia="Times New Roman" w:hAnsi="Times New Roman"/>
          <w:sz w:val="24"/>
          <w:szCs w:val="24"/>
        </w:rPr>
        <w:t xml:space="preserve"> не превишава 84 000 000 лева;</w:t>
      </w:r>
    </w:p>
    <w:p w14:paraId="5CCE5300" w14:textId="77777777" w:rsidR="00DB040A" w:rsidRPr="00D51CDB" w:rsidRDefault="00DB040A" w:rsidP="00DB040A">
      <w:pPr>
        <w:numPr>
          <w:ilvl w:val="0"/>
          <w:numId w:val="3"/>
        </w:numPr>
        <w:spacing w:after="0" w:line="26" w:lineRule="atLeast"/>
        <w:ind w:left="1134" w:hanging="425"/>
        <w:jc w:val="both"/>
        <w:rPr>
          <w:rFonts w:ascii="Times New Roman" w:hAnsi="Times New Roman"/>
          <w:bCs/>
          <w:sz w:val="24"/>
          <w:szCs w:val="24"/>
        </w:rPr>
      </w:pPr>
      <w:r w:rsidRPr="00D51CDB">
        <w:rPr>
          <w:rFonts w:ascii="Times New Roman" w:hAnsi="Times New Roman"/>
          <w:sz w:val="24"/>
          <w:szCs w:val="24"/>
        </w:rPr>
        <w:t xml:space="preserve">няма или има по-малко </w:t>
      </w:r>
      <w:r w:rsidRPr="00D51CDB">
        <w:rPr>
          <w:rFonts w:ascii="Times New Roman" w:hAnsi="Times New Roman"/>
          <w:bCs/>
          <w:sz w:val="24"/>
          <w:szCs w:val="24"/>
        </w:rPr>
        <w:t>25% държавно или общинско участие;</w:t>
      </w:r>
    </w:p>
    <w:p w14:paraId="72531CEF" w14:textId="77777777" w:rsidR="00DB040A" w:rsidRPr="00D51CDB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чуждестранни юридически и/или физически лица не притежават или притежават по-малко от 25% от капитала или от броя на гласовете в общото му събрание;</w:t>
      </w:r>
    </w:p>
    <w:p w14:paraId="7989F947" w14:textId="77777777" w:rsidR="00DB040A" w:rsidRPr="00D51CDB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не е декларирано наличието на регистрирани клонове (поделения, филиали) извън България;</w:t>
      </w:r>
    </w:p>
    <w:p w14:paraId="3D2D0DC2" w14:textId="77777777" w:rsidR="00DB040A" w:rsidRPr="00D51CDB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не са глава на многонационална група предприятия, част от местно контролирана многонационална група предприятия или част от чуждо контролирана многонационална група предприятия.</w:t>
      </w:r>
    </w:p>
    <w:p w14:paraId="047593C9" w14:textId="77777777" w:rsidR="00DB040A" w:rsidRPr="00D51CDB" w:rsidRDefault="00DB040A" w:rsidP="00DB040A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2DB3445C" w14:textId="77777777" w:rsidR="00DB040A" w:rsidRPr="00D51CDB" w:rsidRDefault="00DB040A" w:rsidP="00DB04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51CDB">
        <w:rPr>
          <w:rFonts w:ascii="Times New Roman" w:hAnsi="Times New Roman"/>
          <w:b/>
          <w:sz w:val="24"/>
          <w:szCs w:val="24"/>
        </w:rPr>
        <w:t xml:space="preserve">предприятията, </w:t>
      </w:r>
      <w:r w:rsidRPr="00D51CDB">
        <w:rPr>
          <w:rFonts w:ascii="Times New Roman" w:hAnsi="Times New Roman"/>
          <w:b/>
          <w:bCs/>
          <w:sz w:val="24"/>
          <w:szCs w:val="24"/>
        </w:rPr>
        <w:t>за които през 2019 г. и 2020 г.</w:t>
      </w:r>
      <w:r w:rsidRPr="00DB327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са изпълнени кумулативно следните условия</w:t>
      </w:r>
      <w:r w:rsidRPr="00D51CDB">
        <w:rPr>
          <w:rFonts w:ascii="Times New Roman" w:hAnsi="Times New Roman"/>
          <w:b/>
          <w:bCs/>
          <w:sz w:val="24"/>
          <w:szCs w:val="24"/>
        </w:rPr>
        <w:t>:</w:t>
      </w:r>
    </w:p>
    <w:p w14:paraId="51525C0E" w14:textId="77777777" w:rsidR="00DB040A" w:rsidRPr="00427AFF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средно списъчният брой на пер</w:t>
      </w:r>
      <w:r>
        <w:rPr>
          <w:rFonts w:ascii="Times New Roman" w:eastAsia="Times New Roman" w:hAnsi="Times New Roman"/>
          <w:sz w:val="24"/>
          <w:szCs w:val="24"/>
        </w:rPr>
        <w:t>сонала не надвишава 250 човека;</w:t>
      </w:r>
    </w:p>
    <w:p w14:paraId="5FA26EBC" w14:textId="77777777" w:rsidR="00DB040A" w:rsidRPr="00427AFF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годишният оборот не превишава 97 500 000 лева и/или стойността на активите не превишава 84 000 000 лева;</w:t>
      </w:r>
    </w:p>
    <w:p w14:paraId="757F007B" w14:textId="77777777" w:rsidR="00DB040A" w:rsidRPr="00427AFF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427AFF">
        <w:rPr>
          <w:rFonts w:ascii="Times New Roman" w:eastAsia="Times New Roman" w:hAnsi="Times New Roman"/>
          <w:sz w:val="24"/>
          <w:szCs w:val="24"/>
        </w:rPr>
        <w:t>няма или има по-малко 25% държавно или общинско участие;</w:t>
      </w:r>
    </w:p>
    <w:p w14:paraId="244254E3" w14:textId="77777777" w:rsidR="00DB040A" w:rsidRPr="00D51CDB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чуждестранни юридически и/или физически лица не притежават или притежават по-малко от 25% от капитала или от броя на гласовете в общото му събрание;</w:t>
      </w:r>
    </w:p>
    <w:p w14:paraId="1FBF5904" w14:textId="77777777" w:rsidR="00DB040A" w:rsidRPr="00D51CDB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не е декларирано наличието на регистрирани клонове (поделения, филиали) извън България;</w:t>
      </w:r>
    </w:p>
    <w:p w14:paraId="0AC6AC0C" w14:textId="77777777" w:rsidR="00DB040A" w:rsidRPr="00D51CDB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не са глава на многонационална група предприятия, част от местно контролирана многонационална група предприятия или част от чуждо контролирана многонационална група предприятия.</w:t>
      </w:r>
    </w:p>
    <w:p w14:paraId="02C307AE" w14:textId="77777777" w:rsidR="00DB040A" w:rsidRPr="00D51CDB" w:rsidRDefault="00DB040A" w:rsidP="00DB040A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F0A3DFC" w14:textId="77777777" w:rsidR="00DB040A" w:rsidRPr="00D51CDB" w:rsidRDefault="00DB040A" w:rsidP="00DB04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51CDB">
        <w:rPr>
          <w:rFonts w:ascii="Times New Roman" w:hAnsi="Times New Roman"/>
          <w:b/>
          <w:sz w:val="24"/>
          <w:szCs w:val="24"/>
        </w:rPr>
        <w:t xml:space="preserve">предприятията, </w:t>
      </w:r>
      <w:r w:rsidRPr="00D51CDB">
        <w:rPr>
          <w:rFonts w:ascii="Times New Roman" w:hAnsi="Times New Roman"/>
          <w:b/>
          <w:bCs/>
          <w:sz w:val="24"/>
          <w:szCs w:val="24"/>
        </w:rPr>
        <w:t>за които през 2018 г., 2019 г. и 2021 г.</w:t>
      </w:r>
      <w:r w:rsidRPr="00DB327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са изпълнени кумулативно следните условия</w:t>
      </w:r>
      <w:r w:rsidRPr="00D51CDB">
        <w:rPr>
          <w:rFonts w:ascii="Times New Roman" w:hAnsi="Times New Roman"/>
          <w:b/>
          <w:bCs/>
          <w:sz w:val="24"/>
          <w:szCs w:val="24"/>
        </w:rPr>
        <w:t>:</w:t>
      </w:r>
    </w:p>
    <w:p w14:paraId="16F8A0A1" w14:textId="77777777" w:rsidR="00DB040A" w:rsidRPr="00427AFF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средно списъчният брой на пер</w:t>
      </w:r>
      <w:r>
        <w:rPr>
          <w:rFonts w:ascii="Times New Roman" w:eastAsia="Times New Roman" w:hAnsi="Times New Roman"/>
          <w:sz w:val="24"/>
          <w:szCs w:val="24"/>
        </w:rPr>
        <w:t>сонала не надвишава 250 човека;</w:t>
      </w:r>
    </w:p>
    <w:p w14:paraId="5B36EDD2" w14:textId="77777777" w:rsidR="00DB040A" w:rsidRPr="00427AFF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годишният оборот не превишава 97 500 000 лева и/или стойността на активите не превишава 84 000 000 лева;</w:t>
      </w:r>
    </w:p>
    <w:p w14:paraId="654E6701" w14:textId="77777777" w:rsidR="00DB040A" w:rsidRPr="00427AFF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427AFF">
        <w:rPr>
          <w:rFonts w:ascii="Times New Roman" w:eastAsia="Times New Roman" w:hAnsi="Times New Roman"/>
          <w:sz w:val="24"/>
          <w:szCs w:val="24"/>
        </w:rPr>
        <w:t>няма или има по-малко 25% държавно или общинско участие;</w:t>
      </w:r>
    </w:p>
    <w:p w14:paraId="0BD289C7" w14:textId="77777777" w:rsidR="00DB040A" w:rsidRPr="00D51CDB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чуждестранни юридически и/или физически лица не притежават или притежават по-малко от 25% от капитала или от броя на гласовете в общото му събрание;</w:t>
      </w:r>
    </w:p>
    <w:p w14:paraId="26FC46CD" w14:textId="77777777" w:rsidR="00DB040A" w:rsidRPr="00593509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D51CDB">
        <w:rPr>
          <w:rFonts w:ascii="Times New Roman" w:eastAsia="Times New Roman" w:hAnsi="Times New Roman"/>
          <w:sz w:val="24"/>
          <w:szCs w:val="24"/>
        </w:rPr>
        <w:t>не е декларирано наличието на регистрирани клонове (поделения,</w:t>
      </w:r>
      <w:r w:rsidRPr="00593509">
        <w:rPr>
          <w:rFonts w:ascii="Times New Roman" w:eastAsia="Times New Roman" w:hAnsi="Times New Roman"/>
          <w:sz w:val="24"/>
          <w:szCs w:val="24"/>
        </w:rPr>
        <w:t xml:space="preserve"> филиали) извън България;</w:t>
      </w:r>
    </w:p>
    <w:p w14:paraId="3734E018" w14:textId="77777777" w:rsidR="00DB040A" w:rsidRDefault="00DB040A" w:rsidP="00DB040A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не</w:t>
      </w:r>
      <w:r w:rsidRPr="00593509">
        <w:rPr>
          <w:rFonts w:ascii="Times New Roman" w:eastAsia="Times New Roman" w:hAnsi="Times New Roman"/>
          <w:sz w:val="24"/>
          <w:szCs w:val="24"/>
        </w:rPr>
        <w:t xml:space="preserve"> са глава на многонационална група предприятия, част от местно контролирана многонационална група предприятия или част от чуждо контролирана многонационална група предприятия.</w:t>
      </w:r>
    </w:p>
    <w:p w14:paraId="0285C659" w14:textId="77777777" w:rsidR="00DB040A" w:rsidRPr="00593509" w:rsidRDefault="00DB040A" w:rsidP="00DB040A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B040A" w14:paraId="314BBFF4" w14:textId="77777777" w:rsidTr="00601F60">
        <w:tc>
          <w:tcPr>
            <w:tcW w:w="9350" w:type="dxa"/>
            <w:shd w:val="clear" w:color="auto" w:fill="auto"/>
          </w:tcPr>
          <w:p w14:paraId="6116FEB3" w14:textId="77777777" w:rsidR="00DB040A" w:rsidRPr="00601F60" w:rsidRDefault="00DB040A" w:rsidP="00601F60">
            <w:pPr>
              <w:pStyle w:val="ListParagraph"/>
              <w:numPr>
                <w:ilvl w:val="0"/>
                <w:numId w:val="3"/>
              </w:numPr>
              <w:spacing w:before="120" w:after="180"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F60">
              <w:rPr>
                <w:rFonts w:ascii="Times New Roman" w:hAnsi="Times New Roman"/>
                <w:b/>
                <w:bCs/>
                <w:sz w:val="24"/>
                <w:szCs w:val="24"/>
              </w:rPr>
              <w:t>ВАЖНО!!!</w:t>
            </w:r>
            <w:r w:rsidRPr="00601F60">
              <w:rPr>
                <w:rFonts w:ascii="Times New Roman" w:hAnsi="Times New Roman"/>
                <w:sz w:val="24"/>
                <w:szCs w:val="24"/>
              </w:rPr>
              <w:t xml:space="preserve"> Данните за средно списъчен брой на персонала, годишен оборот и стойност на активите на предприятията с регистрирани клонове на територията на България следва да  включват и данните на всичките им клонове.  </w:t>
            </w:r>
          </w:p>
          <w:p w14:paraId="4A3605FA" w14:textId="77777777" w:rsidR="00DB040A" w:rsidRPr="00601F60" w:rsidRDefault="00DB040A" w:rsidP="00601F60">
            <w:pPr>
              <w:pStyle w:val="ListParagraph"/>
              <w:numPr>
                <w:ilvl w:val="0"/>
                <w:numId w:val="3"/>
              </w:numPr>
              <w:spacing w:before="120" w:after="180" w:line="26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1F60">
              <w:rPr>
                <w:rFonts w:ascii="Times New Roman" w:hAnsi="Times New Roman"/>
                <w:b/>
                <w:bCs/>
                <w:sz w:val="24"/>
                <w:szCs w:val="24"/>
              </w:rPr>
              <w:t>ВАЖНО!!!</w:t>
            </w:r>
            <w:r w:rsidRPr="00601F60">
              <w:rPr>
                <w:rFonts w:ascii="Times New Roman" w:hAnsi="Times New Roman"/>
                <w:sz w:val="24"/>
                <w:szCs w:val="24"/>
              </w:rPr>
              <w:t xml:space="preserve"> При предприятия изготвящи и представящи консолидиран отчет или включени в консолидирания отчет на друго предприятие данните относно средно списъчен брой на персонала, годишен оборот и стойност на активите следва да са от консолидирания отчет.</w:t>
            </w:r>
          </w:p>
          <w:p w14:paraId="15901659" w14:textId="77777777" w:rsidR="00DB040A" w:rsidRPr="00601F60" w:rsidRDefault="00DB040A" w:rsidP="00601F60">
            <w:pPr>
              <w:pStyle w:val="ListParagraph"/>
              <w:numPr>
                <w:ilvl w:val="0"/>
                <w:numId w:val="3"/>
              </w:numPr>
              <w:spacing w:before="120" w:after="180" w:line="26" w:lineRule="atLeas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F60">
              <w:rPr>
                <w:rFonts w:ascii="Times New Roman" w:hAnsi="Times New Roman"/>
                <w:b/>
                <w:bCs/>
                <w:sz w:val="24"/>
                <w:szCs w:val="24"/>
              </w:rPr>
              <w:t>ВАЖНО!!!</w:t>
            </w:r>
            <w:r w:rsidRPr="00601F60">
              <w:rPr>
                <w:rFonts w:ascii="Times New Roman" w:hAnsi="Times New Roman"/>
                <w:iCs/>
                <w:sz w:val="24"/>
                <w:szCs w:val="24"/>
              </w:rPr>
              <w:t xml:space="preserve"> При изчисляване на данните </w:t>
            </w:r>
            <w:r w:rsidRPr="00601F60">
              <w:rPr>
                <w:rFonts w:ascii="Times New Roman" w:hAnsi="Times New Roman"/>
                <w:sz w:val="24"/>
                <w:szCs w:val="24"/>
              </w:rPr>
              <w:t>за средно списъчен брой на персонала, годишен оборот и стойност на активите</w:t>
            </w:r>
            <w:r w:rsidRPr="00601F60">
              <w:rPr>
                <w:rFonts w:ascii="Times New Roman" w:hAnsi="Times New Roman"/>
                <w:iCs/>
                <w:sz w:val="24"/>
                <w:szCs w:val="24"/>
              </w:rPr>
              <w:t xml:space="preserve"> се взема предвид дали предприятието е независимо, дали е предприятие партньор по смисъла на чл. 4, ал. 3 от ЗМСП, или е свързано предприятие по смисъла на чл. 4, ал. 5, като:</w:t>
            </w:r>
          </w:p>
          <w:p w14:paraId="53B61598" w14:textId="77777777" w:rsidR="00DB040A" w:rsidRPr="00601F60" w:rsidRDefault="00DB040A" w:rsidP="00601F60">
            <w:pPr>
              <w:pStyle w:val="ListParagraph"/>
              <w:numPr>
                <w:ilvl w:val="0"/>
                <w:numId w:val="6"/>
              </w:numPr>
              <w:spacing w:before="120" w:after="180" w:line="26" w:lineRule="atLeast"/>
              <w:ind w:left="1418" w:hanging="4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F60">
              <w:rPr>
                <w:rFonts w:ascii="Times New Roman" w:hAnsi="Times New Roman"/>
                <w:iCs/>
                <w:sz w:val="24"/>
                <w:szCs w:val="24"/>
              </w:rPr>
              <w:t>за свързаните предприятия данните се изчисляват с натрупване;</w:t>
            </w:r>
          </w:p>
          <w:p w14:paraId="0B674A14" w14:textId="77777777" w:rsidR="00DB040A" w:rsidRPr="00601F60" w:rsidRDefault="00DB040A" w:rsidP="00601F60">
            <w:pPr>
              <w:pStyle w:val="ListParagraph"/>
              <w:numPr>
                <w:ilvl w:val="0"/>
                <w:numId w:val="6"/>
              </w:numPr>
              <w:spacing w:before="120" w:after="180" w:line="26" w:lineRule="atLeast"/>
              <w:ind w:left="1418" w:hanging="42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F60">
              <w:rPr>
                <w:rFonts w:ascii="Times New Roman" w:hAnsi="Times New Roman"/>
                <w:iCs/>
                <w:sz w:val="24"/>
                <w:szCs w:val="24"/>
              </w:rPr>
              <w:t>за предприятията партньори данните се изчисляват съобразно чл. 4г от ЗМСП;</w:t>
            </w:r>
          </w:p>
          <w:p w14:paraId="14919D49" w14:textId="77777777" w:rsidR="00DB040A" w:rsidRPr="00601F60" w:rsidRDefault="00DB040A" w:rsidP="00601F60">
            <w:pPr>
              <w:pStyle w:val="ListParagraph"/>
              <w:numPr>
                <w:ilvl w:val="0"/>
                <w:numId w:val="6"/>
              </w:numPr>
              <w:spacing w:before="120" w:after="180" w:line="26" w:lineRule="atLeast"/>
              <w:ind w:left="1418" w:hanging="425"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601F60">
              <w:rPr>
                <w:rFonts w:ascii="Times New Roman" w:hAnsi="Times New Roman"/>
                <w:iCs/>
                <w:sz w:val="24"/>
                <w:szCs w:val="24"/>
              </w:rPr>
              <w:t>за предприятията, които са глава на местна група предприятия или са част от такава група, данните се изчисляват с натрупване, включващо данните на всички предприятия в групата.</w:t>
            </w:r>
          </w:p>
        </w:tc>
      </w:tr>
    </w:tbl>
    <w:p w14:paraId="420FC397" w14:textId="77777777" w:rsidR="00DB040A" w:rsidRDefault="00DB040A" w:rsidP="00DB040A">
      <w:pPr>
        <w:spacing w:before="120" w:after="180" w:line="26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CF4A6C" w14:textId="77777777" w:rsidR="00DB040A" w:rsidRPr="00EF7539" w:rsidRDefault="00DB040A" w:rsidP="00DB040A">
      <w:pPr>
        <w:spacing w:before="120" w:after="180" w:line="26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EF7539">
        <w:rPr>
          <w:rFonts w:ascii="Times New Roman" w:hAnsi="Times New Roman"/>
          <w:b/>
          <w:bCs/>
          <w:sz w:val="24"/>
          <w:szCs w:val="24"/>
        </w:rPr>
        <w:t>Етап 2:</w:t>
      </w:r>
    </w:p>
    <w:p w14:paraId="660BFC4F" w14:textId="2D0E3DB7" w:rsidR="007305DD" w:rsidRPr="00764722" w:rsidRDefault="0014646F" w:rsidP="0014646F">
      <w:pPr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  <w:r w:rsidRPr="0014646F">
        <w:rPr>
          <w:rFonts w:ascii="Times New Roman" w:hAnsi="Times New Roman"/>
          <w:bCs/>
          <w:sz w:val="24"/>
          <w:szCs w:val="24"/>
        </w:rPr>
        <w:t>За предприятията</w:t>
      </w:r>
      <w:r w:rsidRPr="0014646F">
        <w:rPr>
          <w:rFonts w:ascii="Times New Roman" w:hAnsi="Times New Roman"/>
          <w:sz w:val="24"/>
          <w:szCs w:val="24"/>
        </w:rPr>
        <w:t xml:space="preserve"> с код по КИД 47.11</w:t>
      </w:r>
      <w:r w:rsidRPr="0014646F">
        <w:t xml:space="preserve"> </w:t>
      </w:r>
      <w:r w:rsidRPr="0014646F">
        <w:rPr>
          <w:rFonts w:ascii="Times New Roman" w:hAnsi="Times New Roman"/>
          <w:sz w:val="24"/>
          <w:szCs w:val="24"/>
        </w:rPr>
        <w:t xml:space="preserve">„Търговия на дребно в </w:t>
      </w:r>
      <w:proofErr w:type="spellStart"/>
      <w:r w:rsidRPr="0014646F">
        <w:rPr>
          <w:rFonts w:ascii="Times New Roman" w:hAnsi="Times New Roman"/>
          <w:sz w:val="24"/>
          <w:szCs w:val="24"/>
        </w:rPr>
        <w:t>неспециализирани</w:t>
      </w:r>
      <w:proofErr w:type="spellEnd"/>
      <w:r w:rsidRPr="0014646F">
        <w:rPr>
          <w:rFonts w:ascii="Times New Roman" w:hAnsi="Times New Roman"/>
          <w:sz w:val="24"/>
          <w:szCs w:val="24"/>
        </w:rPr>
        <w:t xml:space="preserve"> магазини предимно с хранителни стоки, напитки и тютюневи изделия“, 46.21 „Търговия на едро със зърно, семена, фуражи и необработен тютюн“ и 46.39 „Неспециализирана търговия на едро с хранителни стоки, напитки и тютюневи изделия“, отговарящи на критериите по-горе, следва да се направи допълнителна</w:t>
      </w:r>
      <w:r w:rsidRPr="0014646F">
        <w:rPr>
          <w:rFonts w:ascii="Times New Roman" w:hAnsi="Times New Roman"/>
          <w:bCs/>
          <w:sz w:val="24"/>
          <w:szCs w:val="24"/>
        </w:rPr>
        <w:t xml:space="preserve"> проверка като се филтрират единствено предприятията, които не са декларирали пред Националния статистически институт в </w:t>
      </w:r>
      <w:r w:rsidRPr="0014646F">
        <w:rPr>
          <w:rFonts w:ascii="Times New Roman" w:hAnsi="Times New Roman"/>
          <w:bCs/>
          <w:i/>
          <w:sz w:val="24"/>
          <w:szCs w:val="24"/>
        </w:rPr>
        <w:t>Справка за продажбите и търговските обекти през 2021 г.</w:t>
      </w:r>
      <w:r w:rsidRPr="0014646F">
        <w:rPr>
          <w:rFonts w:ascii="Times New Roman" w:hAnsi="Times New Roman"/>
          <w:bCs/>
          <w:sz w:val="24"/>
          <w:szCs w:val="24"/>
        </w:rPr>
        <w:t xml:space="preserve"> приходи от продажба на тютюневи изделия.</w:t>
      </w:r>
    </w:p>
    <w:p w14:paraId="74DB6047" w14:textId="77777777" w:rsidR="007021CA" w:rsidRPr="00764722" w:rsidRDefault="007021CA" w:rsidP="007021CA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021CA" w:rsidRPr="00764722" w:rsidSect="00FA2B97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86280" w14:textId="77777777" w:rsidR="005E16AE" w:rsidRDefault="005E16AE" w:rsidP="007305DD">
      <w:pPr>
        <w:spacing w:after="0" w:line="240" w:lineRule="auto"/>
      </w:pPr>
      <w:r>
        <w:separator/>
      </w:r>
    </w:p>
  </w:endnote>
  <w:endnote w:type="continuationSeparator" w:id="0">
    <w:p w14:paraId="70330702" w14:textId="77777777" w:rsidR="005E16AE" w:rsidRDefault="005E16AE" w:rsidP="007305DD">
      <w:pPr>
        <w:spacing w:after="0" w:line="240" w:lineRule="auto"/>
      </w:pPr>
      <w:r>
        <w:continuationSeparator/>
      </w:r>
    </w:p>
  </w:endnote>
  <w:endnote w:type="continuationNotice" w:id="1">
    <w:p w14:paraId="64D65F39" w14:textId="77777777" w:rsidR="005E16AE" w:rsidRDefault="005E16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554D6" w14:textId="77777777" w:rsidR="005E16AE" w:rsidRDefault="005E16AE" w:rsidP="007305DD">
      <w:pPr>
        <w:spacing w:after="0" w:line="240" w:lineRule="auto"/>
      </w:pPr>
      <w:r>
        <w:separator/>
      </w:r>
    </w:p>
  </w:footnote>
  <w:footnote w:type="continuationSeparator" w:id="0">
    <w:p w14:paraId="54B041DA" w14:textId="77777777" w:rsidR="005E16AE" w:rsidRDefault="005E16AE" w:rsidP="007305DD">
      <w:pPr>
        <w:spacing w:after="0" w:line="240" w:lineRule="auto"/>
      </w:pPr>
      <w:r>
        <w:continuationSeparator/>
      </w:r>
    </w:p>
  </w:footnote>
  <w:footnote w:type="continuationNotice" w:id="1">
    <w:p w14:paraId="5CA0E351" w14:textId="77777777" w:rsidR="005E16AE" w:rsidRDefault="005E16AE">
      <w:pPr>
        <w:spacing w:after="0" w:line="240" w:lineRule="auto"/>
      </w:pPr>
    </w:p>
  </w:footnote>
  <w:footnote w:id="2">
    <w:p w14:paraId="44442CFE" w14:textId="77777777" w:rsidR="00DB040A" w:rsidRPr="009827AF" w:rsidRDefault="00DB040A" w:rsidP="00DB040A">
      <w:pPr>
        <w:pStyle w:val="FootnoteText"/>
        <w:jc w:val="both"/>
        <w:rPr>
          <w:rFonts w:ascii="Times New Roman" w:hAnsi="Times New Roman"/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</w:t>
      </w:r>
      <w:proofErr w:type="spellStart"/>
      <w:r w:rsidRPr="009827AF">
        <w:rPr>
          <w:rFonts w:ascii="Times New Roman" w:hAnsi="Times New Roman"/>
          <w:lang w:val="bg-BG"/>
        </w:rPr>
        <w:t>Средносписъчният</w:t>
      </w:r>
      <w:proofErr w:type="spellEnd"/>
      <w:r w:rsidRPr="009827AF">
        <w:rPr>
          <w:rFonts w:ascii="Times New Roman" w:hAnsi="Times New Roman"/>
          <w:lang w:val="bg-BG"/>
        </w:rPr>
        <w:t xml:space="preserve"> брой на персонала се формира като сбор от </w:t>
      </w:r>
      <w:proofErr w:type="spellStart"/>
      <w:r w:rsidRPr="009827AF">
        <w:rPr>
          <w:rFonts w:ascii="Times New Roman" w:hAnsi="Times New Roman"/>
          <w:lang w:val="bg-BG"/>
        </w:rPr>
        <w:t>средносписъчния</w:t>
      </w:r>
      <w:proofErr w:type="spellEnd"/>
      <w:r w:rsidRPr="009827AF">
        <w:rPr>
          <w:rFonts w:ascii="Times New Roman" w:hAnsi="Times New Roman"/>
          <w:lang w:val="bg-BG"/>
        </w:rPr>
        <w:t xml:space="preserve"> брой на персонала без лицата, които са по майчинство (код 1001), наетите лица по договори за управление и контрол (код 1400) и работещите собственици (код 1600) от</w:t>
      </w:r>
      <w:r w:rsidRPr="009827AF">
        <w:rPr>
          <w:rFonts w:ascii="Times New Roman" w:hAnsi="Times New Roman"/>
        </w:rPr>
        <w:t xml:space="preserve"> </w:t>
      </w:r>
      <w:r w:rsidRPr="009827AF">
        <w:rPr>
          <w:rFonts w:ascii="Times New Roman" w:hAnsi="Times New Roman"/>
          <w:lang w:val="bg-BG"/>
        </w:rPr>
        <w:t>„Отчет за заетите лица, средствата за работна заплата и други разходи за труд” за съответната финансова година.</w:t>
      </w:r>
    </w:p>
  </w:footnote>
  <w:footnote w:id="3">
    <w:p w14:paraId="067EF627" w14:textId="77777777" w:rsidR="00DB040A" w:rsidRPr="009827AF" w:rsidRDefault="00DB040A" w:rsidP="00DB040A">
      <w:pPr>
        <w:pStyle w:val="FootnoteText"/>
        <w:jc w:val="both"/>
        <w:rPr>
          <w:rFonts w:ascii="Times New Roman" w:hAnsi="Times New Roman"/>
          <w:lang w:val="bg-BG"/>
        </w:rPr>
      </w:pPr>
      <w:r w:rsidRPr="009827AF">
        <w:rPr>
          <w:rStyle w:val="FootnoteReference"/>
          <w:rFonts w:ascii="Times New Roman" w:hAnsi="Times New Roman"/>
        </w:rPr>
        <w:footnoteRef/>
      </w:r>
      <w:r w:rsidRPr="00C47EB2">
        <w:rPr>
          <w:rFonts w:ascii="Times New Roman" w:hAnsi="Times New Roman"/>
          <w:lang w:val="bg-BG"/>
        </w:rPr>
        <w:t xml:space="preserve"> </w:t>
      </w:r>
      <w:r w:rsidRPr="009827AF">
        <w:rPr>
          <w:rFonts w:ascii="Times New Roman" w:hAnsi="Times New Roman"/>
          <w:lang w:val="bg-BG"/>
        </w:rPr>
        <w:t>Под годишен оборот следва да се разбира стойността на ред  „Нетни приходи от продажби“ (код на реда 15100, кол. 1) от приходната част на Отчета за приходите и разходите за съответната година, респективно Консолидирания отчет за приходите и разходи (ако е приложимо).</w:t>
      </w:r>
    </w:p>
  </w:footnote>
  <w:footnote w:id="4">
    <w:p w14:paraId="4FB5DC88" w14:textId="77777777" w:rsidR="00DB040A" w:rsidRPr="009827AF" w:rsidRDefault="00DB040A" w:rsidP="00DB040A">
      <w:pPr>
        <w:pStyle w:val="FootnoteText"/>
        <w:jc w:val="both"/>
        <w:rPr>
          <w:rFonts w:ascii="Times New Roman" w:hAnsi="Times New Roman"/>
          <w:lang w:val="bg-BG"/>
        </w:rPr>
      </w:pPr>
      <w:r w:rsidRPr="009827AF">
        <w:rPr>
          <w:rStyle w:val="FootnoteReference"/>
          <w:rFonts w:ascii="Times New Roman" w:hAnsi="Times New Roman"/>
        </w:rPr>
        <w:footnoteRef/>
      </w:r>
      <w:r w:rsidRPr="00C47EB2">
        <w:rPr>
          <w:rFonts w:ascii="Times New Roman" w:hAnsi="Times New Roman"/>
          <w:lang w:val="bg-BG"/>
        </w:rPr>
        <w:t xml:space="preserve"> </w:t>
      </w:r>
      <w:r w:rsidRPr="009827AF">
        <w:rPr>
          <w:rFonts w:ascii="Times New Roman" w:hAnsi="Times New Roman"/>
          <w:lang w:val="bg-BG"/>
        </w:rPr>
        <w:t>Под стойност на активите следва да се разбира общата сума на активите (код на реда 04500, кол. 1) от Счетоводния баланс за съответната година, респективно Консолидирания счетоводен баланс (ако е приложимо).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CA7F" w14:textId="5D1579B4" w:rsidR="00E0449B" w:rsidRDefault="00E0449B">
    <w:pPr>
      <w:pStyle w:val="Header"/>
    </w:pPr>
  </w:p>
  <w:tbl>
    <w:tblPr>
      <w:tblW w:w="1020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5762"/>
    </w:tblGrid>
    <w:tr w:rsidR="00E0449B" w:rsidRPr="00030647" w14:paraId="1B85F0FE" w14:textId="77777777" w:rsidTr="00C876C4">
      <w:trPr>
        <w:trHeight w:val="684"/>
      </w:trPr>
      <w:tc>
        <w:tcPr>
          <w:tcW w:w="2621" w:type="dxa"/>
        </w:tcPr>
        <w:p w14:paraId="12073152" w14:textId="77777777" w:rsidR="00E0449B" w:rsidRPr="00030647" w:rsidRDefault="00E0449B" w:rsidP="00E0449B">
          <w:pPr>
            <w:jc w:val="center"/>
            <w:rPr>
              <w:snapToGrid w:val="0"/>
              <w:sz w:val="28"/>
              <w:szCs w:val="28"/>
              <w:lang w:val="en-GB"/>
            </w:rPr>
          </w:pPr>
          <w:r w:rsidRPr="00030647"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7C7B135E" wp14:editId="18A2E7D9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5" name="Picture 5" descr="Description: 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8FBDFB2" w14:textId="77777777" w:rsidR="00E0449B" w:rsidRPr="00030647" w:rsidRDefault="00E0449B" w:rsidP="00E0449B">
          <w:pPr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31C17F64" w14:textId="77777777" w:rsidR="00E0449B" w:rsidRPr="00030647" w:rsidRDefault="00E0449B" w:rsidP="00E0449B">
          <w:pPr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6740DCFE" w14:textId="77777777" w:rsidR="00E0449B" w:rsidRPr="00030647" w:rsidRDefault="00E0449B" w:rsidP="00E0449B">
          <w:pPr>
            <w:rPr>
              <w:b/>
              <w:snapToGrid w:val="0"/>
              <w:sz w:val="18"/>
              <w:szCs w:val="18"/>
              <w:lang w:val="en-GB"/>
            </w:rPr>
          </w:pPr>
          <w:r w:rsidRPr="00030647">
            <w:rPr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14:paraId="3E6AE8EB" w14:textId="77777777" w:rsidR="00E0449B" w:rsidRPr="00030647" w:rsidRDefault="00E0449B" w:rsidP="00E0449B">
          <w:pPr>
            <w:jc w:val="center"/>
            <w:rPr>
              <w:snapToGrid w:val="0"/>
              <w:lang w:val="en-GB"/>
            </w:rPr>
          </w:pPr>
        </w:p>
        <w:p w14:paraId="267667C0" w14:textId="77777777" w:rsidR="00E0449B" w:rsidRPr="00030647" w:rsidRDefault="00E0449B" w:rsidP="00E0449B">
          <w:pPr>
            <w:jc w:val="center"/>
            <w:rPr>
              <w:snapToGrid w:val="0"/>
              <w:lang w:val="en-GB"/>
            </w:rPr>
          </w:pPr>
        </w:p>
        <w:p w14:paraId="2776E534" w14:textId="77777777" w:rsidR="00E0449B" w:rsidRPr="00030647" w:rsidRDefault="00E0449B" w:rsidP="00E0449B">
          <w:pPr>
            <w:jc w:val="center"/>
            <w:rPr>
              <w:snapToGrid w:val="0"/>
              <w:lang w:val="en-GB"/>
            </w:rPr>
          </w:pPr>
        </w:p>
      </w:tc>
      <w:tc>
        <w:tcPr>
          <w:tcW w:w="5762" w:type="dxa"/>
        </w:tcPr>
        <w:p w14:paraId="1743B510" w14:textId="77777777" w:rsidR="00E0449B" w:rsidRPr="00030647" w:rsidRDefault="00E0449B" w:rsidP="00E0449B">
          <w:pPr>
            <w:tabs>
              <w:tab w:val="left" w:pos="2465"/>
              <w:tab w:val="left" w:pos="4804"/>
            </w:tabs>
            <w:ind w:left="697" w:right="182"/>
            <w:jc w:val="center"/>
            <w:rPr>
              <w:snapToGrid w:val="0"/>
              <w:lang w:val="en-GB"/>
            </w:rPr>
          </w:pPr>
          <w:r w:rsidRPr="00030647">
            <w:rPr>
              <w:noProof/>
              <w:lang w:eastAsia="bg-BG"/>
            </w:rPr>
            <w:drawing>
              <wp:inline distT="0" distB="0" distL="0" distR="0" wp14:anchorId="3CA53C7C" wp14:editId="2A0E33EB">
                <wp:extent cx="2286000" cy="931545"/>
                <wp:effectExtent l="0" t="0" r="0" b="190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CFA935" w14:textId="40D5972D" w:rsidR="00E0449B" w:rsidRDefault="00E0449B">
    <w:pPr>
      <w:pStyle w:val="Header"/>
    </w:pPr>
  </w:p>
  <w:p w14:paraId="4CCB5486" w14:textId="77777777" w:rsidR="00E0449B" w:rsidRDefault="00E044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92B15"/>
    <w:multiLevelType w:val="hybridMultilevel"/>
    <w:tmpl w:val="22FC7086"/>
    <w:lvl w:ilvl="0" w:tplc="89867F8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DF23D7"/>
    <w:multiLevelType w:val="hybridMultilevel"/>
    <w:tmpl w:val="2D986572"/>
    <w:lvl w:ilvl="0" w:tplc="63A64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C3537"/>
    <w:multiLevelType w:val="hybridMultilevel"/>
    <w:tmpl w:val="6EEA8A76"/>
    <w:lvl w:ilvl="0" w:tplc="439C344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97450"/>
    <w:multiLevelType w:val="hybridMultilevel"/>
    <w:tmpl w:val="400A2BE2"/>
    <w:lvl w:ilvl="0" w:tplc="F14CB40C">
      <w:start w:val="1"/>
      <w:numFmt w:val="decimal"/>
      <w:lvlText w:val="%1)"/>
      <w:lvlJc w:val="left"/>
      <w:pPr>
        <w:ind w:left="644" w:hanging="360"/>
      </w:pPr>
      <w:rPr>
        <w:b/>
        <w:color w:val="000000"/>
      </w:r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>
      <w:start w:val="1"/>
      <w:numFmt w:val="lowerRoman"/>
      <w:lvlText w:val="%3."/>
      <w:lvlJc w:val="right"/>
      <w:pPr>
        <w:ind w:left="1942" w:hanging="180"/>
      </w:pPr>
    </w:lvl>
    <w:lvl w:ilvl="3" w:tplc="0402000F">
      <w:start w:val="1"/>
      <w:numFmt w:val="decimal"/>
      <w:lvlText w:val="%4."/>
      <w:lvlJc w:val="left"/>
      <w:pPr>
        <w:ind w:left="2662" w:hanging="360"/>
      </w:pPr>
    </w:lvl>
    <w:lvl w:ilvl="4" w:tplc="04020019">
      <w:start w:val="1"/>
      <w:numFmt w:val="lowerLetter"/>
      <w:lvlText w:val="%5."/>
      <w:lvlJc w:val="left"/>
      <w:pPr>
        <w:ind w:left="3382" w:hanging="360"/>
      </w:pPr>
    </w:lvl>
    <w:lvl w:ilvl="5" w:tplc="0402001B">
      <w:start w:val="1"/>
      <w:numFmt w:val="lowerRoman"/>
      <w:lvlText w:val="%6."/>
      <w:lvlJc w:val="right"/>
      <w:pPr>
        <w:ind w:left="4102" w:hanging="180"/>
      </w:pPr>
    </w:lvl>
    <w:lvl w:ilvl="6" w:tplc="0402000F">
      <w:start w:val="1"/>
      <w:numFmt w:val="decimal"/>
      <w:lvlText w:val="%7."/>
      <w:lvlJc w:val="left"/>
      <w:pPr>
        <w:ind w:left="4822" w:hanging="360"/>
      </w:pPr>
    </w:lvl>
    <w:lvl w:ilvl="7" w:tplc="04020019">
      <w:start w:val="1"/>
      <w:numFmt w:val="lowerLetter"/>
      <w:lvlText w:val="%8."/>
      <w:lvlJc w:val="left"/>
      <w:pPr>
        <w:ind w:left="5542" w:hanging="360"/>
      </w:pPr>
    </w:lvl>
    <w:lvl w:ilvl="8" w:tplc="0402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BCD55BF"/>
    <w:multiLevelType w:val="hybridMultilevel"/>
    <w:tmpl w:val="36A0FCD6"/>
    <w:lvl w:ilvl="0" w:tplc="E848B9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C78580B"/>
    <w:multiLevelType w:val="hybridMultilevel"/>
    <w:tmpl w:val="E0CC7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DD"/>
    <w:rsid w:val="00027EA5"/>
    <w:rsid w:val="00043B4D"/>
    <w:rsid w:val="00070451"/>
    <w:rsid w:val="00073355"/>
    <w:rsid w:val="000841FE"/>
    <w:rsid w:val="000A3FAB"/>
    <w:rsid w:val="000B54FD"/>
    <w:rsid w:val="000B65F2"/>
    <w:rsid w:val="000C4689"/>
    <w:rsid w:val="000D20D1"/>
    <w:rsid w:val="000E43FA"/>
    <w:rsid w:val="000E470A"/>
    <w:rsid w:val="000F0F7B"/>
    <w:rsid w:val="0012476F"/>
    <w:rsid w:val="001247C4"/>
    <w:rsid w:val="00130DBA"/>
    <w:rsid w:val="00137A60"/>
    <w:rsid w:val="0014559E"/>
    <w:rsid w:val="0014646F"/>
    <w:rsid w:val="00171234"/>
    <w:rsid w:val="0017298A"/>
    <w:rsid w:val="00176872"/>
    <w:rsid w:val="001853E9"/>
    <w:rsid w:val="00186AF7"/>
    <w:rsid w:val="001910DF"/>
    <w:rsid w:val="0019669D"/>
    <w:rsid w:val="001B7B6F"/>
    <w:rsid w:val="001E074A"/>
    <w:rsid w:val="001E177C"/>
    <w:rsid w:val="001E4E09"/>
    <w:rsid w:val="0021259A"/>
    <w:rsid w:val="00214816"/>
    <w:rsid w:val="002205D1"/>
    <w:rsid w:val="00224100"/>
    <w:rsid w:val="00234082"/>
    <w:rsid w:val="00257083"/>
    <w:rsid w:val="002706C0"/>
    <w:rsid w:val="00280E85"/>
    <w:rsid w:val="002B12ED"/>
    <w:rsid w:val="002B3B7C"/>
    <w:rsid w:val="002D0F78"/>
    <w:rsid w:val="00312A29"/>
    <w:rsid w:val="00333F34"/>
    <w:rsid w:val="00370CC9"/>
    <w:rsid w:val="00381C56"/>
    <w:rsid w:val="003C7716"/>
    <w:rsid w:val="003E7AA3"/>
    <w:rsid w:val="003E7D42"/>
    <w:rsid w:val="00402E07"/>
    <w:rsid w:val="00406F7A"/>
    <w:rsid w:val="00451E7C"/>
    <w:rsid w:val="0047446D"/>
    <w:rsid w:val="004B1004"/>
    <w:rsid w:val="004B6C85"/>
    <w:rsid w:val="004C2E94"/>
    <w:rsid w:val="004C3414"/>
    <w:rsid w:val="004D40E0"/>
    <w:rsid w:val="004F07DA"/>
    <w:rsid w:val="004F5873"/>
    <w:rsid w:val="00504D07"/>
    <w:rsid w:val="0052477D"/>
    <w:rsid w:val="00543620"/>
    <w:rsid w:val="005653A4"/>
    <w:rsid w:val="005664CA"/>
    <w:rsid w:val="00573948"/>
    <w:rsid w:val="00581273"/>
    <w:rsid w:val="005C57D4"/>
    <w:rsid w:val="005C6B43"/>
    <w:rsid w:val="005E0319"/>
    <w:rsid w:val="005E16AE"/>
    <w:rsid w:val="005F7BCC"/>
    <w:rsid w:val="00601F60"/>
    <w:rsid w:val="00614062"/>
    <w:rsid w:val="00616F3F"/>
    <w:rsid w:val="00620676"/>
    <w:rsid w:val="0062156C"/>
    <w:rsid w:val="0063460B"/>
    <w:rsid w:val="00636608"/>
    <w:rsid w:val="00636839"/>
    <w:rsid w:val="00647716"/>
    <w:rsid w:val="00657F02"/>
    <w:rsid w:val="00661357"/>
    <w:rsid w:val="00665F99"/>
    <w:rsid w:val="006831DF"/>
    <w:rsid w:val="00686686"/>
    <w:rsid w:val="006929DD"/>
    <w:rsid w:val="00696256"/>
    <w:rsid w:val="006A4324"/>
    <w:rsid w:val="006D3158"/>
    <w:rsid w:val="007021CA"/>
    <w:rsid w:val="00705A6D"/>
    <w:rsid w:val="00722B6B"/>
    <w:rsid w:val="00724BAC"/>
    <w:rsid w:val="0072505C"/>
    <w:rsid w:val="007305DD"/>
    <w:rsid w:val="0074368B"/>
    <w:rsid w:val="00764722"/>
    <w:rsid w:val="00764B55"/>
    <w:rsid w:val="00775BA1"/>
    <w:rsid w:val="00777AE8"/>
    <w:rsid w:val="0078207F"/>
    <w:rsid w:val="0078291F"/>
    <w:rsid w:val="007B26E7"/>
    <w:rsid w:val="007B3234"/>
    <w:rsid w:val="007E354E"/>
    <w:rsid w:val="007E45D2"/>
    <w:rsid w:val="00803649"/>
    <w:rsid w:val="00813316"/>
    <w:rsid w:val="00814A2B"/>
    <w:rsid w:val="00832B16"/>
    <w:rsid w:val="008379D0"/>
    <w:rsid w:val="00850948"/>
    <w:rsid w:val="008977EC"/>
    <w:rsid w:val="008A6640"/>
    <w:rsid w:val="008C58D4"/>
    <w:rsid w:val="008D185D"/>
    <w:rsid w:val="008D20F7"/>
    <w:rsid w:val="008D2D4D"/>
    <w:rsid w:val="008E76FF"/>
    <w:rsid w:val="00910764"/>
    <w:rsid w:val="00911CAD"/>
    <w:rsid w:val="00920CA9"/>
    <w:rsid w:val="00920CFD"/>
    <w:rsid w:val="0092154E"/>
    <w:rsid w:val="00936A04"/>
    <w:rsid w:val="00952C2C"/>
    <w:rsid w:val="009553DD"/>
    <w:rsid w:val="00955BFD"/>
    <w:rsid w:val="009741AC"/>
    <w:rsid w:val="00996230"/>
    <w:rsid w:val="009B5790"/>
    <w:rsid w:val="009D609C"/>
    <w:rsid w:val="009E37C5"/>
    <w:rsid w:val="00A5393B"/>
    <w:rsid w:val="00A60167"/>
    <w:rsid w:val="00A64E00"/>
    <w:rsid w:val="00A66F5A"/>
    <w:rsid w:val="00A900A1"/>
    <w:rsid w:val="00AB2424"/>
    <w:rsid w:val="00AC39B7"/>
    <w:rsid w:val="00AD4D38"/>
    <w:rsid w:val="00AD72EF"/>
    <w:rsid w:val="00AD7EC9"/>
    <w:rsid w:val="00AE1A8E"/>
    <w:rsid w:val="00AE1F19"/>
    <w:rsid w:val="00AE4E97"/>
    <w:rsid w:val="00B00C03"/>
    <w:rsid w:val="00B0346C"/>
    <w:rsid w:val="00B101E9"/>
    <w:rsid w:val="00B1403E"/>
    <w:rsid w:val="00B14EF2"/>
    <w:rsid w:val="00B436FC"/>
    <w:rsid w:val="00BB6CF3"/>
    <w:rsid w:val="00BD5407"/>
    <w:rsid w:val="00C20D99"/>
    <w:rsid w:val="00C21A30"/>
    <w:rsid w:val="00C417E1"/>
    <w:rsid w:val="00C87C30"/>
    <w:rsid w:val="00C90EB8"/>
    <w:rsid w:val="00C91BA8"/>
    <w:rsid w:val="00C9532F"/>
    <w:rsid w:val="00CA22A9"/>
    <w:rsid w:val="00CA76D6"/>
    <w:rsid w:val="00CC176F"/>
    <w:rsid w:val="00CE00C3"/>
    <w:rsid w:val="00CE21DA"/>
    <w:rsid w:val="00CE54C9"/>
    <w:rsid w:val="00CF7FE7"/>
    <w:rsid w:val="00D040B7"/>
    <w:rsid w:val="00D054C7"/>
    <w:rsid w:val="00D103F2"/>
    <w:rsid w:val="00D16C62"/>
    <w:rsid w:val="00D30CC4"/>
    <w:rsid w:val="00D37C7E"/>
    <w:rsid w:val="00D436FD"/>
    <w:rsid w:val="00D74D96"/>
    <w:rsid w:val="00D75DA3"/>
    <w:rsid w:val="00D9336B"/>
    <w:rsid w:val="00DB040A"/>
    <w:rsid w:val="00DB4628"/>
    <w:rsid w:val="00DB46DE"/>
    <w:rsid w:val="00DC7951"/>
    <w:rsid w:val="00DD202C"/>
    <w:rsid w:val="00DD37C2"/>
    <w:rsid w:val="00DE27DB"/>
    <w:rsid w:val="00DE2B07"/>
    <w:rsid w:val="00DE5B80"/>
    <w:rsid w:val="00E00615"/>
    <w:rsid w:val="00E0125B"/>
    <w:rsid w:val="00E0449B"/>
    <w:rsid w:val="00E05674"/>
    <w:rsid w:val="00E44983"/>
    <w:rsid w:val="00E60237"/>
    <w:rsid w:val="00E66448"/>
    <w:rsid w:val="00E66742"/>
    <w:rsid w:val="00E703A3"/>
    <w:rsid w:val="00E7745B"/>
    <w:rsid w:val="00E916B5"/>
    <w:rsid w:val="00E95823"/>
    <w:rsid w:val="00EC4219"/>
    <w:rsid w:val="00ED03F9"/>
    <w:rsid w:val="00EE1B17"/>
    <w:rsid w:val="00EF5ADD"/>
    <w:rsid w:val="00F1299B"/>
    <w:rsid w:val="00F20B59"/>
    <w:rsid w:val="00F25980"/>
    <w:rsid w:val="00F4004F"/>
    <w:rsid w:val="00F84967"/>
    <w:rsid w:val="00F96D95"/>
    <w:rsid w:val="00FA2B97"/>
    <w:rsid w:val="00FA3B89"/>
    <w:rsid w:val="00FD0097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17E058"/>
  <w15:docId w15:val="{6C209BE6-75C2-4256-B6B3-80F74E1E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A7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305DD"/>
    <w:pPr>
      <w:spacing w:after="0" w:line="240" w:lineRule="auto"/>
    </w:pPr>
    <w:rPr>
      <w:kern w:val="2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7305DD"/>
    <w:rPr>
      <w:kern w:val="2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7305D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14816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16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6C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16C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C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16C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E43FA"/>
    <w:rPr>
      <w:sz w:val="22"/>
      <w:szCs w:val="22"/>
      <w:lang w:eastAsia="en-US"/>
    </w:rPr>
  </w:style>
  <w:style w:type="paragraph" w:customStyle="1" w:styleId="Default">
    <w:name w:val="Default"/>
    <w:rsid w:val="00764B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C7951"/>
    <w:pPr>
      <w:spacing w:before="200" w:line="276" w:lineRule="auto"/>
      <w:ind w:left="864" w:right="864"/>
      <w:jc w:val="center"/>
    </w:pPr>
    <w:rPr>
      <w:i/>
      <w:iCs/>
      <w:color w:val="404040"/>
      <w:lang w:val="x-none"/>
    </w:rPr>
  </w:style>
  <w:style w:type="character" w:customStyle="1" w:styleId="QuoteChar">
    <w:name w:val="Quote Char"/>
    <w:link w:val="Quote"/>
    <w:uiPriority w:val="29"/>
    <w:rsid w:val="00DC7951"/>
    <w:rPr>
      <w:i/>
      <w:iCs/>
      <w:color w:val="404040"/>
      <w:sz w:val="22"/>
      <w:szCs w:val="22"/>
      <w:lang w:val="x-none" w:eastAsia="en-US"/>
    </w:rPr>
  </w:style>
  <w:style w:type="table" w:styleId="TableGrid">
    <w:name w:val="Table Grid"/>
    <w:basedOn w:val="TableNormal"/>
    <w:uiPriority w:val="39"/>
    <w:rsid w:val="00DB040A"/>
    <w:rPr>
      <w:kern w:val="2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4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1F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84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1F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2FF95-AB11-415E-BF98-75942609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2268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AIgnatova</cp:lastModifiedBy>
  <cp:revision>4</cp:revision>
  <cp:lastPrinted>2023-08-25T09:02:00Z</cp:lastPrinted>
  <dcterms:created xsi:type="dcterms:W3CDTF">2023-10-11T10:19:00Z</dcterms:created>
  <dcterms:modified xsi:type="dcterms:W3CDTF">2023-10-13T06:42:00Z</dcterms:modified>
</cp:coreProperties>
</file>