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593" w:type="dxa"/>
        <w:tblLayout w:type="fixed"/>
        <w:tblLook w:val="01E0" w:firstRow="1" w:lastRow="1" w:firstColumn="1" w:lastColumn="1" w:noHBand="0" w:noVBand="0"/>
      </w:tblPr>
      <w:tblGrid>
        <w:gridCol w:w="570"/>
        <w:gridCol w:w="960"/>
        <w:gridCol w:w="421"/>
        <w:gridCol w:w="1413"/>
        <w:gridCol w:w="1987"/>
        <w:gridCol w:w="2524"/>
        <w:gridCol w:w="7434"/>
        <w:gridCol w:w="284"/>
      </w:tblGrid>
      <w:tr w:rsidR="00150F1D" w:rsidRPr="0024371C" w:rsidTr="007D201F">
        <w:trPr>
          <w:gridAfter w:val="1"/>
          <w:wAfter w:w="284" w:type="dxa"/>
          <w:trHeight w:val="928"/>
        </w:trPr>
        <w:tc>
          <w:tcPr>
            <w:tcW w:w="1530" w:type="dxa"/>
            <w:gridSpan w:val="2"/>
          </w:tcPr>
          <w:p w:rsidR="00150F1D" w:rsidRPr="0024371C" w:rsidRDefault="00150F1D" w:rsidP="004740DC">
            <w:pPr>
              <w:spacing w:after="0" w:line="240" w:lineRule="auto"/>
              <w:rPr>
                <w:rFonts w:ascii="Times New Roman" w:hAnsi="Times New Roman" w:cs="Times New Roman"/>
                <w:b/>
                <w:sz w:val="20"/>
                <w:szCs w:val="20"/>
              </w:rPr>
            </w:pPr>
          </w:p>
        </w:tc>
        <w:tc>
          <w:tcPr>
            <w:tcW w:w="1834" w:type="dxa"/>
            <w:gridSpan w:val="2"/>
          </w:tcPr>
          <w:p w:rsidR="00150F1D" w:rsidRPr="0024371C" w:rsidRDefault="00150F1D" w:rsidP="004740DC">
            <w:pPr>
              <w:spacing w:after="0" w:line="240" w:lineRule="auto"/>
              <w:jc w:val="center"/>
              <w:rPr>
                <w:rFonts w:ascii="Times New Roman" w:hAnsi="Times New Roman" w:cs="Times New Roman"/>
                <w:b/>
                <w:color w:val="808080"/>
                <w:sz w:val="20"/>
                <w:szCs w:val="20"/>
              </w:rPr>
            </w:pPr>
          </w:p>
        </w:tc>
        <w:tc>
          <w:tcPr>
            <w:tcW w:w="1987" w:type="dxa"/>
          </w:tcPr>
          <w:p w:rsidR="00150F1D" w:rsidRPr="0024371C" w:rsidRDefault="00150F1D" w:rsidP="004740DC">
            <w:pPr>
              <w:spacing w:after="0" w:line="240" w:lineRule="auto"/>
              <w:jc w:val="center"/>
              <w:rPr>
                <w:rFonts w:ascii="Times New Roman" w:hAnsi="Times New Roman" w:cs="Times New Roman"/>
                <w:b/>
                <w:color w:val="808080"/>
                <w:sz w:val="20"/>
                <w:szCs w:val="20"/>
              </w:rPr>
            </w:pPr>
          </w:p>
        </w:tc>
        <w:tc>
          <w:tcPr>
            <w:tcW w:w="9958" w:type="dxa"/>
            <w:gridSpan w:val="2"/>
          </w:tcPr>
          <w:p w:rsidR="00150F1D" w:rsidRPr="0024371C" w:rsidRDefault="00150F1D" w:rsidP="004740DC">
            <w:pPr>
              <w:spacing w:after="0" w:line="240" w:lineRule="auto"/>
              <w:jc w:val="both"/>
              <w:rPr>
                <w:rFonts w:ascii="Times New Roman" w:hAnsi="Times New Roman" w:cs="Times New Roman"/>
                <w:b/>
                <w:sz w:val="20"/>
                <w:szCs w:val="20"/>
              </w:rPr>
            </w:pPr>
          </w:p>
        </w:tc>
      </w:tr>
      <w:tr w:rsidR="0040322A" w:rsidRPr="002E6D76" w:rsidTr="007D20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blHeader/>
        </w:trPr>
        <w:tc>
          <w:tcPr>
            <w:tcW w:w="570" w:type="dxa"/>
            <w:shd w:val="clear" w:color="auto" w:fill="D9D9D9" w:themeFill="background1" w:themeFillShade="D9"/>
          </w:tcPr>
          <w:p w:rsidR="0040322A" w:rsidRPr="002E6D76" w:rsidRDefault="0040322A" w:rsidP="00D823C5">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gridSpan w:val="2"/>
            <w:shd w:val="clear" w:color="auto" w:fill="D9D9D9" w:themeFill="background1" w:themeFillShade="D9"/>
          </w:tcPr>
          <w:p w:rsidR="0040322A" w:rsidRPr="002E6D76" w:rsidRDefault="0040322A" w:rsidP="00D823C5">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gridSpan w:val="3"/>
            <w:shd w:val="clear" w:color="auto" w:fill="D9D9D9" w:themeFill="background1" w:themeFillShade="D9"/>
          </w:tcPr>
          <w:p w:rsidR="0040322A" w:rsidRPr="002E6D76" w:rsidRDefault="0040322A" w:rsidP="00D823C5">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8" w:type="dxa"/>
            <w:gridSpan w:val="2"/>
            <w:shd w:val="clear" w:color="auto" w:fill="D9D9D9" w:themeFill="background1" w:themeFillShade="D9"/>
          </w:tcPr>
          <w:p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rsidTr="007D20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593" w:type="dxa"/>
            <w:gridSpan w:val="8"/>
            <w:shd w:val="clear" w:color="auto" w:fill="auto"/>
          </w:tcPr>
          <w:p w:rsidR="0040322A" w:rsidRPr="002E6D76" w:rsidRDefault="004A280E" w:rsidP="002444DC">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7D201F" w:rsidRPr="007D201F">
              <w:rPr>
                <w:rFonts w:ascii="Times New Roman" w:hAnsi="Times New Roman"/>
                <w:b/>
              </w:rPr>
              <w:t>15.08.2023</w:t>
            </w:r>
            <w:r w:rsidR="007D201F">
              <w:rPr>
                <w:rFonts w:ascii="Times New Roman" w:hAnsi="Times New Roman"/>
                <w:b/>
              </w:rPr>
              <w:t xml:space="preserve"> </w:t>
            </w:r>
            <w:r w:rsidR="00D65E90" w:rsidRPr="002E6D76">
              <w:rPr>
                <w:rFonts w:ascii="Times New Roman" w:hAnsi="Times New Roman"/>
                <w:b/>
              </w:rPr>
              <w:t>г.</w:t>
            </w:r>
          </w:p>
        </w:tc>
      </w:tr>
      <w:tr w:rsidR="00D823C5" w:rsidRPr="00D823C5" w:rsidTr="007D20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70" w:type="dxa"/>
            <w:shd w:val="clear" w:color="auto" w:fill="auto"/>
          </w:tcPr>
          <w:p w:rsidR="00D823C5" w:rsidRPr="00D823C5" w:rsidRDefault="007D201F" w:rsidP="00D823C5">
            <w:pPr>
              <w:autoSpaceDE w:val="0"/>
              <w:autoSpaceDN w:val="0"/>
              <w:adjustRightInd w:val="0"/>
              <w:jc w:val="both"/>
              <w:rPr>
                <w:rFonts w:ascii="Times New Roman" w:hAnsi="Times New Roman"/>
                <w:sz w:val="19"/>
                <w:szCs w:val="19"/>
              </w:rPr>
            </w:pPr>
            <w:r>
              <w:rPr>
                <w:rFonts w:ascii="Times New Roman" w:hAnsi="Times New Roman"/>
                <w:sz w:val="19"/>
                <w:szCs w:val="19"/>
              </w:rPr>
              <w:t>22</w:t>
            </w:r>
          </w:p>
        </w:tc>
        <w:tc>
          <w:tcPr>
            <w:tcW w:w="1381" w:type="dxa"/>
            <w:gridSpan w:val="2"/>
            <w:shd w:val="clear" w:color="auto" w:fill="auto"/>
          </w:tcPr>
          <w:p w:rsidR="00D823C5" w:rsidRPr="00D823C5" w:rsidRDefault="007D201F" w:rsidP="00D823C5">
            <w:pPr>
              <w:autoSpaceDE w:val="0"/>
              <w:autoSpaceDN w:val="0"/>
              <w:adjustRightInd w:val="0"/>
              <w:spacing w:after="0" w:line="240" w:lineRule="auto"/>
              <w:rPr>
                <w:rFonts w:ascii="Times New Roman" w:hAnsi="Times New Roman" w:cs="Times New Roman"/>
                <w:sz w:val="19"/>
                <w:szCs w:val="19"/>
              </w:rPr>
            </w:pPr>
            <w:r w:rsidRPr="007D201F">
              <w:rPr>
                <w:rFonts w:ascii="Times New Roman" w:hAnsi="Times New Roman" w:cs="Times New Roman"/>
                <w:sz w:val="20"/>
                <w:szCs w:val="20"/>
              </w:rPr>
              <w:t>15.08.2023</w:t>
            </w:r>
          </w:p>
        </w:tc>
        <w:tc>
          <w:tcPr>
            <w:tcW w:w="5924" w:type="dxa"/>
            <w:gridSpan w:val="3"/>
            <w:shd w:val="clear" w:color="auto" w:fill="auto"/>
          </w:tcPr>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Моля за следните разяснения относно правилата и условията за участие по процедурата. Дружество - оператор на индустриален парк и потенциален кандидат по процедурата, е собственост на община с дял 35% и на дружество Х с дял 65%.</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1. Кое лице или лица следва да се разглеждат като собственик на индустриалния парк в посочената хипотеза?</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1.1. Кое лице или лица следва да се разглеждат като собственик на индустриалния парк, ако дялове в собствеността на оператора имат и трети (частни) лица, а също и самото дружество-оператор?</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1.2. Кой следва да се разглежда и определя като собственик на индустриалния парк и кое лице следва да представи писмо за подкрепа в случаите, когато собствеността е поделена, съгласно описаното разделение на дяловете по-горе?</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2. Понятията „едно и също предприятие“ и „единен инвестиционен проект“ са част от съответните регламенти за предоставяне на държавни помощи (де минимис и ОРГО), а свързани предприятия и предприятия-партньори са дефинирани в ЗМСП. Понятието за „група предприятия“ е въведено с приложение 11 към Условията за участие в настоящата процедура и не съвпада с нито една от изброените дефиниции. В тази връзка, моля за разяснение на определението за група предприятия, с оглед на описаните правила за изисквани минимални нетни приходи от продажби в раздел 6.1., т. 6 и 7 от Условията за участие.</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2.1. В случай, че дружеството кандидат е собственост на община и дружество Х, попадат ли в понятието група предприятия:</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 Други предприятия, в които общината има дял над 25%, респективно над 50%?</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 дружество Х?</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 Други предприятия, в които дружество Х има дял над 25%, респективно над 50%?</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 xml:space="preserve">2.2. При условие, че дружество Х е станало съдружник в дружеството оператор през 2022 г., то допустимо ли е данните на дружество Х (и други свързани с него дружества – група предприятия) да се добавят към данните на кандидата: а) за 2022 г. и б) за всяка от годините, включени в тригодишния период 2020 – 2022 г. ? </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3. В Условията за участие е посочено, че общите допустими разходи по предложението за изпълнение на инвестиции трябва да бъдат съфинансирани чрез собствени средства на кандидата или със средства от външни източници при пазарни условия, които средства изключват всякаква публична подкрепа. Собственото участие от страна на кандидата следва да бъде включено в бюджета на предложението за изпълнение на инвестиции и трябва да бъде осигурено за сметка на оборотни средства/стопанска дейност на кандидата с източници извън бюджета на фондове на ЕС и/или националния бюджет.</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3.1. Допустимо ли е съответните средства да бъдат осигурени посредством увеличаване на капитала на дружеството – кандидат от страна на неговите собственици (община, дружество Х, трети лица) или посредством отпускане на безлихвен заем от страна на общината, която участва в собствеността на дружеството?</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3.2. На следващо място, моля за разяснение, дали посоченото условие за осигуряване на собствени средства за финансиране е приложимо само за дейност 3 от Условията за участие (която е в режим регионална инвестиционна помощ) или е относимо и за дейности 1 и 2?</w:t>
            </w:r>
          </w:p>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p>
          <w:p w:rsidR="00D823C5" w:rsidRPr="00D823C5"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19"/>
              </w:rPr>
            </w:pPr>
            <w:r w:rsidRPr="007D201F">
              <w:rPr>
                <w:rFonts w:ascii="Times New Roman" w:hAnsi="Times New Roman" w:cs="Times New Roman"/>
                <w:sz w:val="20"/>
                <w:szCs w:val="19"/>
              </w:rPr>
              <w:t>4. Ще се счита ли за единен инвестиционен проект и има ли други ограничения по отношение на допустимостта на кандидатите в хипотезата, при която самите кандидати (оператори на индустриални паркове) са различни юридически лица, но собственик на няколко дружества – кандидати в процедурата, с дял над 50% е дружество Х?</w:t>
            </w:r>
          </w:p>
        </w:tc>
        <w:tc>
          <w:tcPr>
            <w:tcW w:w="7718" w:type="dxa"/>
            <w:gridSpan w:val="2"/>
            <w:shd w:val="clear" w:color="auto" w:fill="auto"/>
          </w:tcPr>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1. Обстоятелството кой/кои е/са собственик/собственици на дружеството – оператор (потенциален кандидат по процедурата) не касае пряко собствеността на индустриалния парк (ИП). От една страна, от зададения въпрос не става ясно дали дружеството-оператор е и собственик на ИП. От друга страна, собствеността върху дружеството-собственик и върху дружеството-оператор, в случай че собственикът и операторът са различни юридически лица, са отделни обстоятелства, които нямат отношение към собствеността върху ИП. Наличието на публична (общинска и/или държавна) собственост в капитала на юридическото лице - оператор на ИП, който би бил кандидат по настоящата процедура, има отношение към определянето на категорията предприятие на кандидата - МСП или голямо предприятие.</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1.1. По отношение на въпроса кое лице или лица следва да се разглеждат като собственик на индустриалния парк, следва да се има предвид определението за „Собственик на индустриален парк/зона“, посочено в Списък със съкращения и определения“ (Приложение 11) от Условията за кандидатстване (УК), а именно:</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„Собственикът на индустриалния парк/зона осигурява организационните, устройствените и техническите условия за създаването, изграждането, функционирането и развитието на парка/зоната.</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Собственик на индустриален парк/зона може да бъде държавата и/или една или повече общини, както и юридическо лице, регистрирано като търговец по смисъла на Търговския закон, или техни обединения.</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Държавата и/или една или повече общини могат да участват в юридически лица или техни обединения с блокираща квота по чл. 57а, ал. 2 от Закона за държавната собственост, съответно по чл. 51б, ал. 2 от Закона за общинската собственост, когато участието им е равно или по-голямо от 30 на сто.“</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Собственик на ИП e лицето, което при създаването на парка и впоследствие притежава правото на собственост върху имотите на територията му, определена с подробен устройствен план (ПУП), и съответно има право да ги продава, отдава под наем или да учредява върху тях ограничени вещни права в полза на други лица (чл. 13, ал. 1 и чл. 14 от Закона за индустриалните паркове - ЗИП). Предвид изложеното, в УК се изисква на етап кандидатстване предоставянето на ПУП, от който е видно кое лице притежава правото на собственост върху имотите на територията на ИП.</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 xml:space="preserve">Когато собственик е юридическо лице, собствеността в капитала на това лице от други юридически и/или физически лица, не променя факта, че собственик е юридическото лице - собственик на имотите на територията на ИП. От зададения въпрос не става ясно дали собствеността на имотите на територията на ИП принадлежи на дружеството-оператор, на основание чл. 13, ал. 2 от ЗИП, при условие че дружество Х е публично предприятие, съответно дружеството-оператор като негово дъщерно дружество също е публично предприятие на основание чл. 2, ал. 1, т. 2 от Закона за публичните предприятия, или на друго лице и на друго основание. В случай, че е изпълнена хипотезата на чл. 13, ал. 2 от ЗИП или на друго основание операторът е и собственик на ИП, то собственик на ИП би било дружеството оператор. </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1.2. Писмо за подкрепа е необходимо в случаите, когато собственикът и операторът са различни лица. В този случай, писмото за подкрепа се издава от името на юридическото лице - собственик на ИП, а не от лице/лица, което/които има(т) собственост в капитала на юридическото лице - собственик. В случай, че собствеността на даден ИП е поделена между няколко лица, то кандидатът следва да представи писмо за подкрепа от всички лица, собственици на съответния ИП.</w:t>
            </w:r>
          </w:p>
          <w:p w:rsidR="007D201F" w:rsidRPr="007D201F" w:rsidRDefault="007D201F" w:rsidP="007D201F">
            <w:pPr>
              <w:tabs>
                <w:tab w:val="left" w:pos="240"/>
              </w:tabs>
              <w:spacing w:after="60" w:line="240" w:lineRule="auto"/>
              <w:jc w:val="both"/>
              <w:rPr>
                <w:rFonts w:ascii="Times New Roman" w:hAnsi="Times New Roman"/>
                <w:bCs/>
                <w:sz w:val="20"/>
                <w:szCs w:val="19"/>
              </w:rPr>
            </w:pP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2. Предвид, че поставеният въпрос касае конкретен кандидат, следва да имате предвид, че съгласно чл. 5, ал. 7 от ПМС № 114/2022 г. разясненията се дават по отношение на УК и не съдържат становище относно качеството на предложението за изпълнение на инвестиции.  При оценка на постъпилите предложения за изпълнение на инвестиции, оценителната комисия ще извърши проверка за независимост, партньорство или свързаност за всеки кандидат, съгласно Указания за попълване на Декларацията за обстоятелствата по чл. 3 и чл. 4 от Закона за малките и средните предприятия (ЗМСП), с цел определяне на размера (категорията) на предприятието-кандидат, както и ще провери дали са изпълнени условията за „единен инвестиционен проект“ по чл. 14, пар. 13 от Регламент (ЕС) № 651/2014) и за „едно и също предприятие“ по смисъла на чл. 2, пар. 2 на Регламент (ЕС) № 1407/2013.</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По отношение на определението за „група предприятия“ във връзка с изискването за минимални нетни приходи от продажби в раздел 6.1, т. 6 и т. 7 от УК, следва да имате предвид:</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2.1. Съгласно отговор на Европейската комисия (ЕК) в eState Аid WIKI към Чехия oт 10.03.2016 г. относно дефиницията на понятието „на равнище група“ в чл. 14, пар. 13 от Регламент (ЕС) № 651/2014 (ОРГО), в частност дали „група“ е равнозначно на „едно и също предприятие“ съгласно чл. 2, пар. 2 от Регламент (ЕС) № 1407/2013, дефиницията на „едно и също предприятие“ от гледна точка на правилата за държавни помощи de minimis представлява опростен вариант на критериите, базирани на съдебната практика, използвани за определяне дали няколко предприятия формират част от единно икономическо формирование (група). За целите на ОРГО, понятието „група“ следва да се разбира като единна икономическа единица с общ източник на контрол. Следователно, за да се определи кои лица попадат в обхвата на един единен икономически субект (група) за целите на ОРГО, в допълнение към de jure критериите на Регламент (ЕС) № 1407/2013 относно „едно и също предприятие“, финансиращият орган следва също така да вземе предвид и de facto критериите за упражняване на контрол, като контрол посредством физически лица, вкл. свързаност чрез чуждестранно предприятие-майка.</w:t>
            </w:r>
          </w:p>
          <w:p w:rsidR="007D201F" w:rsidRPr="007D201F"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 xml:space="preserve">Във връзка с отговора на ЕК и предвид определението за „едно и също предприятие“ съгласно чл. 2, пар. 2 от Регламент (ЕС) № 1407/2013, когато трябва да се установи принадлежността на предприятия към „група“ с цел определяне на праговете за минимални нетни приходи от продажби в раздел 6.1, т. 6 и т. 7 от УК, ще се вземат предвид правилата за определяне на „свързани предприятия“ съгласно чл. 3, пар. 3 от Приложение I на ОРГО, съответно възпроизведени в нормите на чл. 4, алинеи 5-8 от ЗМСП. Когато предприятието кандидат е „свързано“ по смисъла на чл. 3, пар. 3 от Приложение I на ОРГО с други предприятия посредством публичен орган (например община), за изчисление на праговете, посочени в раздел 6.1, т. 6 и т. 7 от УК, ще се вземе предвид сумата на нетните приходи от продажби за предприятието-кандидат и предприятията, с които то е свързано в група, включително чрез физически лица и включително предприятията, които са свързани в група с кандидата чрез публичния орган, т.е. търговски дружества, в които публичният орган има над 50% участие в капитала. </w:t>
            </w:r>
          </w:p>
          <w:p w:rsidR="00D823C5" w:rsidRPr="00D823C5" w:rsidRDefault="007D201F" w:rsidP="007D201F">
            <w:pPr>
              <w:tabs>
                <w:tab w:val="left" w:pos="240"/>
              </w:tabs>
              <w:spacing w:after="60" w:line="240" w:lineRule="auto"/>
              <w:jc w:val="both"/>
              <w:rPr>
                <w:rFonts w:ascii="Times New Roman" w:hAnsi="Times New Roman"/>
                <w:bCs/>
                <w:sz w:val="20"/>
                <w:szCs w:val="19"/>
              </w:rPr>
            </w:pPr>
            <w:r w:rsidRPr="007D201F">
              <w:rPr>
                <w:rFonts w:ascii="Times New Roman" w:hAnsi="Times New Roman"/>
                <w:bCs/>
                <w:sz w:val="20"/>
                <w:szCs w:val="19"/>
              </w:rPr>
              <w:t>2.2. Нетните приходи от продажби на предприятие, което е част от групата, се вземат предвид независимо от момента на включване на даденото предприятие в групата. Това е така, защото целта на тази проверка е да се установи дали кандидатите имат финансов капацитет („стабилни и достатъчни източници на финансиране за поддържане на своята дейност през целия период, за който се отпускат безвъзмездните средства, и за участие в нейното финансиране“) по смисъла на чл. 198, пар. 2 във връзка с чл. 196, пар. 1, б. „в“ от Регламент (ЕС) 2018/1046. Финансовият капацитет се определя на база на нетните приходи от продажби на предприятията в групата и не зависи от момента, в който дадено предприятие се е включило в групата.</w:t>
            </w:r>
          </w:p>
        </w:tc>
      </w:tr>
      <w:tr w:rsidR="007D201F" w:rsidRPr="00273591" w:rsidTr="00701F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70" w:type="dxa"/>
            <w:shd w:val="clear" w:color="auto" w:fill="auto"/>
          </w:tcPr>
          <w:p w:rsidR="007D201F" w:rsidRPr="00273591" w:rsidRDefault="007D201F" w:rsidP="00701FAC">
            <w:pPr>
              <w:autoSpaceDE w:val="0"/>
              <w:autoSpaceDN w:val="0"/>
              <w:adjustRightInd w:val="0"/>
              <w:jc w:val="both"/>
              <w:rPr>
                <w:rFonts w:ascii="Times New Roman" w:hAnsi="Times New Roman"/>
                <w:sz w:val="20"/>
                <w:szCs w:val="24"/>
              </w:rPr>
            </w:pPr>
            <w:r>
              <w:rPr>
                <w:rFonts w:ascii="Times New Roman" w:hAnsi="Times New Roman"/>
                <w:sz w:val="20"/>
                <w:szCs w:val="24"/>
              </w:rPr>
              <w:t>23</w:t>
            </w:r>
          </w:p>
        </w:tc>
        <w:tc>
          <w:tcPr>
            <w:tcW w:w="1381" w:type="dxa"/>
            <w:gridSpan w:val="2"/>
            <w:shd w:val="clear" w:color="auto" w:fill="auto"/>
          </w:tcPr>
          <w:p w:rsidR="007D201F" w:rsidRPr="00273591" w:rsidRDefault="007D201F" w:rsidP="00701FAC">
            <w:pPr>
              <w:autoSpaceDE w:val="0"/>
              <w:autoSpaceDN w:val="0"/>
              <w:adjustRightInd w:val="0"/>
              <w:spacing w:after="0" w:line="240" w:lineRule="auto"/>
              <w:rPr>
                <w:rFonts w:ascii="Times New Roman" w:hAnsi="Times New Roman" w:cs="Times New Roman"/>
                <w:color w:val="333333"/>
                <w:sz w:val="20"/>
                <w:szCs w:val="20"/>
                <w:shd w:val="clear" w:color="auto" w:fill="FFFFFF"/>
              </w:rPr>
            </w:pPr>
            <w:r w:rsidRPr="007D201F">
              <w:rPr>
                <w:rFonts w:ascii="Times New Roman" w:hAnsi="Times New Roman" w:cs="Times New Roman"/>
                <w:sz w:val="20"/>
                <w:szCs w:val="20"/>
              </w:rPr>
              <w:t>15.08.2023</w:t>
            </w:r>
          </w:p>
        </w:tc>
        <w:tc>
          <w:tcPr>
            <w:tcW w:w="5924" w:type="dxa"/>
            <w:gridSpan w:val="3"/>
            <w:shd w:val="clear" w:color="auto" w:fill="auto"/>
          </w:tcPr>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i/>
                <w:sz w:val="20"/>
                <w:szCs w:val="24"/>
              </w:rPr>
            </w:pPr>
            <w:r w:rsidRPr="007D201F">
              <w:rPr>
                <w:rFonts w:ascii="Times New Roman" w:hAnsi="Times New Roman" w:cs="Times New Roman"/>
                <w:i/>
                <w:sz w:val="20"/>
                <w:szCs w:val="24"/>
              </w:rPr>
              <w:t>Продължение на въпрос № 22:</w:t>
            </w:r>
          </w:p>
          <w:p w:rsidR="007D201F" w:rsidRPr="007D201F"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r w:rsidRPr="007D201F">
              <w:rPr>
                <w:rFonts w:ascii="Times New Roman" w:hAnsi="Times New Roman" w:cs="Times New Roman"/>
                <w:sz w:val="20"/>
                <w:szCs w:val="24"/>
              </w:rPr>
              <w:t>3. В Условията за участие е посочено, че общите допустими разходи по предложението за изпълнение на инвестиции трябва да бъдат съфинансирани чрез собствени средства на кандидата или със средства от външни източници при пазарни условия, които средства изключват всякаква публична подкрепа. Собственото участие от страна на кандидата следва да бъде включено в бюджета на предложението за изпълнение на инвестиции и трябва да бъде осигурено за сметка на оборотни средства/стопанска дейност на кандидата с източници извън бюджета на фондове на ЕС и/или националния бюджет.</w:t>
            </w:r>
          </w:p>
          <w:p w:rsidR="007D201F" w:rsidRPr="007D201F"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r w:rsidRPr="007D201F">
              <w:rPr>
                <w:rFonts w:ascii="Times New Roman" w:hAnsi="Times New Roman" w:cs="Times New Roman"/>
                <w:sz w:val="20"/>
                <w:szCs w:val="24"/>
              </w:rPr>
              <w:t>3.1. Допустимо ли е съответните средства да бъдат осигурени посредством увеличаване на капитала на дружеството – кандидат от страна на неговите собственици (община, дружество Х, трети лица) или посредством отпускане на безлихвен заем от страна на общината, която участва в собствеността на дружеството?</w:t>
            </w:r>
          </w:p>
          <w:p w:rsidR="007D201F" w:rsidRPr="007D201F"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r w:rsidRPr="007D201F">
              <w:rPr>
                <w:rFonts w:ascii="Times New Roman" w:hAnsi="Times New Roman" w:cs="Times New Roman"/>
                <w:sz w:val="20"/>
                <w:szCs w:val="24"/>
              </w:rPr>
              <w:t>3.2. На следващо място, моля за разяснение, дали посоченото условие за осигуряване на собствени средства за финансиране е приложимо само за дейност 3 от Условията за участие (която е в режим регионална инвестиционна помощ) или е относимо и за дейности 1 и 2?</w:t>
            </w:r>
          </w:p>
          <w:p w:rsidR="007D201F" w:rsidRPr="007D201F"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p>
          <w:p w:rsidR="007D201F" w:rsidRPr="00273591"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p>
        </w:tc>
        <w:tc>
          <w:tcPr>
            <w:tcW w:w="7718" w:type="dxa"/>
            <w:gridSpan w:val="2"/>
            <w:shd w:val="clear" w:color="auto" w:fill="auto"/>
          </w:tcPr>
          <w:p w:rsidR="007D201F" w:rsidRPr="007D201F" w:rsidRDefault="007D201F" w:rsidP="00701FAC">
            <w:pPr>
              <w:pStyle w:val="FootnoteText"/>
              <w:spacing w:after="60"/>
              <w:rPr>
                <w:rFonts w:ascii="Times New Roman" w:hAnsi="Times New Roman"/>
                <w:szCs w:val="24"/>
              </w:rPr>
            </w:pPr>
            <w:r w:rsidRPr="007D201F">
              <w:rPr>
                <w:rFonts w:ascii="Times New Roman" w:hAnsi="Times New Roman"/>
                <w:szCs w:val="24"/>
              </w:rPr>
              <w:t xml:space="preserve">3. По отношение на съфинансирането на общите допустими разходи чрез собствени средства на кандидата или със средства от външни източници при пазарни условия, които средства изключват всякаква публична подкрепа, в т. 16) от Раздел 16 „Списък на документите, които се подават на етап кандидатстване“ от УК, като необходима документация, която кандидатът следва да представи, са посочени „Документи, удостоверяващи възможностите и източниците за финансиране на инвестицията: а) собствени средства; б) договори за заем; в) банкови и други гаранции; г) други документи с еквивалентна доказателствена стойност“. </w:t>
            </w:r>
          </w:p>
          <w:p w:rsidR="007D201F" w:rsidRPr="007D201F" w:rsidRDefault="007D201F" w:rsidP="00701FAC">
            <w:pPr>
              <w:pStyle w:val="FootnoteText"/>
              <w:spacing w:after="60"/>
              <w:rPr>
                <w:rFonts w:ascii="Times New Roman" w:hAnsi="Times New Roman"/>
                <w:szCs w:val="24"/>
              </w:rPr>
            </w:pPr>
            <w:r w:rsidRPr="007D201F">
              <w:rPr>
                <w:rFonts w:ascii="Times New Roman" w:hAnsi="Times New Roman"/>
                <w:szCs w:val="24"/>
              </w:rPr>
              <w:t xml:space="preserve">3.1. Предвид изискването, относимо към Дейност 3 от настоящата процедура (в режим регионална инвестиционна помощ), средствата от външни източници, вкл. заеми и банкови гаранции, да бъдат предоставени при пазарни условия, които изключват всякаква публична подкрепа, отпускане на безлихвен заем от страна на общината е недопустимо, тъй като такъв заем не отговаря на изискването да бъде предоставен при пазарни условия и представлява публична подкрепа. Допустимо е средствата да бъдат осигурени посредством увеличаване на капитала на предприятието – кандидат от страна на неговите собственици, като по отношение на Дейност 3 това увеличение на капитала не трябва да включва публична подкрепа. </w:t>
            </w:r>
          </w:p>
          <w:p w:rsidR="007D201F" w:rsidRPr="007D201F" w:rsidRDefault="007D201F" w:rsidP="00701FAC">
            <w:pPr>
              <w:pStyle w:val="FootnoteText"/>
              <w:spacing w:after="60"/>
              <w:rPr>
                <w:rFonts w:ascii="Times New Roman" w:hAnsi="Times New Roman"/>
                <w:szCs w:val="24"/>
              </w:rPr>
            </w:pPr>
            <w:r w:rsidRPr="007D201F">
              <w:rPr>
                <w:rFonts w:ascii="Times New Roman" w:hAnsi="Times New Roman"/>
                <w:szCs w:val="24"/>
              </w:rPr>
              <w:t>3.2. В подраздел 9.2. „Допустими категории разходи“, на стр. 49-50 от УК, след цитирания текст във въпроса по т. 3, е указано: „Посоченото ще бъде проверявано чрез Декларацията за държавни/минимални помощи и въз основа на посочения общ размер на разходите и приложимия интензитет на помощта, съгласно т. 11 „Интензитет на безвъзмездно финансиране“ от настоящите Условия за кандидатстване.“</w:t>
            </w:r>
          </w:p>
          <w:p w:rsidR="007D201F" w:rsidRPr="007D201F" w:rsidRDefault="007D201F" w:rsidP="00701FAC">
            <w:pPr>
              <w:pStyle w:val="FootnoteText"/>
              <w:spacing w:after="60"/>
              <w:rPr>
                <w:rFonts w:ascii="Times New Roman" w:hAnsi="Times New Roman"/>
                <w:szCs w:val="24"/>
              </w:rPr>
            </w:pPr>
            <w:r w:rsidRPr="007D201F">
              <w:rPr>
                <w:rFonts w:ascii="Times New Roman" w:hAnsi="Times New Roman"/>
                <w:szCs w:val="24"/>
              </w:rPr>
              <w:t>В т. 11 „Интензитет на безвъзмездно финансиране“, на стр. 70 от УК, е посочено:</w:t>
            </w:r>
          </w:p>
          <w:p w:rsidR="007D201F" w:rsidRPr="007D201F" w:rsidRDefault="007D201F" w:rsidP="00701FAC">
            <w:pPr>
              <w:pStyle w:val="FootnoteText"/>
              <w:spacing w:after="60"/>
              <w:rPr>
                <w:rFonts w:ascii="Times New Roman" w:hAnsi="Times New Roman"/>
                <w:szCs w:val="24"/>
              </w:rPr>
            </w:pPr>
            <w:r w:rsidRPr="007D201F">
              <w:rPr>
                <w:rFonts w:ascii="Times New Roman" w:hAnsi="Times New Roman"/>
                <w:szCs w:val="24"/>
              </w:rPr>
              <w:t>„ВАЖНО: Остатъкът от общите допустими разходи по предложението до пълния размер на средствата по предложението за изпълнение на инвестиция, надвишаващ определения интензитет на финансиране и при съблюдаване на изискването за задължително 25% собствено финансиране, което не съдържа елемент на помощ за чл. 14 от Регламент (ЕС) № 651/2014, трябва да бъдат съфинансирани чрез собствени средства на кандидата или със средства от външни източници… При прилагане на режим на държавна помощ по Дейност 3 („Регионална инвестиционна помощ“), най-малко 25% от общите допустими разходи по предложението за изпълнение на инвестиции, трябва да бъдат съфинансирани чрез собствени средства на кандидата или със средства от външни източници, които средства изключват всякаква публична подкрепа (бележка под линия: В случай на държавни/общински индустриални паркове/зони, съфинансирането следва да бъде при пазарни условия.). Собственото участие от страна на кандидата следва да бъде включено в бюджета на предложението за изпълнение на инвестиции и трябва да бъде осигурено за сметка на оборотни средства/стопанска дейност на кандидата с източници извън бюджета на фондове на ЕС и/или националния бюджет и които средства изключват всякаква публична подкрепа (бележка под линия: Финансовите инструменти, централно управлявани от ЕК, финансирани по линия на ЕСИФ или изпълнявани с национални средства, също представляват публична подкрепа). Посоченото ще бъде проверявано въз основа на представената от страна на кандидата Декларация за държавни/минимални помощи (Приложение 4). СНД ще провери източника на собственото финансиране, което не включва друго финансиране, освен получено при пазарни условия. В случай че не бъде осигурено  минималното съфинансиране, финансирането по Дейност 3 ще бъде отказано.“</w:t>
            </w:r>
          </w:p>
          <w:p w:rsidR="007D201F" w:rsidRPr="00273591" w:rsidRDefault="007D201F" w:rsidP="00701FAC">
            <w:pPr>
              <w:pStyle w:val="FootnoteText"/>
              <w:spacing w:after="60"/>
              <w:rPr>
                <w:rFonts w:ascii="Times New Roman" w:hAnsi="Times New Roman"/>
                <w:szCs w:val="24"/>
              </w:rPr>
            </w:pPr>
            <w:r w:rsidRPr="007D201F">
              <w:rPr>
                <w:rFonts w:ascii="Times New Roman" w:hAnsi="Times New Roman"/>
                <w:szCs w:val="24"/>
              </w:rPr>
              <w:t>От цитираните текстове от УК става ясно, че изискването предприятието кандидат да осигури минимум 25 % от допустимите разходи чрез свои собствени ресурси или чрез външно финансиране във форма, която не включва държавно подпомагане, е изискване по чл. 14, пар. 14 от ОРГО и важи единствено за Дейност 3. При дейности 1, 2 и 4 е допустимо осигуряване на допълнително необходимите средства (съфинансирането, в размер на 20% от общите допустими разходи) под всяка друга форма при спазване на правилата за натрупване на помощ в ОРГО, в Регламент (ЕС) № 1407/2013 (de minimis) и в приложими Решения на Комисията.</w:t>
            </w:r>
          </w:p>
        </w:tc>
      </w:tr>
      <w:tr w:rsidR="007D201F" w:rsidRPr="00273591" w:rsidTr="00701F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70" w:type="dxa"/>
            <w:shd w:val="clear" w:color="auto" w:fill="auto"/>
          </w:tcPr>
          <w:p w:rsidR="007D201F" w:rsidRPr="00273591" w:rsidRDefault="007D201F" w:rsidP="00701FAC">
            <w:pPr>
              <w:autoSpaceDE w:val="0"/>
              <w:autoSpaceDN w:val="0"/>
              <w:adjustRightInd w:val="0"/>
              <w:jc w:val="both"/>
              <w:rPr>
                <w:rFonts w:ascii="Times New Roman" w:hAnsi="Times New Roman"/>
                <w:sz w:val="20"/>
                <w:szCs w:val="24"/>
              </w:rPr>
            </w:pPr>
            <w:r>
              <w:rPr>
                <w:rFonts w:ascii="Times New Roman" w:hAnsi="Times New Roman"/>
                <w:sz w:val="20"/>
                <w:szCs w:val="24"/>
              </w:rPr>
              <w:t>24</w:t>
            </w:r>
          </w:p>
        </w:tc>
        <w:tc>
          <w:tcPr>
            <w:tcW w:w="1381" w:type="dxa"/>
            <w:gridSpan w:val="2"/>
            <w:shd w:val="clear" w:color="auto" w:fill="auto"/>
          </w:tcPr>
          <w:p w:rsidR="007D201F" w:rsidRPr="00273591" w:rsidRDefault="007D201F" w:rsidP="00701FAC">
            <w:pPr>
              <w:autoSpaceDE w:val="0"/>
              <w:autoSpaceDN w:val="0"/>
              <w:adjustRightInd w:val="0"/>
              <w:spacing w:after="0" w:line="240" w:lineRule="auto"/>
              <w:rPr>
                <w:rFonts w:ascii="Times New Roman" w:hAnsi="Times New Roman" w:cs="Times New Roman"/>
                <w:sz w:val="20"/>
                <w:szCs w:val="20"/>
              </w:rPr>
            </w:pPr>
            <w:r w:rsidRPr="007D201F">
              <w:rPr>
                <w:rFonts w:ascii="Times New Roman" w:hAnsi="Times New Roman" w:cs="Times New Roman"/>
                <w:sz w:val="20"/>
                <w:szCs w:val="20"/>
              </w:rPr>
              <w:t>15.08.2023</w:t>
            </w:r>
            <w:r w:rsidRPr="007D201F">
              <w:rPr>
                <w:rFonts w:ascii="Times New Roman" w:hAnsi="Times New Roman" w:cs="Times New Roman"/>
                <w:sz w:val="20"/>
                <w:szCs w:val="20"/>
              </w:rPr>
              <w:tab/>
            </w:r>
          </w:p>
        </w:tc>
        <w:tc>
          <w:tcPr>
            <w:tcW w:w="5924" w:type="dxa"/>
            <w:gridSpan w:val="3"/>
            <w:shd w:val="clear" w:color="auto" w:fill="auto"/>
          </w:tcPr>
          <w:p w:rsidR="007D201F" w:rsidRPr="007D201F" w:rsidRDefault="007D201F" w:rsidP="007D201F">
            <w:pPr>
              <w:tabs>
                <w:tab w:val="left" w:pos="350"/>
              </w:tabs>
              <w:autoSpaceDE w:val="0"/>
              <w:autoSpaceDN w:val="0"/>
              <w:adjustRightInd w:val="0"/>
              <w:spacing w:after="0" w:line="240" w:lineRule="auto"/>
              <w:jc w:val="both"/>
              <w:rPr>
                <w:rFonts w:ascii="Times New Roman" w:hAnsi="Times New Roman" w:cs="Times New Roman"/>
                <w:sz w:val="20"/>
                <w:szCs w:val="24"/>
              </w:rPr>
            </w:pPr>
          </w:p>
          <w:p w:rsidR="007D201F" w:rsidRPr="007D201F" w:rsidRDefault="007D201F" w:rsidP="00701FAC">
            <w:pPr>
              <w:tabs>
                <w:tab w:val="left" w:pos="350"/>
              </w:tabs>
              <w:autoSpaceDE w:val="0"/>
              <w:autoSpaceDN w:val="0"/>
              <w:adjustRightInd w:val="0"/>
              <w:spacing w:after="0" w:line="240" w:lineRule="auto"/>
              <w:jc w:val="both"/>
              <w:rPr>
                <w:rFonts w:ascii="Times New Roman" w:hAnsi="Times New Roman" w:cs="Times New Roman"/>
                <w:i/>
                <w:sz w:val="20"/>
                <w:szCs w:val="24"/>
              </w:rPr>
            </w:pPr>
            <w:r w:rsidRPr="007D201F">
              <w:rPr>
                <w:rFonts w:ascii="Times New Roman" w:hAnsi="Times New Roman" w:cs="Times New Roman"/>
                <w:i/>
                <w:sz w:val="20"/>
                <w:szCs w:val="24"/>
              </w:rPr>
              <w:t>Продължение на въпрос № 22:</w:t>
            </w:r>
          </w:p>
          <w:p w:rsidR="007D201F" w:rsidRPr="00273591" w:rsidRDefault="007D201F" w:rsidP="00701FAC">
            <w:pPr>
              <w:tabs>
                <w:tab w:val="left" w:pos="350"/>
              </w:tabs>
              <w:autoSpaceDE w:val="0"/>
              <w:autoSpaceDN w:val="0"/>
              <w:adjustRightInd w:val="0"/>
              <w:spacing w:after="0" w:line="240" w:lineRule="auto"/>
              <w:jc w:val="both"/>
              <w:rPr>
                <w:rFonts w:ascii="Times New Roman" w:hAnsi="Times New Roman" w:cs="Times New Roman"/>
                <w:sz w:val="20"/>
                <w:szCs w:val="24"/>
              </w:rPr>
            </w:pPr>
            <w:r w:rsidRPr="007D201F">
              <w:rPr>
                <w:rFonts w:ascii="Times New Roman" w:hAnsi="Times New Roman" w:cs="Times New Roman"/>
                <w:sz w:val="20"/>
                <w:szCs w:val="24"/>
              </w:rPr>
              <w:t>4. Ще се счита ли за единен инвестиционен проект и има ли други ограничения по отношение на допустимостта на кандидатите в хипотезата, при която самите кандидати (оператори на индустриални паркове) са различни юридически лица, но собственик на няколко дружества – кандидати в процедурата, с дял над 50% е дружество Х?</w:t>
            </w:r>
          </w:p>
        </w:tc>
        <w:tc>
          <w:tcPr>
            <w:tcW w:w="7718" w:type="dxa"/>
            <w:gridSpan w:val="2"/>
            <w:shd w:val="clear" w:color="auto" w:fill="auto"/>
          </w:tcPr>
          <w:p w:rsidR="007D201F" w:rsidRPr="007D201F" w:rsidRDefault="007D201F" w:rsidP="00701FAC">
            <w:pPr>
              <w:pStyle w:val="FootnoteText"/>
              <w:spacing w:after="60"/>
              <w:jc w:val="both"/>
              <w:rPr>
                <w:rFonts w:ascii="Times New Roman" w:hAnsi="Times New Roman"/>
                <w:szCs w:val="24"/>
              </w:rPr>
            </w:pPr>
            <w:r w:rsidRPr="007D201F">
              <w:rPr>
                <w:rFonts w:ascii="Times New Roman" w:hAnsi="Times New Roman"/>
                <w:szCs w:val="24"/>
              </w:rPr>
              <w:t>4. Ограниченията по линия на правилата за „единен инвестиционен проект“ по чл. 14, пар. 13 от Регламент (ЕС) № 651/2014 и „едно и също предприятие“ по смисъла на чл. 2, пар. 2 на Регламент (ЕС) № 1407/2013 са приложими съответно за Дейност 3 (в режим регионална инвестиционна помощ) и Дейност 4 (в режим de minimis), като сходствата и разликата между двете понятия от гледна точка на обхвата на предприятията в икономическа група са изяснени в т. 2.1 по-горе. Дейност 1 е в режим непомощ и за нея не са валидни нито ограниченията на ниво група предприятия, нито тези за „единен инвестиционен проект“ и „едно и също предприятие“.</w:t>
            </w:r>
          </w:p>
          <w:p w:rsidR="007D201F" w:rsidRPr="007D201F" w:rsidRDefault="007D201F" w:rsidP="00701FAC">
            <w:pPr>
              <w:pStyle w:val="FootnoteText"/>
              <w:spacing w:after="60"/>
              <w:jc w:val="both"/>
              <w:rPr>
                <w:rFonts w:ascii="Times New Roman" w:hAnsi="Times New Roman"/>
                <w:szCs w:val="24"/>
              </w:rPr>
            </w:pPr>
            <w:r w:rsidRPr="007D201F">
              <w:rPr>
                <w:rFonts w:ascii="Times New Roman" w:hAnsi="Times New Roman"/>
                <w:szCs w:val="24"/>
              </w:rPr>
              <w:t>Съгласно действащата редакция на чл. 14, пар. 13 от Регламент (ЕС) № 651/2014 (ОРГО) (https://eur-lex.europa.eu/legal-content/EN/TXT/?uri=CELEX%3A02014R0651-20230701), след последните изменения с Регламент (ЕС) 2023/1315 на Комисията от 23 юни 2023 г.: „Всяка първоначална инвестиция, свързана със същата или подобна дейност, започната от един и същ бенефициер (на равнище група) в срок от три години, считано от започването на работите по друга подпомогната инвестиция в същия регион от ниво 3 по Общата класификация на териториалните единици за статистически цели, се смята за част от един и същ инвестиционен проект. Когато единният инвестиционен проект е голям инвестиционен проект, общият размер на помощта за единния инвестиционен проект не надхвърля коригирания размер на помощта за големи инвестиционни проекти.“ Следователно, ограничението за „единен инвестиционен проект“ на равнище група е приложимо, в случай че за Дейност 3 кандидатстват предприятия от една и съща икономическа група (с общ източник на контрол, вкл. предприятие-майка и дъщерни предприятия (с над 50% участие в капитала им или друг от посочените в т. 2.1 начини на упражняване на контрол, вкл. чрез други свързани предприятия и физически лица), вкл. ако са получавали държавна помощ за друга първоначална инвестиция, свързана със същата или подобна дейност, в същия регион от ниво NUTS 3 (Северозападен, Северен централен, Североизточен, Югоизточен, Южен централен, Югозападен) през последните 3 години, при спазване на относимите правила за натрупване на държавни помощи съгласно чл. 8 от ОРГО. Ограничението не е приложимо, дори на равнище група предприятия, за различни дейности (допустими разходи) в същия регион, както и за същата или подобна дейност (допустими разходи) в друг регион от ниво NUTS 3. По отношение на максималния размер на допустимото финансиране по Дейност 3 в режим регионална инвестиционна помощ, са приложими актуализирани (завишени) прагове по чл. 4, пар. 1, б. „а“ от ОРГО – от 16,5 млн. евро до 57,75 млн. евро, в зависимост от интензитета на финансиране по региони (от 20% до 70%).</w:t>
            </w:r>
          </w:p>
          <w:p w:rsidR="007D201F" w:rsidRPr="007D201F" w:rsidRDefault="007D201F" w:rsidP="00701FAC">
            <w:pPr>
              <w:pStyle w:val="FootnoteText"/>
              <w:spacing w:after="60"/>
              <w:jc w:val="both"/>
              <w:rPr>
                <w:rFonts w:ascii="Times New Roman" w:hAnsi="Times New Roman"/>
                <w:szCs w:val="24"/>
              </w:rPr>
            </w:pPr>
            <w:r w:rsidRPr="007D201F">
              <w:rPr>
                <w:rFonts w:ascii="Times New Roman" w:hAnsi="Times New Roman"/>
                <w:szCs w:val="24"/>
              </w:rPr>
              <w:t>За Дейност 2, в режим инвестиционни помощи за местни инфраструктури, с Регламент (ЕС) 2023/1315 не са въведени изменения в чл. 56 от Регламент (ЕС) № 651/2014 (ОРГО), но са завишени праговете (максималният размер) на помощта съгласно чл. 4, пар. 1, б. вв) от ОРГО, изменен с чл. 1, пар. 3, б. з) от Регламент (ЕС) 2023/1315 – 11 млн. евро или общите разходи, надхвърлящи 22 млн. евро за същата инфраструктура. Препоръчително е да се съблюдава първият от двата възможни подхода – фиксираният праг от 11 млн. евро. Прагът определя максималния размер на помощта за даден кандидат (оператор на индустриален парк или зона) на ниво група, т.е. заедно с всички свързани с него предприятия, за една и съща местна инфраструктура, т.е. в рамките на един и същи инфраструктурен проект за даден индустриален парк. Очакваме отговор на зададен въпрос от името на България към ЕК в системата eState Aid WIKI относно разглеждането на вътрешната техническа инфраструктура на различни индустриални паркове/зони, които представляват отделни инвестиционни проекти, като отделни местни инфраструктури по чл. 56 от ОРГО, за които прагът от 11 млн. евро се прилага поотделно, а не съвкупно, дори когато инвестиционните проекти за различни индустриални паркове/зони са на кандидати, които са свързани предприятия (група).</w:t>
            </w:r>
          </w:p>
          <w:p w:rsidR="007D201F" w:rsidRPr="007D201F" w:rsidRDefault="007D201F" w:rsidP="00701FAC">
            <w:pPr>
              <w:pStyle w:val="FootnoteText"/>
              <w:spacing w:after="60"/>
              <w:jc w:val="both"/>
              <w:rPr>
                <w:rFonts w:ascii="Times New Roman" w:hAnsi="Times New Roman"/>
                <w:szCs w:val="24"/>
              </w:rPr>
            </w:pPr>
            <w:r w:rsidRPr="007D201F">
              <w:rPr>
                <w:rFonts w:ascii="Times New Roman" w:hAnsi="Times New Roman"/>
                <w:szCs w:val="24"/>
              </w:rPr>
              <w:t>Уведомяваме всички потенциални кандидати, че предстои съответно изменение на УК за отразяване (единствено и само) на относимите изменения по отношение на режимите за регионална инвестиционна помощ (Дейност 3 от настоящата инвестиция) и помощ за местни инфраструктури (Дейност 2 от инвестицията), на основание чл. 5, ал. 6, т. 1 от ПМС № 114 от 8 юни 2022 г. за определяне на детайлни правила за предоставяне на средства на крайни получатели от Механизма за възстановяване и устойчивост. Изменението ще бъде извършено след получаване на отговор на зададения въпрос от името на България към ЕК в системата eState Aid WIKI относно прилагането на актуализираните стойностни прагове и дефиницията на „общи разходи за същата инфраструктура“ съгласно чл. 4, пар. 1, б. вв) от Регламент (ЕС) № 651/2014, изменен с чл. 1, пар. 3, б. з) от Регламент (ЕС) 2023/1315.</w:t>
            </w:r>
          </w:p>
          <w:p w:rsidR="007D201F" w:rsidRPr="007D201F" w:rsidRDefault="007D201F" w:rsidP="00701FAC">
            <w:pPr>
              <w:pStyle w:val="FootnoteText"/>
              <w:spacing w:after="60"/>
              <w:jc w:val="both"/>
              <w:rPr>
                <w:rFonts w:ascii="Times New Roman" w:hAnsi="Times New Roman"/>
                <w:szCs w:val="24"/>
              </w:rPr>
            </w:pPr>
            <w:r w:rsidRPr="007D201F">
              <w:rPr>
                <w:rFonts w:ascii="Times New Roman" w:hAnsi="Times New Roman"/>
                <w:szCs w:val="24"/>
              </w:rPr>
              <w:t>За Дейност 4, в режим помощи de minimis, максималният размер на помощта, за която се кандидатства, заедно с другите получени минимални помощи за едно и също предприятие (по смисъла на чл. 2, пар. 2 на Регламент (ЕС) № 1407/2013) за период от три бюджетни години не може да надхвърля левовата равностойност на 200 000 евро и съответно левовата равностойност на 100 000 евро за едно и също предприятие, което осъществява автомобилни товарни превози за чужда сметка, при спазване на правилата за кумулиране на помощи съгласно чл. 5 от Регламент (ЕС) № 1407/2013 (кумулират се с други помощи de minimis, вкл. по реда на други регламенти, но не и с други държавни помощи за същите допустими разходи, ако чрез това кумулиране се надвишава най-високият приложим интензитет или размер на помощта съгласно ОРГО).</w:t>
            </w:r>
          </w:p>
          <w:p w:rsidR="007D201F" w:rsidRPr="00273591" w:rsidRDefault="007D201F" w:rsidP="00701FAC">
            <w:pPr>
              <w:pStyle w:val="FootnoteText"/>
              <w:spacing w:after="60"/>
              <w:jc w:val="both"/>
              <w:rPr>
                <w:rFonts w:ascii="Times New Roman" w:hAnsi="Times New Roman"/>
                <w:szCs w:val="24"/>
              </w:rPr>
            </w:pPr>
            <w:r w:rsidRPr="007D201F">
              <w:rPr>
                <w:rFonts w:ascii="Times New Roman" w:hAnsi="Times New Roman"/>
                <w:szCs w:val="24"/>
              </w:rPr>
              <w:t>P.S. Въпросът е зададен на 30.06.2023 г., под № 7, но поради техническа грешка при въвеждането на разяснението е анулиран и е въведен отново, за което молим да бъдем извинени.</w:t>
            </w:r>
          </w:p>
        </w:tc>
      </w:tr>
    </w:tbl>
    <w:p w:rsidR="00076F62" w:rsidRDefault="00076F62" w:rsidP="00D823C5">
      <w:r>
        <w:tab/>
      </w:r>
      <w:r>
        <w:tab/>
      </w:r>
    </w:p>
    <w:sectPr w:rsidR="00076F62"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E05CD0" w16cid:durableId="71858F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C4C" w:rsidRDefault="00287C4C" w:rsidP="002325A3">
      <w:pPr>
        <w:spacing w:after="0" w:line="240" w:lineRule="auto"/>
      </w:pPr>
      <w:r>
        <w:separator/>
      </w:r>
    </w:p>
  </w:endnote>
  <w:endnote w:type="continuationSeparator" w:id="0">
    <w:p w:rsidR="00287C4C" w:rsidRDefault="00287C4C"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rsidR="00D823C5" w:rsidRDefault="00D823C5">
        <w:pPr>
          <w:pStyle w:val="Footer"/>
          <w:jc w:val="right"/>
        </w:pPr>
        <w:r>
          <w:fldChar w:fldCharType="begin"/>
        </w:r>
        <w:r>
          <w:instrText xml:space="preserve"> PAGE   \* MERGEFORMAT </w:instrText>
        </w:r>
        <w:r>
          <w:fldChar w:fldCharType="separate"/>
        </w:r>
        <w:r w:rsidR="008B7D95">
          <w:rPr>
            <w:noProof/>
          </w:rPr>
          <w:t>2</w:t>
        </w:r>
        <w:r>
          <w:rPr>
            <w:noProof/>
          </w:rPr>
          <w:fldChar w:fldCharType="end"/>
        </w:r>
      </w:p>
    </w:sdtContent>
  </w:sdt>
  <w:p w:rsidR="00D823C5" w:rsidRDefault="00D82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C4C" w:rsidRDefault="00287C4C" w:rsidP="002325A3">
      <w:pPr>
        <w:spacing w:after="0" w:line="240" w:lineRule="auto"/>
      </w:pPr>
      <w:r>
        <w:separator/>
      </w:r>
    </w:p>
  </w:footnote>
  <w:footnote w:type="continuationSeparator" w:id="0">
    <w:p w:rsidR="00287C4C" w:rsidRDefault="00287C4C"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D823C5" w:rsidRPr="00D37512" w:rsidTr="000E0E6F">
      <w:trPr>
        <w:trHeight w:val="713"/>
        <w:jc w:val="center"/>
      </w:trPr>
      <w:tc>
        <w:tcPr>
          <w:tcW w:w="6658" w:type="dxa"/>
        </w:tcPr>
        <w:p w:rsidR="00D823C5" w:rsidRPr="009B15BB" w:rsidRDefault="00D823C5"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Pr="000E0E6F">
            <w:rPr>
              <w:rFonts w:ascii="Calibri" w:eastAsia="Calibri" w:hAnsi="Calibri" w:cs="Times New Roman"/>
              <w:b/>
              <w:i/>
              <w:noProof/>
              <w:sz w:val="20"/>
              <w:szCs w:val="20"/>
              <w:lang w:eastAsia="bg-BG"/>
            </w:rPr>
            <w:drawing>
              <wp:inline distT="0" distB="0" distL="0" distR="0" wp14:anchorId="066B0546" wp14:editId="52B60DBE">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rsidR="00D823C5" w:rsidRPr="00B0055A" w:rsidRDefault="00D823C5"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rsidR="00D823C5" w:rsidRDefault="00D823C5"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80A"/>
    <w:multiLevelType w:val="hybridMultilevel"/>
    <w:tmpl w:val="B83EB3EA"/>
    <w:lvl w:ilvl="0" w:tplc="E14CE3F2">
      <w:start w:val="1"/>
      <w:numFmt w:val="lowerRoman"/>
      <w:lvlText w:val="%1)"/>
      <w:lvlJc w:val="left"/>
      <w:pPr>
        <w:ind w:left="0" w:hanging="36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 w15:restartNumberingAfterBreak="0">
    <w:nsid w:val="065B7922"/>
    <w:multiLevelType w:val="hybridMultilevel"/>
    <w:tmpl w:val="BC3CC1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7B5DD9"/>
    <w:multiLevelType w:val="hybridMultilevel"/>
    <w:tmpl w:val="536AA452"/>
    <w:lvl w:ilvl="0" w:tplc="B6A4657E">
      <w:start w:val="1"/>
      <w:numFmt w:val="bullet"/>
      <w:lvlText w:val="-"/>
      <w:lvlJc w:val="left"/>
      <w:pPr>
        <w:ind w:left="720" w:hanging="360"/>
      </w:pPr>
      <w:rPr>
        <w:rFonts w:ascii="Candara" w:eastAsia="Times New Roman"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14331"/>
    <w:multiLevelType w:val="hybridMultilevel"/>
    <w:tmpl w:val="A48067DE"/>
    <w:lvl w:ilvl="0" w:tplc="BF3602FE">
      <w:start w:val="14"/>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0F806370"/>
    <w:multiLevelType w:val="hybridMultilevel"/>
    <w:tmpl w:val="F83E1478"/>
    <w:lvl w:ilvl="0" w:tplc="0409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0F9746D0"/>
    <w:multiLevelType w:val="hybridMultilevel"/>
    <w:tmpl w:val="B024DA34"/>
    <w:lvl w:ilvl="0" w:tplc="70FC1644">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4DB5015"/>
    <w:multiLevelType w:val="hybridMultilevel"/>
    <w:tmpl w:val="E976F978"/>
    <w:lvl w:ilvl="0" w:tplc="0402000B">
      <w:start w:val="1"/>
      <w:numFmt w:val="bullet"/>
      <w:lvlText w:val=""/>
      <w:lvlJc w:val="left"/>
      <w:pPr>
        <w:ind w:left="1155" w:hanging="360"/>
      </w:pPr>
      <w:rPr>
        <w:rFonts w:ascii="Wingdings" w:hAnsi="Wingdings" w:hint="default"/>
      </w:rPr>
    </w:lvl>
    <w:lvl w:ilvl="1" w:tplc="04020003" w:tentative="1">
      <w:start w:val="1"/>
      <w:numFmt w:val="bullet"/>
      <w:lvlText w:val="o"/>
      <w:lvlJc w:val="left"/>
      <w:pPr>
        <w:ind w:left="1875" w:hanging="360"/>
      </w:pPr>
      <w:rPr>
        <w:rFonts w:ascii="Courier New" w:hAnsi="Courier New" w:cs="Courier New" w:hint="default"/>
      </w:rPr>
    </w:lvl>
    <w:lvl w:ilvl="2" w:tplc="04020005" w:tentative="1">
      <w:start w:val="1"/>
      <w:numFmt w:val="bullet"/>
      <w:lvlText w:val=""/>
      <w:lvlJc w:val="left"/>
      <w:pPr>
        <w:ind w:left="2595" w:hanging="360"/>
      </w:pPr>
      <w:rPr>
        <w:rFonts w:ascii="Wingdings" w:hAnsi="Wingdings" w:hint="default"/>
      </w:rPr>
    </w:lvl>
    <w:lvl w:ilvl="3" w:tplc="04020001" w:tentative="1">
      <w:start w:val="1"/>
      <w:numFmt w:val="bullet"/>
      <w:lvlText w:val=""/>
      <w:lvlJc w:val="left"/>
      <w:pPr>
        <w:ind w:left="3315" w:hanging="360"/>
      </w:pPr>
      <w:rPr>
        <w:rFonts w:ascii="Symbol" w:hAnsi="Symbol" w:hint="default"/>
      </w:rPr>
    </w:lvl>
    <w:lvl w:ilvl="4" w:tplc="04020003" w:tentative="1">
      <w:start w:val="1"/>
      <w:numFmt w:val="bullet"/>
      <w:lvlText w:val="o"/>
      <w:lvlJc w:val="left"/>
      <w:pPr>
        <w:ind w:left="4035" w:hanging="360"/>
      </w:pPr>
      <w:rPr>
        <w:rFonts w:ascii="Courier New" w:hAnsi="Courier New" w:cs="Courier New" w:hint="default"/>
      </w:rPr>
    </w:lvl>
    <w:lvl w:ilvl="5" w:tplc="04020005" w:tentative="1">
      <w:start w:val="1"/>
      <w:numFmt w:val="bullet"/>
      <w:lvlText w:val=""/>
      <w:lvlJc w:val="left"/>
      <w:pPr>
        <w:ind w:left="4755" w:hanging="360"/>
      </w:pPr>
      <w:rPr>
        <w:rFonts w:ascii="Wingdings" w:hAnsi="Wingdings" w:hint="default"/>
      </w:rPr>
    </w:lvl>
    <w:lvl w:ilvl="6" w:tplc="04020001" w:tentative="1">
      <w:start w:val="1"/>
      <w:numFmt w:val="bullet"/>
      <w:lvlText w:val=""/>
      <w:lvlJc w:val="left"/>
      <w:pPr>
        <w:ind w:left="5475" w:hanging="360"/>
      </w:pPr>
      <w:rPr>
        <w:rFonts w:ascii="Symbol" w:hAnsi="Symbol" w:hint="default"/>
      </w:rPr>
    </w:lvl>
    <w:lvl w:ilvl="7" w:tplc="04020003" w:tentative="1">
      <w:start w:val="1"/>
      <w:numFmt w:val="bullet"/>
      <w:lvlText w:val="o"/>
      <w:lvlJc w:val="left"/>
      <w:pPr>
        <w:ind w:left="6195" w:hanging="360"/>
      </w:pPr>
      <w:rPr>
        <w:rFonts w:ascii="Courier New" w:hAnsi="Courier New" w:cs="Courier New" w:hint="default"/>
      </w:rPr>
    </w:lvl>
    <w:lvl w:ilvl="8" w:tplc="04020005" w:tentative="1">
      <w:start w:val="1"/>
      <w:numFmt w:val="bullet"/>
      <w:lvlText w:val=""/>
      <w:lvlJc w:val="left"/>
      <w:pPr>
        <w:ind w:left="6915" w:hanging="360"/>
      </w:pPr>
      <w:rPr>
        <w:rFonts w:ascii="Wingdings" w:hAnsi="Wingdings" w:hint="default"/>
      </w:rPr>
    </w:lvl>
  </w:abstractNum>
  <w:abstractNum w:abstractNumId="8" w15:restartNumberingAfterBreak="0">
    <w:nsid w:val="1A5E4F99"/>
    <w:multiLevelType w:val="hybridMultilevel"/>
    <w:tmpl w:val="D28CE72C"/>
    <w:lvl w:ilvl="0" w:tplc="23C6BC0C">
      <w:start w:val="1"/>
      <w:numFmt w:val="decimal"/>
      <w:lvlText w:val="%1)"/>
      <w:lvlJc w:val="left"/>
      <w:pPr>
        <w:ind w:left="360" w:hanging="360"/>
      </w:pPr>
      <w:rPr>
        <w:rFonts w:hint="default"/>
        <w:b/>
        <w:i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A34EA"/>
    <w:multiLevelType w:val="hybridMultilevel"/>
    <w:tmpl w:val="A7CCDA34"/>
    <w:lvl w:ilvl="0" w:tplc="BF06D2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80920"/>
    <w:multiLevelType w:val="hybridMultilevel"/>
    <w:tmpl w:val="10D61EF4"/>
    <w:lvl w:ilvl="0" w:tplc="D39207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44F96"/>
    <w:multiLevelType w:val="multilevel"/>
    <w:tmpl w:val="40F43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080" w:hanging="72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440" w:hanging="108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1800" w:hanging="1440"/>
      </w:pPr>
      <w:rPr>
        <w:rFonts w:ascii="Times New Roman" w:hAnsi="Times New Roman" w:hint="default"/>
      </w:rPr>
    </w:lvl>
  </w:abstractNum>
  <w:abstractNum w:abstractNumId="13" w15:restartNumberingAfterBreak="0">
    <w:nsid w:val="2DAD128D"/>
    <w:multiLevelType w:val="multilevel"/>
    <w:tmpl w:val="C37608C4"/>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14" w15:restartNumberingAfterBreak="0">
    <w:nsid w:val="2FDE061C"/>
    <w:multiLevelType w:val="hybridMultilevel"/>
    <w:tmpl w:val="30D24BDE"/>
    <w:lvl w:ilvl="0" w:tplc="382C5076">
      <w:start w:val="28"/>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5"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69359D"/>
    <w:multiLevelType w:val="hybridMultilevel"/>
    <w:tmpl w:val="D87E1AC6"/>
    <w:lvl w:ilvl="0" w:tplc="74CAF81E">
      <w:start w:val="1"/>
      <w:numFmt w:val="decimal"/>
      <w:lvlText w:val="2.%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B1273"/>
    <w:multiLevelType w:val="hybridMultilevel"/>
    <w:tmpl w:val="579670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68512D55"/>
    <w:multiLevelType w:val="hybridMultilevel"/>
    <w:tmpl w:val="89AAE7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A02529"/>
    <w:multiLevelType w:val="hybridMultilevel"/>
    <w:tmpl w:val="A644011E"/>
    <w:lvl w:ilvl="0" w:tplc="CB80789E">
      <w:start w:val="1"/>
      <w:numFmt w:val="decimal"/>
      <w:lvlText w:val="%1."/>
      <w:lvlJc w:val="left"/>
      <w:pPr>
        <w:ind w:left="720" w:hanging="360"/>
      </w:pPr>
      <w:rPr>
        <w:rFonts w:asciiTheme="minorHAnsi" w:hAnsiTheme="minorHAnsi"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B50B18"/>
    <w:multiLevelType w:val="hybridMultilevel"/>
    <w:tmpl w:val="38767B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2"/>
  </w:num>
  <w:num w:numId="2">
    <w:abstractNumId w:val="19"/>
  </w:num>
  <w:num w:numId="3">
    <w:abstractNumId w:val="2"/>
  </w:num>
  <w:num w:numId="4">
    <w:abstractNumId w:val="15"/>
  </w:num>
  <w:num w:numId="5">
    <w:abstractNumId w:val="9"/>
  </w:num>
  <w:num w:numId="6">
    <w:abstractNumId w:val="17"/>
  </w:num>
  <w:num w:numId="7">
    <w:abstractNumId w:val="8"/>
  </w:num>
  <w:num w:numId="8">
    <w:abstractNumId w:val="0"/>
  </w:num>
  <w:num w:numId="9">
    <w:abstractNumId w:val="23"/>
  </w:num>
  <w:num w:numId="10">
    <w:abstractNumId w:val="7"/>
  </w:num>
  <w:num w:numId="11">
    <w:abstractNumId w:val="3"/>
  </w:num>
  <w:num w:numId="12">
    <w:abstractNumId w:val="11"/>
  </w:num>
  <w:num w:numId="13">
    <w:abstractNumId w:val="16"/>
  </w:num>
  <w:num w:numId="14">
    <w:abstractNumId w:val="20"/>
  </w:num>
  <w:num w:numId="15">
    <w:abstractNumId w:val="5"/>
  </w:num>
  <w:num w:numId="16">
    <w:abstractNumId w:val="14"/>
  </w:num>
  <w:num w:numId="17">
    <w:abstractNumId w:val="12"/>
  </w:num>
  <w:num w:numId="18">
    <w:abstractNumId w:val="10"/>
  </w:num>
  <w:num w:numId="19">
    <w:abstractNumId w:val="18"/>
  </w:num>
  <w:num w:numId="20">
    <w:abstractNumId w:val="4"/>
  </w:num>
  <w:num w:numId="21">
    <w:abstractNumId w:val="21"/>
  </w:num>
  <w:num w:numId="22">
    <w:abstractNumId w:val="6"/>
  </w:num>
  <w:num w:numId="23">
    <w:abstractNumId w:val="13"/>
  </w:num>
  <w:num w:numId="2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76F62"/>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C74"/>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E755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111"/>
    <w:rsid w:val="0013737A"/>
    <w:rsid w:val="00140BEF"/>
    <w:rsid w:val="00143716"/>
    <w:rsid w:val="001439F1"/>
    <w:rsid w:val="00143C14"/>
    <w:rsid w:val="00144EDD"/>
    <w:rsid w:val="00146057"/>
    <w:rsid w:val="0014668C"/>
    <w:rsid w:val="00146A0C"/>
    <w:rsid w:val="00147AAB"/>
    <w:rsid w:val="00150F1D"/>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1DEE"/>
    <w:rsid w:val="0017324A"/>
    <w:rsid w:val="0017437B"/>
    <w:rsid w:val="00175D15"/>
    <w:rsid w:val="00175F55"/>
    <w:rsid w:val="001760F2"/>
    <w:rsid w:val="00177701"/>
    <w:rsid w:val="00177868"/>
    <w:rsid w:val="0017789F"/>
    <w:rsid w:val="00177967"/>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4BF"/>
    <w:rsid w:val="001B2A7A"/>
    <w:rsid w:val="001B3A57"/>
    <w:rsid w:val="001B3CE2"/>
    <w:rsid w:val="001B3EBC"/>
    <w:rsid w:val="001B4D64"/>
    <w:rsid w:val="001B6845"/>
    <w:rsid w:val="001B6B8A"/>
    <w:rsid w:val="001B6D92"/>
    <w:rsid w:val="001B7090"/>
    <w:rsid w:val="001C072D"/>
    <w:rsid w:val="001C1B34"/>
    <w:rsid w:val="001C3532"/>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2770"/>
    <w:rsid w:val="00233187"/>
    <w:rsid w:val="00233983"/>
    <w:rsid w:val="002339F2"/>
    <w:rsid w:val="00233A03"/>
    <w:rsid w:val="002347A2"/>
    <w:rsid w:val="0023494F"/>
    <w:rsid w:val="002349FE"/>
    <w:rsid w:val="00234B91"/>
    <w:rsid w:val="002351D6"/>
    <w:rsid w:val="00236252"/>
    <w:rsid w:val="0024057E"/>
    <w:rsid w:val="00240C81"/>
    <w:rsid w:val="002412A0"/>
    <w:rsid w:val="00241757"/>
    <w:rsid w:val="0024398E"/>
    <w:rsid w:val="00243D9C"/>
    <w:rsid w:val="0024413F"/>
    <w:rsid w:val="002444DC"/>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29A8"/>
    <w:rsid w:val="00273028"/>
    <w:rsid w:val="00273591"/>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87C4C"/>
    <w:rsid w:val="00290143"/>
    <w:rsid w:val="00290FC9"/>
    <w:rsid w:val="00291818"/>
    <w:rsid w:val="00291E35"/>
    <w:rsid w:val="00291FD4"/>
    <w:rsid w:val="00292495"/>
    <w:rsid w:val="00292E40"/>
    <w:rsid w:val="0029308D"/>
    <w:rsid w:val="00293BD5"/>
    <w:rsid w:val="002945CD"/>
    <w:rsid w:val="002945F9"/>
    <w:rsid w:val="0029470D"/>
    <w:rsid w:val="002947A7"/>
    <w:rsid w:val="002955D8"/>
    <w:rsid w:val="002956F0"/>
    <w:rsid w:val="00295DBA"/>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94A"/>
    <w:rsid w:val="002E7ACA"/>
    <w:rsid w:val="002E7FEF"/>
    <w:rsid w:val="002F12CD"/>
    <w:rsid w:val="002F1FFC"/>
    <w:rsid w:val="002F2857"/>
    <w:rsid w:val="002F2E99"/>
    <w:rsid w:val="002F3268"/>
    <w:rsid w:val="002F327B"/>
    <w:rsid w:val="002F3CEF"/>
    <w:rsid w:val="002F4D5D"/>
    <w:rsid w:val="002F4DD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68C"/>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02ED"/>
    <w:rsid w:val="003412B4"/>
    <w:rsid w:val="003414CE"/>
    <w:rsid w:val="003427BF"/>
    <w:rsid w:val="003429B7"/>
    <w:rsid w:val="00342EA5"/>
    <w:rsid w:val="00343126"/>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03F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2CE8"/>
    <w:rsid w:val="003D359F"/>
    <w:rsid w:val="003D3794"/>
    <w:rsid w:val="003D405B"/>
    <w:rsid w:val="003D4C1A"/>
    <w:rsid w:val="003D52B8"/>
    <w:rsid w:val="003D562F"/>
    <w:rsid w:val="003D5F55"/>
    <w:rsid w:val="003D700A"/>
    <w:rsid w:val="003D7B26"/>
    <w:rsid w:val="003E08DE"/>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4FD"/>
    <w:rsid w:val="003F4FF9"/>
    <w:rsid w:val="003F60BA"/>
    <w:rsid w:val="00401287"/>
    <w:rsid w:val="0040166A"/>
    <w:rsid w:val="00401B93"/>
    <w:rsid w:val="00401D9C"/>
    <w:rsid w:val="00401E9E"/>
    <w:rsid w:val="00402F8C"/>
    <w:rsid w:val="0040322A"/>
    <w:rsid w:val="00403266"/>
    <w:rsid w:val="00405FDB"/>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B90"/>
    <w:rsid w:val="00420F8D"/>
    <w:rsid w:val="00421286"/>
    <w:rsid w:val="00421985"/>
    <w:rsid w:val="00421B5B"/>
    <w:rsid w:val="00421D67"/>
    <w:rsid w:val="004220A2"/>
    <w:rsid w:val="004227FA"/>
    <w:rsid w:val="00423E85"/>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3EE4"/>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091"/>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98F"/>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396E"/>
    <w:rsid w:val="004E466F"/>
    <w:rsid w:val="004E47EF"/>
    <w:rsid w:val="004E4EF3"/>
    <w:rsid w:val="004E5318"/>
    <w:rsid w:val="004E5564"/>
    <w:rsid w:val="004E557D"/>
    <w:rsid w:val="004E5FAB"/>
    <w:rsid w:val="004E6370"/>
    <w:rsid w:val="004E6703"/>
    <w:rsid w:val="004E73DE"/>
    <w:rsid w:val="004E77EF"/>
    <w:rsid w:val="004E7AD8"/>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0788D"/>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26C5"/>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0DFB"/>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851"/>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1FC9"/>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3F65"/>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056"/>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58B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7B"/>
    <w:rsid w:val="00747DF6"/>
    <w:rsid w:val="0075080A"/>
    <w:rsid w:val="00750839"/>
    <w:rsid w:val="0075085C"/>
    <w:rsid w:val="00750B15"/>
    <w:rsid w:val="0075172E"/>
    <w:rsid w:val="00751BFF"/>
    <w:rsid w:val="00751C15"/>
    <w:rsid w:val="00751E08"/>
    <w:rsid w:val="007520CF"/>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504"/>
    <w:rsid w:val="00770C3E"/>
    <w:rsid w:val="00771183"/>
    <w:rsid w:val="0077158D"/>
    <w:rsid w:val="007723FD"/>
    <w:rsid w:val="0077334A"/>
    <w:rsid w:val="00775B1B"/>
    <w:rsid w:val="00776637"/>
    <w:rsid w:val="007804C2"/>
    <w:rsid w:val="00780C4E"/>
    <w:rsid w:val="00780DA4"/>
    <w:rsid w:val="00781C3A"/>
    <w:rsid w:val="007823C4"/>
    <w:rsid w:val="00782A43"/>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01F"/>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1D9"/>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832"/>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B7D95"/>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1AAA"/>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3BB9"/>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3B8"/>
    <w:rsid w:val="009736E9"/>
    <w:rsid w:val="00975549"/>
    <w:rsid w:val="009755AD"/>
    <w:rsid w:val="00976928"/>
    <w:rsid w:val="00976F89"/>
    <w:rsid w:val="00977E0A"/>
    <w:rsid w:val="00980155"/>
    <w:rsid w:val="00980277"/>
    <w:rsid w:val="00980E56"/>
    <w:rsid w:val="0098162A"/>
    <w:rsid w:val="00981DF1"/>
    <w:rsid w:val="00983053"/>
    <w:rsid w:val="00984041"/>
    <w:rsid w:val="00985086"/>
    <w:rsid w:val="0098548B"/>
    <w:rsid w:val="00985DDC"/>
    <w:rsid w:val="009868F2"/>
    <w:rsid w:val="009875AB"/>
    <w:rsid w:val="00987E20"/>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4DBC"/>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7E4"/>
    <w:rsid w:val="009D1999"/>
    <w:rsid w:val="009D2923"/>
    <w:rsid w:val="009D442F"/>
    <w:rsid w:val="009D5C56"/>
    <w:rsid w:val="009D5D22"/>
    <w:rsid w:val="009D6765"/>
    <w:rsid w:val="009D6A45"/>
    <w:rsid w:val="009D756E"/>
    <w:rsid w:val="009E0645"/>
    <w:rsid w:val="009E187F"/>
    <w:rsid w:val="009E1E6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DEC"/>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5EF0"/>
    <w:rsid w:val="00BC7E8F"/>
    <w:rsid w:val="00BD0483"/>
    <w:rsid w:val="00BD2CAE"/>
    <w:rsid w:val="00BD3258"/>
    <w:rsid w:val="00BD3276"/>
    <w:rsid w:val="00BD4C0E"/>
    <w:rsid w:val="00BD5278"/>
    <w:rsid w:val="00BD5A0E"/>
    <w:rsid w:val="00BD5E89"/>
    <w:rsid w:val="00BD5EE0"/>
    <w:rsid w:val="00BD7104"/>
    <w:rsid w:val="00BD7819"/>
    <w:rsid w:val="00BE0120"/>
    <w:rsid w:val="00BE0F52"/>
    <w:rsid w:val="00BE12EC"/>
    <w:rsid w:val="00BE17C2"/>
    <w:rsid w:val="00BE2839"/>
    <w:rsid w:val="00BE3226"/>
    <w:rsid w:val="00BE412A"/>
    <w:rsid w:val="00BE4801"/>
    <w:rsid w:val="00BE543E"/>
    <w:rsid w:val="00BE586D"/>
    <w:rsid w:val="00BE79B4"/>
    <w:rsid w:val="00BF0698"/>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08A6"/>
    <w:rsid w:val="00C1106C"/>
    <w:rsid w:val="00C1148A"/>
    <w:rsid w:val="00C11E35"/>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5C37"/>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9796D"/>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3D7"/>
    <w:rsid w:val="00D02B88"/>
    <w:rsid w:val="00D02D79"/>
    <w:rsid w:val="00D03D0F"/>
    <w:rsid w:val="00D04090"/>
    <w:rsid w:val="00D04D3F"/>
    <w:rsid w:val="00D05B0C"/>
    <w:rsid w:val="00D05D68"/>
    <w:rsid w:val="00D060C7"/>
    <w:rsid w:val="00D06C58"/>
    <w:rsid w:val="00D07576"/>
    <w:rsid w:val="00D07DC2"/>
    <w:rsid w:val="00D10640"/>
    <w:rsid w:val="00D10FB3"/>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23C5"/>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5960"/>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6546"/>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2887"/>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5073"/>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67A"/>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0FE"/>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D2D"/>
    <w:rsid w:val="00E97E7D"/>
    <w:rsid w:val="00EA04F8"/>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723"/>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59A"/>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A12"/>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090"/>
    <w:rsid w:val="00F276C1"/>
    <w:rsid w:val="00F2771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03C9"/>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3A33"/>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4A"/>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C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qFormat/>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254940791">
      <w:bodyDiv w:val="1"/>
      <w:marLeft w:val="0"/>
      <w:marRight w:val="0"/>
      <w:marTop w:val="0"/>
      <w:marBottom w:val="0"/>
      <w:divBdr>
        <w:top w:val="none" w:sz="0" w:space="0" w:color="auto"/>
        <w:left w:val="none" w:sz="0" w:space="0" w:color="auto"/>
        <w:bottom w:val="none" w:sz="0" w:space="0" w:color="auto"/>
        <w:right w:val="none" w:sz="0" w:space="0" w:color="auto"/>
      </w:divBdr>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63169866">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58141143">
      <w:bodyDiv w:val="1"/>
      <w:marLeft w:val="0"/>
      <w:marRight w:val="0"/>
      <w:marTop w:val="0"/>
      <w:marBottom w:val="0"/>
      <w:divBdr>
        <w:top w:val="none" w:sz="0" w:space="0" w:color="auto"/>
        <w:left w:val="none" w:sz="0" w:space="0" w:color="auto"/>
        <w:bottom w:val="none" w:sz="0" w:space="0" w:color="auto"/>
        <w:right w:val="none" w:sz="0" w:space="0" w:color="auto"/>
      </w:divBdr>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11158426">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6FA55-FF83-4101-95D0-69A156F0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3368</Words>
  <Characters>19200</Characters>
  <Application>Microsoft Office Word</Application>
  <DocSecurity>0</DocSecurity>
  <Lines>160</Lines>
  <Paragraphs>45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LinksUpToDate>false</LinksUpToDate>
  <CharactersWithSpaces>22523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2023-10-17T07:16:00Z</dcterms:created>
  <dcterms:modified xsi:type="dcterms:W3CDTF">2023-10-17T07:16:00Z</dcterms:modified>
</cp:coreProperties>
</file>