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BB9" w:rsidRPr="00BD756B" w:rsidRDefault="00DD4BB9" w:rsidP="007F4E6D">
      <w:pPr>
        <w:tabs>
          <w:tab w:val="center" w:pos="4536"/>
          <w:tab w:val="right" w:pos="9072"/>
        </w:tabs>
        <w:spacing w:after="0" w:line="240" w:lineRule="auto"/>
        <w:jc w:val="right"/>
        <w:rPr>
          <w:rFonts w:asciiTheme="majorHAnsi" w:eastAsia="Calibri" w:hAnsiTheme="majorHAnsi" w:cs="Times New Roman"/>
          <w:b/>
          <w:i/>
          <w:sz w:val="24"/>
          <w:szCs w:val="24"/>
          <w:lang w:val="en-US"/>
        </w:rPr>
      </w:pPr>
    </w:p>
    <w:p w:rsidR="00C1144B" w:rsidRPr="008247B0" w:rsidRDefault="00350080" w:rsidP="007F4E6D">
      <w:pPr>
        <w:tabs>
          <w:tab w:val="center" w:pos="4536"/>
          <w:tab w:val="right" w:pos="9072"/>
        </w:tabs>
        <w:spacing w:after="0" w:line="240" w:lineRule="auto"/>
        <w:jc w:val="right"/>
        <w:rPr>
          <w:rFonts w:asciiTheme="majorHAnsi" w:eastAsia="Calibri" w:hAnsiTheme="majorHAnsi" w:cs="Times New Roman"/>
          <w:b/>
          <w:i/>
          <w:sz w:val="24"/>
          <w:szCs w:val="24"/>
        </w:rPr>
      </w:pPr>
      <w:r w:rsidRPr="008247B0">
        <w:rPr>
          <w:rFonts w:asciiTheme="majorHAnsi" w:eastAsia="Calibri" w:hAnsiTheme="majorHAnsi" w:cs="Times New Roman"/>
          <w:b/>
          <w:i/>
          <w:sz w:val="24"/>
          <w:szCs w:val="24"/>
        </w:rPr>
        <w:t>Приложение 1</w:t>
      </w:r>
      <w:r w:rsidR="00875311" w:rsidRPr="008247B0">
        <w:rPr>
          <w:rFonts w:asciiTheme="majorHAnsi" w:eastAsia="Calibri" w:hAnsiTheme="majorHAnsi" w:cs="Times New Roman"/>
          <w:b/>
          <w:i/>
          <w:sz w:val="24"/>
          <w:szCs w:val="24"/>
          <w:lang w:val="en-US"/>
        </w:rPr>
        <w:t>1</w:t>
      </w:r>
    </w:p>
    <w:p w:rsidR="00045584" w:rsidRPr="008247B0" w:rsidRDefault="00045584" w:rsidP="00C1144B">
      <w:pPr>
        <w:spacing w:after="0" w:line="240" w:lineRule="auto"/>
        <w:rPr>
          <w:rFonts w:asciiTheme="majorHAnsi" w:eastAsia="Times New Roman" w:hAnsiTheme="majorHAnsi" w:cstheme="minorHAnsi"/>
          <w:b/>
          <w:snapToGrid w:val="0"/>
          <w:kern w:val="28"/>
          <w:sz w:val="24"/>
          <w:szCs w:val="24"/>
        </w:rPr>
      </w:pPr>
    </w:p>
    <w:p w:rsidR="00C1144B" w:rsidRPr="008247B0" w:rsidRDefault="007F4E6D" w:rsidP="00C1144B">
      <w:pPr>
        <w:spacing w:after="0" w:line="240" w:lineRule="auto"/>
        <w:rPr>
          <w:rFonts w:asciiTheme="majorHAnsi" w:eastAsia="Times New Roman" w:hAnsiTheme="majorHAnsi" w:cstheme="minorHAnsi"/>
          <w:b/>
          <w:snapToGrid w:val="0"/>
          <w:kern w:val="28"/>
          <w:sz w:val="24"/>
          <w:szCs w:val="24"/>
        </w:rPr>
      </w:pPr>
      <w:r w:rsidRPr="008247B0">
        <w:rPr>
          <w:rFonts w:asciiTheme="majorHAnsi" w:eastAsia="Times New Roman" w:hAnsiTheme="majorHAnsi" w:cstheme="minorHAnsi"/>
          <w:b/>
          <w:snapToGrid w:val="0"/>
          <w:kern w:val="28"/>
          <w:sz w:val="24"/>
          <w:szCs w:val="24"/>
          <w:lang w:val="en-US"/>
        </w:rPr>
        <w:t xml:space="preserve">I. </w:t>
      </w:r>
      <w:r w:rsidR="00C1144B" w:rsidRPr="008247B0">
        <w:rPr>
          <w:rFonts w:asciiTheme="majorHAnsi" w:eastAsia="Times New Roman" w:hAnsiTheme="majorHAnsi" w:cstheme="minorHAnsi"/>
          <w:b/>
          <w:snapToGrid w:val="0"/>
          <w:kern w:val="28"/>
          <w:sz w:val="24"/>
          <w:szCs w:val="24"/>
        </w:rPr>
        <w:t>ИЗПОЛЗВАНИ СЪКРАЩЕНИЯ</w:t>
      </w:r>
      <w:r w:rsidR="001B13CE" w:rsidRPr="008247B0">
        <w:rPr>
          <w:rFonts w:asciiTheme="majorHAnsi" w:eastAsia="Times New Roman" w:hAnsiTheme="majorHAnsi" w:cstheme="minorHAnsi"/>
          <w:b/>
          <w:snapToGrid w:val="0"/>
          <w:kern w:val="28"/>
          <w:sz w:val="24"/>
          <w:szCs w:val="24"/>
        </w:rPr>
        <w:t>:</w:t>
      </w:r>
    </w:p>
    <w:p w:rsidR="00C1144B" w:rsidRPr="008247B0" w:rsidRDefault="00C1144B" w:rsidP="00C1144B">
      <w:pPr>
        <w:spacing w:after="0" w:line="240" w:lineRule="auto"/>
        <w:rPr>
          <w:rFonts w:asciiTheme="majorHAnsi" w:eastAsia="Times New Roman" w:hAnsiTheme="majorHAnsi"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6941"/>
      </w:tblGrid>
      <w:tr w:rsidR="00C1144B" w:rsidRPr="008247B0" w:rsidTr="00997293">
        <w:tc>
          <w:tcPr>
            <w:tcW w:w="1170" w:type="pct"/>
            <w:shd w:val="clear" w:color="auto" w:fill="D9D9D9"/>
          </w:tcPr>
          <w:p w:rsidR="00C1144B" w:rsidRPr="008247B0" w:rsidRDefault="00C1144B" w:rsidP="008B34EF">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ДДС</w:t>
            </w:r>
          </w:p>
        </w:tc>
        <w:tc>
          <w:tcPr>
            <w:tcW w:w="3830" w:type="pct"/>
            <w:shd w:val="clear" w:color="auto" w:fill="F2F2F2" w:themeFill="background1" w:themeFillShade="F2"/>
          </w:tcPr>
          <w:p w:rsidR="00C1144B" w:rsidRPr="008247B0" w:rsidRDefault="00C1144B" w:rsidP="008B34EF">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Данък добавена стойност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ДМА</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Дълготрайни материални активи</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ДНА</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Дълготрайни нематериални активи</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ДНФ</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 xml:space="preserve">Дирекция „Национален фонд”, Министерство на финансите </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ДОПК</w:t>
            </w:r>
          </w:p>
        </w:tc>
        <w:tc>
          <w:tcPr>
            <w:tcW w:w="3830" w:type="pct"/>
            <w:shd w:val="clear" w:color="auto" w:fill="F2F2F2" w:themeFill="background1" w:themeFillShade="F2"/>
          </w:tcPr>
          <w:p w:rsidR="00997293" w:rsidRPr="008247B0" w:rsidRDefault="00997293" w:rsidP="00997293">
            <w:pPr>
              <w:spacing w:after="0" w:line="240" w:lineRule="auto"/>
              <w:ind w:left="289" w:right="289"/>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Данъчно-осигурител</w:t>
            </w:r>
            <w:r w:rsidRPr="008247B0">
              <w:rPr>
                <w:rFonts w:asciiTheme="majorHAnsi" w:eastAsia="Times New Roman" w:hAnsiTheme="majorHAnsi" w:cstheme="minorHAnsi"/>
                <w:b/>
                <w:snapToGrid w:val="0"/>
                <w:sz w:val="24"/>
                <w:szCs w:val="24"/>
                <w:lang w:val="en-US"/>
              </w:rPr>
              <w:t>e</w:t>
            </w:r>
            <w:r w:rsidRPr="008247B0">
              <w:rPr>
                <w:rFonts w:asciiTheme="majorHAnsi" w:eastAsia="Times New Roman" w:hAnsiTheme="majorHAnsi" w:cstheme="minorHAnsi"/>
                <w:b/>
                <w:snapToGrid w:val="0"/>
                <w:sz w:val="24"/>
                <w:szCs w:val="24"/>
              </w:rPr>
              <w:t>н процесуален кодекс</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ЕК</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Европейска комисия</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ЕО</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Европейска общност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ЕС</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Европейски съюз</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ЗЕ</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енергетиката</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ЗКПО</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корпоративното подоходно облагане</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ЗМСП</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малките и средните предприятия</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ЗОП</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обществените поръчки</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ЗУО</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управление на отпадъците</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ЗТРРЮЛНЦ</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търговския регистър и регистъра на юридическите лица с нестопанска цел</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ИСМ</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Информационна система за Механизма – ИСУН 2020, раздел НПВУ</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ИСУН 2020</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Информационна система за управление и наблюдение на средствата от ЕС в България 2020</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КЕП</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Квалифициран електронен подпис</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КИД 2008</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Класификация на икономическите дейности 2008</w:t>
            </w:r>
          </w:p>
        </w:tc>
      </w:tr>
      <w:tr w:rsidR="00EF6612" w:rsidRPr="008247B0" w:rsidTr="00997293">
        <w:tc>
          <w:tcPr>
            <w:tcW w:w="1170" w:type="pct"/>
            <w:shd w:val="clear" w:color="auto" w:fill="D9D9D9"/>
          </w:tcPr>
          <w:p w:rsidR="00EF6612" w:rsidRPr="008247B0" w:rsidRDefault="00EF6612"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КП</w:t>
            </w:r>
          </w:p>
        </w:tc>
        <w:tc>
          <w:tcPr>
            <w:tcW w:w="3830" w:type="pct"/>
            <w:shd w:val="clear" w:color="auto" w:fill="F2F2F2" w:themeFill="background1" w:themeFillShade="F2"/>
          </w:tcPr>
          <w:p w:rsidR="00EF6612" w:rsidRPr="008247B0" w:rsidRDefault="00EF6612"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Краен получател</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МВУ</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Механизъм за възстановяване и устойчивост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МИР</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Министерство на иновациите и растежа</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МС</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Министерски съвет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МСП</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Малки и средни предприятия</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НПВУ</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Национален план за възстановяване и устойчивост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НСИ</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Национален статистически институт</w:t>
            </w:r>
          </w:p>
        </w:tc>
      </w:tr>
      <w:tr w:rsidR="00273879" w:rsidRPr="008247B0" w:rsidTr="00997293">
        <w:tc>
          <w:tcPr>
            <w:tcW w:w="1170" w:type="pct"/>
            <w:shd w:val="clear" w:color="auto" w:fill="D9D9D9"/>
          </w:tcPr>
          <w:p w:rsidR="00273879" w:rsidRPr="008247B0" w:rsidRDefault="00273879"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ПИИ</w:t>
            </w:r>
          </w:p>
        </w:tc>
        <w:tc>
          <w:tcPr>
            <w:tcW w:w="3830" w:type="pct"/>
            <w:shd w:val="clear" w:color="auto" w:fill="F2F2F2" w:themeFill="background1" w:themeFillShade="F2"/>
          </w:tcPr>
          <w:p w:rsidR="00273879" w:rsidRPr="008247B0" w:rsidRDefault="00273879"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Предложение за изпълнение на инвестиции</w:t>
            </w:r>
          </w:p>
        </w:tc>
      </w:tr>
      <w:tr w:rsidR="00CA584E" w:rsidRPr="008247B0" w:rsidTr="00997293">
        <w:tc>
          <w:tcPr>
            <w:tcW w:w="1170" w:type="pct"/>
            <w:shd w:val="clear" w:color="auto" w:fill="D9D9D9"/>
          </w:tcPr>
          <w:p w:rsidR="00CA584E" w:rsidRPr="008247B0" w:rsidRDefault="00CA584E"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ПИП</w:t>
            </w:r>
          </w:p>
        </w:tc>
        <w:tc>
          <w:tcPr>
            <w:tcW w:w="3830" w:type="pct"/>
            <w:shd w:val="clear" w:color="auto" w:fill="F2F2F2" w:themeFill="background1" w:themeFillShade="F2"/>
          </w:tcPr>
          <w:p w:rsidR="00CA584E" w:rsidRPr="008247B0" w:rsidRDefault="00CA584E"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Прединвестиционно проучване</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ПМС</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Постановление на Министерски съвет</w:t>
            </w:r>
          </w:p>
        </w:tc>
      </w:tr>
      <w:tr w:rsidR="00CA584E" w:rsidRPr="008247B0" w:rsidTr="00997293">
        <w:tc>
          <w:tcPr>
            <w:tcW w:w="1170" w:type="pct"/>
            <w:shd w:val="clear" w:color="auto" w:fill="D9D9D9"/>
          </w:tcPr>
          <w:p w:rsidR="00CA584E" w:rsidRPr="008247B0" w:rsidRDefault="00CA584E"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ПУП</w:t>
            </w:r>
          </w:p>
        </w:tc>
        <w:tc>
          <w:tcPr>
            <w:tcW w:w="3830" w:type="pct"/>
            <w:shd w:val="clear" w:color="auto" w:fill="F2F2F2" w:themeFill="background1" w:themeFillShade="F2"/>
          </w:tcPr>
          <w:p w:rsidR="00CA584E" w:rsidRPr="008247B0" w:rsidRDefault="00CA584E"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Подробен устройствен план</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СМР</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Строително-монтажни работи</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СНД</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Структурата за наблюдение и докладване</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ТРРЮЛНЦ</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Търговки регистър и регистър на юридическите лица с нестопанска цел</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ФК</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Формуляр за кандидатстване</w:t>
            </w:r>
          </w:p>
        </w:tc>
      </w:tr>
    </w:tbl>
    <w:p w:rsidR="00DA3619" w:rsidRPr="008247B0" w:rsidRDefault="00DA3619">
      <w:pPr>
        <w:rPr>
          <w:rFonts w:asciiTheme="majorHAnsi" w:hAnsiTheme="majorHAnsi" w:cstheme="minorHAnsi"/>
          <w:sz w:val="24"/>
          <w:szCs w:val="24"/>
        </w:rPr>
      </w:pPr>
    </w:p>
    <w:p w:rsidR="00F56BC0" w:rsidRPr="008247B0" w:rsidRDefault="007F4E6D" w:rsidP="00F56BC0">
      <w:pPr>
        <w:spacing w:after="0" w:line="240" w:lineRule="auto"/>
        <w:rPr>
          <w:rFonts w:asciiTheme="majorHAnsi" w:eastAsia="Times New Roman" w:hAnsiTheme="majorHAnsi" w:cstheme="minorHAnsi"/>
          <w:b/>
          <w:snapToGrid w:val="0"/>
          <w:kern w:val="28"/>
          <w:sz w:val="24"/>
          <w:szCs w:val="24"/>
        </w:rPr>
      </w:pPr>
      <w:r w:rsidRPr="008247B0">
        <w:rPr>
          <w:rFonts w:asciiTheme="majorHAnsi" w:eastAsia="Times New Roman" w:hAnsiTheme="majorHAnsi" w:cstheme="minorHAnsi"/>
          <w:b/>
          <w:snapToGrid w:val="0"/>
          <w:kern w:val="28"/>
          <w:sz w:val="24"/>
          <w:szCs w:val="24"/>
          <w:lang w:val="en-US"/>
        </w:rPr>
        <w:t xml:space="preserve">II. </w:t>
      </w:r>
      <w:r w:rsidR="00DF094A" w:rsidRPr="008247B0">
        <w:rPr>
          <w:rFonts w:asciiTheme="majorHAnsi" w:eastAsia="Times New Roman" w:hAnsiTheme="majorHAnsi" w:cstheme="minorHAnsi"/>
          <w:b/>
          <w:snapToGrid w:val="0"/>
          <w:kern w:val="28"/>
          <w:sz w:val="24"/>
          <w:szCs w:val="24"/>
        </w:rPr>
        <w:t>ОСНОВНИ ДЕФИНИЦИИ</w:t>
      </w:r>
      <w:r w:rsidR="009B0FAC" w:rsidRPr="008247B0">
        <w:rPr>
          <w:rFonts w:asciiTheme="majorHAnsi" w:eastAsia="Times New Roman" w:hAnsiTheme="majorHAnsi" w:cstheme="minorHAnsi"/>
          <w:b/>
          <w:snapToGrid w:val="0"/>
          <w:kern w:val="28"/>
          <w:sz w:val="24"/>
          <w:szCs w:val="24"/>
        </w:rPr>
        <w:t>:</w:t>
      </w:r>
    </w:p>
    <w:p w:rsidR="00E12165" w:rsidRPr="008247B0" w:rsidRDefault="00E12165" w:rsidP="00F56BC0">
      <w:pPr>
        <w:spacing w:after="0" w:line="240" w:lineRule="auto"/>
        <w:rPr>
          <w:rFonts w:asciiTheme="majorHAnsi" w:eastAsia="Times New Roman" w:hAnsiTheme="majorHAnsi" w:cstheme="minorHAnsi"/>
          <w:b/>
          <w:snapToGrid w:val="0"/>
          <w:kern w:val="28"/>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689"/>
      </w:tblGrid>
      <w:tr w:rsidR="00FA5719" w:rsidRPr="008247B0" w:rsidTr="005B629B">
        <w:tc>
          <w:tcPr>
            <w:tcW w:w="2633" w:type="dxa"/>
            <w:shd w:val="clear" w:color="auto" w:fill="E6E6E6"/>
          </w:tcPr>
          <w:p w:rsidR="00FA5719" w:rsidRPr="008247B0" w:rsidRDefault="00FA5719" w:rsidP="00F1464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Горски продукт</w:t>
            </w:r>
          </w:p>
        </w:tc>
        <w:tc>
          <w:tcPr>
            <w:tcW w:w="6689" w:type="dxa"/>
            <w:shd w:val="clear" w:color="auto" w:fill="F3F3F3"/>
          </w:tcPr>
          <w:p w:rsidR="00FA5719" w:rsidRPr="008247B0" w:rsidRDefault="00FA5719" w:rsidP="00FA5719">
            <w:pPr>
              <w:spacing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rsidR="00FA5719" w:rsidRPr="008247B0" w:rsidRDefault="00FA5719" w:rsidP="00FA5719">
            <w:pPr>
              <w:spacing w:after="240"/>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Дефиницията включва и продукти от следните производства преди индустриалната преработка на дървесината:</w:t>
            </w:r>
          </w:p>
          <w:p w:rsidR="00FA5719" w:rsidRPr="008247B0" w:rsidRDefault="00FA5719" w:rsidP="00FA5719">
            <w:pPr>
              <w:pStyle w:val="ListParagraph"/>
              <w:numPr>
                <w:ilvl w:val="0"/>
                <w:numId w:val="2"/>
              </w:numPr>
              <w:spacing w:before="240" w:after="0" w:line="240" w:lineRule="auto"/>
              <w:ind w:left="338" w:hanging="338"/>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rsidR="00FA5719" w:rsidRPr="008247B0"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Нарязване, сортиране, рендосване, профилиране, окрайчване, фасониране и шлайфане; </w:t>
            </w:r>
          </w:p>
          <w:p w:rsidR="00FA5719" w:rsidRPr="008247B0"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Сушене и импрегниране на дървен материал; </w:t>
            </w:r>
          </w:p>
          <w:p w:rsidR="00FA5719" w:rsidRPr="008247B0"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Производство</w:t>
            </w:r>
            <w:r w:rsidRPr="008247B0">
              <w:rPr>
                <w:rFonts w:asciiTheme="majorHAnsi" w:eastAsia="Times New Roman" w:hAnsiTheme="majorHAnsi" w:cs="Calibri"/>
                <w:i/>
                <w:iCs/>
                <w:sz w:val="24"/>
                <w:szCs w:val="24"/>
              </w:rPr>
              <w:t xml:space="preserve"> </w:t>
            </w:r>
            <w:r w:rsidRPr="008247B0">
              <w:rPr>
                <w:rFonts w:asciiTheme="majorHAnsi" w:eastAsia="Times New Roman" w:hAnsiTheme="majorHAnsi"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FA5719" w:rsidRPr="008247B0"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Производство на колове или колчета: белене, цепене, заостряне, пакетиране; </w:t>
            </w:r>
          </w:p>
          <w:p w:rsidR="00FA5719" w:rsidRPr="008247B0" w:rsidRDefault="00FA5719" w:rsidP="00FA5719">
            <w:pPr>
              <w:spacing w:line="240" w:lineRule="auto"/>
              <w:ind w:left="338" w:hanging="338"/>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6. Производство на дърва за горене: рязане, цепене</w:t>
            </w:r>
            <w:r w:rsidRPr="008247B0">
              <w:rPr>
                <w:rFonts w:asciiTheme="majorHAnsi" w:eastAsia="Times New Roman" w:hAnsiTheme="majorHAnsi" w:cs="Calibri"/>
                <w:i/>
                <w:iCs/>
                <w:sz w:val="24"/>
                <w:szCs w:val="24"/>
              </w:rPr>
              <w:t xml:space="preserve">,  </w:t>
            </w:r>
            <w:r w:rsidRPr="008247B0">
              <w:rPr>
                <w:rFonts w:asciiTheme="majorHAnsi" w:eastAsia="Times New Roman" w:hAnsiTheme="majorHAnsi" w:cstheme="minorHAnsi"/>
                <w:snapToGrid w:val="0"/>
                <w:sz w:val="24"/>
                <w:szCs w:val="24"/>
              </w:rPr>
              <w:t>пакетиране.</w:t>
            </w:r>
          </w:p>
        </w:tc>
      </w:tr>
      <w:tr w:rsidR="0045726C" w:rsidRPr="008247B0" w:rsidTr="005B629B">
        <w:tc>
          <w:tcPr>
            <w:tcW w:w="2633" w:type="dxa"/>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Група предприятия</w:t>
            </w:r>
          </w:p>
        </w:tc>
        <w:tc>
          <w:tcPr>
            <w:tcW w:w="6689" w:type="dxa"/>
            <w:shd w:val="clear" w:color="auto" w:fill="F3F3F3"/>
          </w:tcPr>
          <w:p w:rsidR="0045726C" w:rsidRPr="008247B0" w:rsidRDefault="0045726C" w:rsidP="0045726C">
            <w:pPr>
              <w:spacing w:before="100" w:beforeAutospacing="1" w:after="0" w:line="240" w:lineRule="auto"/>
              <w:jc w:val="both"/>
              <w:rPr>
                <w:rFonts w:asciiTheme="majorHAnsi" w:hAnsiTheme="majorHAnsi"/>
                <w:sz w:val="24"/>
                <w:szCs w:val="24"/>
              </w:rPr>
            </w:pPr>
            <w:r w:rsidRPr="008247B0">
              <w:rPr>
                <w:rFonts w:asciiTheme="majorHAnsi" w:eastAsia="Times New Roman" w:hAnsiTheme="majorHAnsi" w:cstheme="minorHAnsi"/>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45726C" w:rsidRPr="008247B0" w:rsidRDefault="0045726C" w:rsidP="0045726C">
            <w:pPr>
              <w:spacing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45726C" w:rsidRPr="008247B0" w:rsidTr="005B629B">
        <w:tc>
          <w:tcPr>
            <w:tcW w:w="2633" w:type="dxa"/>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 xml:space="preserve">Дата на започване на работата по </w:t>
            </w:r>
            <w:r w:rsidRPr="008247B0">
              <w:rPr>
                <w:rFonts w:asciiTheme="majorHAnsi" w:eastAsia="Times New Roman" w:hAnsiTheme="majorHAnsi" w:cstheme="minorHAnsi"/>
                <w:b/>
                <w:snapToGrid w:val="0"/>
                <w:sz w:val="24"/>
                <w:szCs w:val="24"/>
              </w:rPr>
              <w:lastRenderedPageBreak/>
              <w:t>предложението за изпълнение на инвестиция</w:t>
            </w:r>
          </w:p>
        </w:tc>
        <w:tc>
          <w:tcPr>
            <w:tcW w:w="6689" w:type="dxa"/>
            <w:shd w:val="clear" w:color="auto" w:fill="F3F3F3"/>
          </w:tcPr>
          <w:p w:rsidR="0045726C" w:rsidRPr="008247B0"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lastRenderedPageBreak/>
              <w:t xml:space="preserve">Означава първото от следните събития: започване на работите, свързани с инвестицията или поемане на първия </w:t>
            </w:r>
            <w:r w:rsidRPr="008247B0">
              <w:rPr>
                <w:rFonts w:asciiTheme="majorHAnsi" w:eastAsia="Times New Roman" w:hAnsiTheme="majorHAnsi" w:cstheme="minorHAnsi"/>
                <w:snapToGrid w:val="0"/>
                <w:sz w:val="24"/>
                <w:szCs w:val="24"/>
              </w:rPr>
              <w:lastRenderedPageBreak/>
              <w:t xml:space="preserve">правнообвързващ ангажимент за поръчка на оборудване, предоставяне на услуга или всеки друг ангажимент, който прави инвестицията необратима. </w:t>
            </w:r>
          </w:p>
        </w:tc>
      </w:tr>
      <w:tr w:rsidR="0045726C" w:rsidRPr="008247B0" w:rsidTr="005B629B">
        <w:tc>
          <w:tcPr>
            <w:tcW w:w="2633" w:type="dxa"/>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lastRenderedPageBreak/>
              <w:t>Дейност</w:t>
            </w:r>
          </w:p>
        </w:tc>
        <w:tc>
          <w:tcPr>
            <w:tcW w:w="6689" w:type="dxa"/>
            <w:shd w:val="clear" w:color="auto" w:fill="F3F3F3"/>
          </w:tcPr>
          <w:p w:rsidR="0045726C" w:rsidRPr="008247B0"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съответната инвестиция.</w:t>
            </w:r>
          </w:p>
        </w:tc>
      </w:tr>
      <w:tr w:rsidR="0045726C" w:rsidRPr="008247B0" w:rsidTr="005B629B">
        <w:tc>
          <w:tcPr>
            <w:tcW w:w="2633" w:type="dxa"/>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Договор за финансиране</w:t>
            </w:r>
          </w:p>
        </w:tc>
        <w:tc>
          <w:tcPr>
            <w:tcW w:w="6689" w:type="dxa"/>
            <w:shd w:val="clear" w:color="auto" w:fill="F3F3F3"/>
          </w:tcPr>
          <w:p w:rsidR="0045726C" w:rsidRPr="008247B0"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Договор за предоставяне на средствата от Механизма за възстановяване и устойчивост от Ръководителя на Структурата за наблюдение и докладване въз основа на одобрено предложение за изпълнение на инвестиция.</w:t>
            </w:r>
          </w:p>
        </w:tc>
      </w:tr>
      <w:tr w:rsidR="0045726C" w:rsidRPr="008247B0" w:rsidTr="005B629B">
        <w:tc>
          <w:tcPr>
            <w:tcW w:w="2633" w:type="dxa"/>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Едно и също предприятие</w:t>
            </w:r>
          </w:p>
        </w:tc>
        <w:tc>
          <w:tcPr>
            <w:tcW w:w="6689" w:type="dxa"/>
            <w:shd w:val="clear" w:color="auto" w:fill="F3F3F3"/>
          </w:tcPr>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Calibri" w:hAnsiTheme="majorHAnsi" w:cs="Times New Roman"/>
                <w:bCs/>
                <w:sz w:val="24"/>
                <w:szCs w:val="24"/>
              </w:rPr>
              <w:t xml:space="preserve">Съгласно чл. 2, пар. 2 на Регламент (ЕС) № 1407/2013 </w:t>
            </w:r>
            <w:r w:rsidRPr="008247B0">
              <w:rPr>
                <w:rFonts w:asciiTheme="majorHAnsi" w:eastAsia="Times New Roman" w:hAnsiTheme="majorHAnsi"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 xml:space="preserve">Енергийна инфраструктура </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По смисъла на чл. 2, пар. 130 от Регламент (ЕО) № 651/2014 „енергийна инфраструктура“ означава всякакво материално оборудване или съоръжения, които са разположени в</w:t>
            </w:r>
            <w:r w:rsidRPr="008247B0">
              <w:rPr>
                <w:rFonts w:asciiTheme="majorHAnsi" w:eastAsia="Times New Roman" w:hAnsiTheme="majorHAnsi" w:cstheme="minorHAnsi"/>
                <w:snapToGrid w:val="0"/>
                <w:sz w:val="24"/>
                <w:szCs w:val="24"/>
              </w:rPr>
              <w:br/>
              <w:t>Съюза или свързват Съюза с една или повече трети държави и които попадат в една от следните категории:</w:t>
            </w:r>
          </w:p>
          <w:p w:rsidR="005B18EA" w:rsidRPr="008247B0" w:rsidRDefault="005B18EA" w:rsidP="005B18EA">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а) относно електроенергията:</w:t>
            </w:r>
            <w:r w:rsidRPr="008247B0">
              <w:rPr>
                <w:rFonts w:asciiTheme="majorHAnsi" w:eastAsia="Times New Roman" w:hAnsiTheme="majorHAnsi" w:cstheme="minorHAnsi"/>
                <w:snapToGrid w:val="0"/>
                <w:sz w:val="24"/>
                <w:szCs w:val="24"/>
              </w:rPr>
              <w:br/>
              <w:t>i) инфраструктура за пренос съгласно определението в член 2, точка 3 от Директива 2009/72/ЕО от 13 юли</w:t>
            </w:r>
            <w:r w:rsidRPr="008247B0">
              <w:rPr>
                <w:rFonts w:asciiTheme="majorHAnsi" w:eastAsia="Times New Roman" w:hAnsiTheme="majorHAnsi" w:cstheme="minorHAnsi"/>
                <w:snapToGrid w:val="0"/>
                <w:sz w:val="24"/>
                <w:szCs w:val="24"/>
              </w:rPr>
              <w:br/>
              <w:t>2009 г. относно общите правила за вътрешния пазар на електроенергия (2 );</w:t>
            </w:r>
            <w:r w:rsidRPr="008247B0">
              <w:rPr>
                <w:rFonts w:asciiTheme="majorHAnsi" w:eastAsia="Times New Roman" w:hAnsiTheme="majorHAnsi" w:cstheme="minorHAnsi"/>
                <w:snapToGrid w:val="0"/>
                <w:sz w:val="24"/>
                <w:szCs w:val="24"/>
              </w:rPr>
              <w:br/>
              <w:t>ii) инфраструктура за разпределение съгласно определението в член 2, точка 5 от Директива 2009/72/ЕО;</w:t>
            </w:r>
            <w:r w:rsidRPr="008247B0">
              <w:rPr>
                <w:rFonts w:asciiTheme="majorHAnsi" w:eastAsia="Times New Roman" w:hAnsiTheme="majorHAnsi" w:cstheme="minorHAnsi"/>
                <w:snapToGrid w:val="0"/>
                <w:sz w:val="24"/>
                <w:szCs w:val="24"/>
              </w:rPr>
              <w:br/>
              <w:t>iii) хранилища за електроенергия, които се определят като съоръжения, използвани за натрупване на електрое</w:t>
            </w:r>
            <w:r w:rsidRPr="008247B0">
              <w:rPr>
                <w:rFonts w:asciiTheme="majorHAnsi" w:eastAsia="Times New Roman" w:hAnsiTheme="majorHAnsi" w:cstheme="minorHAnsi"/>
                <w:snapToGrid w:val="0"/>
                <w:sz w:val="24"/>
                <w:szCs w:val="24"/>
              </w:rPr>
              <w:br/>
              <w:t>нергия за постоянно или временно в надземна или подземна инфраструктура или геоложки обекти, при</w:t>
            </w:r>
            <w:r w:rsidRPr="008247B0">
              <w:rPr>
                <w:rFonts w:asciiTheme="majorHAnsi" w:eastAsia="Times New Roman" w:hAnsiTheme="majorHAnsi" w:cstheme="minorHAnsi"/>
                <w:snapToGrid w:val="0"/>
                <w:sz w:val="24"/>
                <w:szCs w:val="24"/>
              </w:rPr>
              <w:br/>
              <w:t>условие че те са директно свързани към електропроводи за високо налягане, проектирани за напрежение</w:t>
            </w:r>
            <w:r w:rsidRPr="008247B0">
              <w:rPr>
                <w:rFonts w:asciiTheme="majorHAnsi" w:eastAsia="Times New Roman" w:hAnsiTheme="majorHAnsi" w:cstheme="minorHAnsi"/>
                <w:snapToGrid w:val="0"/>
                <w:sz w:val="24"/>
                <w:szCs w:val="24"/>
              </w:rPr>
              <w:br/>
              <w:t>110 kV или по-високо;</w:t>
            </w:r>
            <w:r w:rsidRPr="008247B0">
              <w:rPr>
                <w:rFonts w:asciiTheme="majorHAnsi" w:eastAsia="Times New Roman" w:hAnsiTheme="majorHAnsi" w:cstheme="minorHAnsi"/>
                <w:snapToGrid w:val="0"/>
                <w:sz w:val="24"/>
                <w:szCs w:val="24"/>
              </w:rPr>
              <w:br/>
              <w:t>iv) всякакво оборудване или инсталация, които са от основно значение за безопасната, сигурна и ефективна</w:t>
            </w:r>
            <w:r w:rsidRPr="008247B0">
              <w:rPr>
                <w:rFonts w:asciiTheme="majorHAnsi" w:eastAsia="Times New Roman" w:hAnsiTheme="majorHAnsi" w:cstheme="minorHAnsi"/>
                <w:snapToGrid w:val="0"/>
                <w:sz w:val="24"/>
                <w:szCs w:val="24"/>
              </w:rPr>
              <w:br/>
              <w:t>работа на системите, определени в букви i)—iii), включително системите за защита, следене и контрол за</w:t>
            </w:r>
            <w:r w:rsidRPr="008247B0">
              <w:rPr>
                <w:rFonts w:asciiTheme="majorHAnsi" w:eastAsia="Times New Roman" w:hAnsiTheme="majorHAnsi" w:cstheme="minorHAnsi"/>
                <w:snapToGrid w:val="0"/>
                <w:sz w:val="24"/>
                <w:szCs w:val="24"/>
              </w:rPr>
              <w:br/>
              <w:t xml:space="preserve">всички напрежения и подстанции; и                                       </w:t>
            </w:r>
          </w:p>
          <w:p w:rsidR="005B18EA" w:rsidRPr="008247B0" w:rsidRDefault="005B18EA" w:rsidP="005B18EA">
            <w:pPr>
              <w:spacing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v) интелигентни мрежи, определени като всякакво оборудване, линии, кабели или инсталации, както на</w:t>
            </w:r>
            <w:r w:rsidRPr="008247B0">
              <w:rPr>
                <w:rFonts w:asciiTheme="majorHAnsi" w:eastAsia="Times New Roman" w:hAnsiTheme="majorHAnsi" w:cstheme="minorHAnsi"/>
                <w:snapToGrid w:val="0"/>
                <w:sz w:val="24"/>
                <w:szCs w:val="24"/>
              </w:rPr>
              <w:br/>
              <w:t>равнище пренос, така и на равнище ниско и средно напрежение, чиято цел е двупосочна цифрова комуни</w:t>
            </w:r>
            <w:r w:rsidRPr="008247B0">
              <w:rPr>
                <w:rFonts w:asciiTheme="majorHAnsi" w:eastAsia="Times New Roman" w:hAnsiTheme="majorHAnsi" w:cstheme="minorHAnsi"/>
                <w:snapToGrid w:val="0"/>
                <w:sz w:val="24"/>
                <w:szCs w:val="24"/>
              </w:rPr>
              <w:br/>
              <w:t>кация, реалновременна или близка до реалновременната, интерактивно и интелигентно следене и упра</w:t>
            </w:r>
            <w:r w:rsidRPr="008247B0">
              <w:rPr>
                <w:rFonts w:asciiTheme="majorHAnsi" w:eastAsia="Times New Roman" w:hAnsiTheme="majorHAnsi" w:cstheme="minorHAnsi"/>
                <w:snapToGrid w:val="0"/>
                <w:sz w:val="24"/>
                <w:szCs w:val="24"/>
              </w:rPr>
              <w:br/>
              <w:t>вление на производството, преноса, разпределението и потреблението на електроенергия в рамките на дадена</w:t>
            </w:r>
            <w:r w:rsidRPr="008247B0">
              <w:rPr>
                <w:rFonts w:asciiTheme="majorHAnsi" w:eastAsia="Times New Roman" w:hAnsiTheme="majorHAnsi" w:cstheme="minorHAnsi"/>
                <w:snapToGrid w:val="0"/>
                <w:sz w:val="24"/>
                <w:szCs w:val="24"/>
              </w:rPr>
              <w:br/>
              <w:t>електроенергийна мрежа с оглед на разработването на мрежа, ефективно интегрираща поведението и</w:t>
            </w:r>
            <w:r w:rsidRPr="008247B0">
              <w:rPr>
                <w:rFonts w:asciiTheme="majorHAnsi" w:eastAsia="Times New Roman" w:hAnsiTheme="majorHAnsi" w:cstheme="minorHAnsi"/>
                <w:snapToGrid w:val="0"/>
                <w:sz w:val="24"/>
                <w:szCs w:val="24"/>
              </w:rPr>
              <w:br/>
              <w:t>действията на всички свързани с нея потребители — производители, потребители и тези, които са едновре</w:t>
            </w:r>
            <w:r w:rsidRPr="008247B0">
              <w:rPr>
                <w:rFonts w:asciiTheme="majorHAnsi" w:eastAsia="Times New Roman" w:hAnsiTheme="majorHAnsi" w:cstheme="minorHAnsi"/>
                <w:snapToGrid w:val="0"/>
                <w:sz w:val="24"/>
                <w:szCs w:val="24"/>
              </w:rPr>
              <w:br/>
              <w:t>менно производители и потребители, за да се гарантира икономически ефективна и устойчива електроенер</w:t>
            </w:r>
            <w:r w:rsidRPr="008247B0">
              <w:rPr>
                <w:rFonts w:asciiTheme="majorHAnsi" w:eastAsia="Times New Roman" w:hAnsiTheme="majorHAnsi" w:cstheme="minorHAnsi"/>
                <w:snapToGrid w:val="0"/>
                <w:sz w:val="24"/>
                <w:szCs w:val="24"/>
              </w:rPr>
              <w:br/>
              <w:t>гийна система с ниски загуби и високо качество и сигурност на електроснабдяването и безопасността;</w:t>
            </w:r>
          </w:p>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б) относно газа:</w:t>
            </w:r>
            <w:r w:rsidRPr="008247B0">
              <w:rPr>
                <w:rFonts w:asciiTheme="majorHAnsi" w:eastAsia="Times New Roman" w:hAnsiTheme="majorHAnsi" w:cstheme="minorHAnsi"/>
                <w:snapToGrid w:val="0"/>
                <w:sz w:val="24"/>
                <w:szCs w:val="24"/>
              </w:rPr>
              <w:br/>
              <w:t>i) преносни и разпределителни газопроводи за транспортиране на природен газ и биогаз, които са част от</w:t>
            </w:r>
            <w:r w:rsidRPr="008247B0">
              <w:rPr>
                <w:rFonts w:asciiTheme="majorHAnsi" w:eastAsia="Times New Roman" w:hAnsiTheme="majorHAnsi" w:cstheme="minorHAnsi"/>
                <w:snapToGrid w:val="0"/>
                <w:sz w:val="24"/>
                <w:szCs w:val="24"/>
              </w:rPr>
              <w:br/>
              <w:t>мрежа, с изключение на газопроводите с високо налягане, използвани за разпределение на природен газ в</w:t>
            </w:r>
            <w:r w:rsidRPr="008247B0">
              <w:rPr>
                <w:rFonts w:asciiTheme="majorHAnsi" w:eastAsia="Times New Roman" w:hAnsiTheme="majorHAnsi" w:cstheme="minorHAnsi"/>
                <w:snapToGrid w:val="0"/>
                <w:sz w:val="24"/>
                <w:szCs w:val="24"/>
              </w:rPr>
              <w:br/>
              <w:t>предходна част от мрежата;</w:t>
            </w:r>
            <w:r w:rsidRPr="008247B0">
              <w:rPr>
                <w:rFonts w:asciiTheme="majorHAnsi" w:eastAsia="Times New Roman" w:hAnsiTheme="majorHAnsi" w:cstheme="minorHAnsi"/>
                <w:snapToGrid w:val="0"/>
                <w:sz w:val="24"/>
                <w:szCs w:val="24"/>
              </w:rPr>
              <w:br/>
              <w:t>ii) подземни хранилища, свързани с посочените газопроводи за високо налягане, посочени в буква i);</w:t>
            </w:r>
            <w:r w:rsidRPr="008247B0">
              <w:rPr>
                <w:rFonts w:asciiTheme="majorHAnsi" w:eastAsia="Times New Roman" w:hAnsiTheme="majorHAnsi" w:cstheme="minorHAnsi"/>
                <w:snapToGrid w:val="0"/>
                <w:sz w:val="24"/>
                <w:szCs w:val="24"/>
              </w:rPr>
              <w:br/>
              <w:t>iii) съоръжения за приемане, съхраняване и регазификация или понижаване на налягането на втечнен природен</w:t>
            </w:r>
            <w:r w:rsidRPr="008247B0">
              <w:rPr>
                <w:rFonts w:asciiTheme="majorHAnsi" w:eastAsia="Times New Roman" w:hAnsiTheme="majorHAnsi" w:cstheme="minorHAnsi"/>
                <w:snapToGrid w:val="0"/>
                <w:sz w:val="24"/>
                <w:szCs w:val="24"/>
              </w:rPr>
              <w:br/>
              <w:t>газ (ВПГ) или сгъстен природен газ (СПГ); и</w:t>
            </w:r>
            <w:r w:rsidRPr="008247B0">
              <w:rPr>
                <w:rFonts w:asciiTheme="majorHAnsi" w:eastAsia="Times New Roman" w:hAnsiTheme="majorHAnsi" w:cstheme="minorHAnsi"/>
                <w:snapToGrid w:val="0"/>
                <w:sz w:val="24"/>
                <w:szCs w:val="24"/>
              </w:rPr>
              <w:br/>
              <w:t>iv) всякакво оборудване или инсталации, които са от основно значение за безопасната, сигурна и ефективна</w:t>
            </w:r>
            <w:r w:rsidRPr="008247B0">
              <w:rPr>
                <w:rFonts w:asciiTheme="majorHAnsi" w:eastAsia="Times New Roman" w:hAnsiTheme="majorHAnsi" w:cstheme="minorHAnsi"/>
                <w:snapToGrid w:val="0"/>
                <w:sz w:val="24"/>
                <w:szCs w:val="24"/>
              </w:rPr>
              <w:br/>
              <w:t>работа на системата или за осигуряване на възможност за двупосочен капацитет, включително компресорни</w:t>
            </w:r>
            <w:r w:rsidRPr="008247B0">
              <w:rPr>
                <w:rFonts w:asciiTheme="majorHAnsi" w:eastAsia="Times New Roman" w:hAnsiTheme="majorHAnsi" w:cstheme="minorHAnsi"/>
                <w:snapToGrid w:val="0"/>
                <w:sz w:val="24"/>
                <w:szCs w:val="24"/>
              </w:rPr>
              <w:br/>
              <w:t>станции;</w:t>
            </w:r>
            <w:r w:rsidRPr="008247B0">
              <w:rPr>
                <w:rFonts w:asciiTheme="majorHAnsi" w:eastAsia="Times New Roman" w:hAnsiTheme="majorHAnsi" w:cstheme="minorHAnsi"/>
                <w:snapToGrid w:val="0"/>
                <w:sz w:val="24"/>
                <w:szCs w:val="24"/>
              </w:rPr>
              <w:br/>
              <w:t>в) относно нефта:</w:t>
            </w:r>
            <w:r w:rsidRPr="008247B0">
              <w:rPr>
                <w:rFonts w:asciiTheme="majorHAnsi" w:eastAsia="Times New Roman" w:hAnsiTheme="majorHAnsi" w:cstheme="minorHAnsi"/>
                <w:snapToGrid w:val="0"/>
                <w:sz w:val="24"/>
                <w:szCs w:val="24"/>
              </w:rPr>
              <w:br/>
              <w:t>i) нефтопроводи, използвани за транспортиране на суров нефт;</w:t>
            </w:r>
            <w:r w:rsidRPr="008247B0">
              <w:rPr>
                <w:rFonts w:asciiTheme="majorHAnsi" w:eastAsia="Times New Roman" w:hAnsiTheme="majorHAnsi" w:cstheme="minorHAnsi"/>
                <w:snapToGrid w:val="0"/>
                <w:sz w:val="24"/>
                <w:szCs w:val="24"/>
              </w:rPr>
              <w:br/>
              <w:t>ii) помпени станции и нефтохранилища, необходими за експлоатацията на нефтопроводи за суров нефт; и</w:t>
            </w:r>
            <w:r w:rsidRPr="008247B0">
              <w:rPr>
                <w:rFonts w:asciiTheme="majorHAnsi" w:eastAsia="Times New Roman" w:hAnsiTheme="majorHAnsi" w:cstheme="minorHAnsi"/>
                <w:snapToGrid w:val="0"/>
                <w:sz w:val="24"/>
                <w:szCs w:val="24"/>
              </w:rPr>
              <w:br/>
              <w:t>iii) всички съоръжения или инсталации, които са от основно значение за правилната, сигурна и ефективна</w:t>
            </w:r>
            <w:r w:rsidRPr="008247B0">
              <w:rPr>
                <w:rFonts w:asciiTheme="majorHAnsi" w:eastAsia="Times New Roman" w:hAnsiTheme="majorHAnsi" w:cstheme="minorHAnsi"/>
                <w:snapToGrid w:val="0"/>
                <w:sz w:val="24"/>
                <w:szCs w:val="24"/>
              </w:rPr>
              <w:br/>
              <w:t>работа на системата, включително системите за защита, следене и контрол, и съоръженията за реверсивно</w:t>
            </w:r>
            <w:r w:rsidRPr="008247B0">
              <w:rPr>
                <w:rFonts w:asciiTheme="majorHAnsi" w:eastAsia="Times New Roman" w:hAnsiTheme="majorHAnsi" w:cstheme="minorHAnsi"/>
                <w:snapToGrid w:val="0"/>
                <w:sz w:val="24"/>
                <w:szCs w:val="24"/>
              </w:rPr>
              <w:br/>
              <w:t>подаване.</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Единен инвестиционен проект</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Всяка първоначална инвестиция, започната от един и същ</w:t>
            </w:r>
            <w:r w:rsidR="00CF50F9" w:rsidRPr="008247B0">
              <w:rPr>
                <w:rFonts w:asciiTheme="majorHAnsi" w:eastAsia="Times New Roman" w:hAnsiTheme="majorHAnsi" w:cstheme="minorHAnsi"/>
                <w:snapToGrid w:val="0"/>
                <w:sz w:val="24"/>
                <w:szCs w:val="24"/>
              </w:rPr>
              <w:t>и</w:t>
            </w:r>
            <w:r w:rsidRPr="008247B0">
              <w:rPr>
                <w:rFonts w:asciiTheme="majorHAnsi" w:eastAsia="Times New Roman" w:hAnsiTheme="majorHAnsi" w:cstheme="minorHAnsi"/>
                <w:snapToGrid w:val="0"/>
                <w:sz w:val="24"/>
                <w:szCs w:val="24"/>
              </w:rPr>
              <w:t xml:space="preserve"> бенефициент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8247B0">
              <w:rPr>
                <w:rFonts w:asciiTheme="majorHAnsi" w:eastAsia="Times New Roman" w:hAnsiTheme="majorHAnsi" w:cstheme="minorHAnsi"/>
                <w:snapToGrid w:val="0"/>
                <w:sz w:val="24"/>
                <w:szCs w:val="24"/>
                <w:lang w:val="en-US"/>
              </w:rPr>
              <w:t>(NUTS 3) - Административна единица област).</w:t>
            </w:r>
          </w:p>
        </w:tc>
      </w:tr>
      <w:tr w:rsidR="00BD756B" w:rsidRPr="008247B0" w:rsidTr="005B629B">
        <w:tc>
          <w:tcPr>
            <w:tcW w:w="2633" w:type="dxa"/>
            <w:shd w:val="clear" w:color="auto" w:fill="E6E6E6"/>
          </w:tcPr>
          <w:p w:rsidR="00BD756B" w:rsidRPr="008247B0" w:rsidRDefault="00BD756B" w:rsidP="00BD756B">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Инвеститор в индустриален парк</w:t>
            </w:r>
            <w:r w:rsidR="00CF50F9" w:rsidRPr="008247B0">
              <w:rPr>
                <w:rFonts w:asciiTheme="majorHAnsi" w:eastAsia="Times New Roman" w:hAnsiTheme="majorHAnsi" w:cstheme="minorHAnsi"/>
                <w:b/>
                <w:snapToGrid w:val="0"/>
                <w:sz w:val="24"/>
                <w:szCs w:val="24"/>
              </w:rPr>
              <w:t>/зона</w:t>
            </w:r>
          </w:p>
        </w:tc>
        <w:tc>
          <w:tcPr>
            <w:tcW w:w="6689" w:type="dxa"/>
            <w:shd w:val="clear" w:color="auto" w:fill="F3F3F3"/>
          </w:tcPr>
          <w:p w:rsidR="00BD756B" w:rsidRPr="008247B0" w:rsidRDefault="00BD756B" w:rsidP="00D20929">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b/>
                <w:snapToGrid w:val="0"/>
                <w:sz w:val="24"/>
                <w:szCs w:val="24"/>
              </w:rPr>
              <w:t>Инвеститор в индустриален парк</w:t>
            </w:r>
            <w:r w:rsidR="00CF50F9" w:rsidRPr="008247B0">
              <w:rPr>
                <w:rFonts w:asciiTheme="majorHAnsi" w:eastAsia="Times New Roman" w:hAnsiTheme="majorHAnsi" w:cstheme="minorHAnsi"/>
                <w:b/>
                <w:snapToGrid w:val="0"/>
                <w:sz w:val="24"/>
                <w:szCs w:val="24"/>
              </w:rPr>
              <w:t>/зона</w:t>
            </w:r>
            <w:r w:rsidR="00CF50F9" w:rsidRPr="008247B0">
              <w:rPr>
                <w:rFonts w:asciiTheme="majorHAnsi" w:eastAsia="Times New Roman" w:hAnsiTheme="majorHAnsi" w:cstheme="minorHAnsi"/>
                <w:snapToGrid w:val="0"/>
                <w:sz w:val="24"/>
                <w:szCs w:val="24"/>
              </w:rPr>
              <w:t xml:space="preserve"> </w:t>
            </w:r>
            <w:r w:rsidRPr="008247B0">
              <w:rPr>
                <w:rFonts w:asciiTheme="majorHAnsi" w:eastAsia="Times New Roman" w:hAnsiTheme="majorHAnsi" w:cstheme="minorHAnsi"/>
                <w:snapToGrid w:val="0"/>
                <w:sz w:val="24"/>
                <w:szCs w:val="24"/>
              </w:rPr>
              <w:t>е търговец по смисъла на Търговския закон, който извършва производствена дейност в парка въз основа на договор за стопанска дейност</w:t>
            </w:r>
            <w:r w:rsidR="00190519" w:rsidRPr="008247B0">
              <w:rPr>
                <w:rFonts w:asciiTheme="majorHAnsi" w:eastAsia="Times New Roman" w:hAnsiTheme="majorHAnsi" w:cstheme="minorHAnsi"/>
                <w:snapToGrid w:val="0"/>
                <w:sz w:val="24"/>
                <w:szCs w:val="24"/>
              </w:rPr>
              <w:t>, сключен с оператора.</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hAnsiTheme="majorHAnsi"/>
                <w:b/>
                <w:bCs/>
                <w:sz w:val="24"/>
                <w:szCs w:val="24"/>
                <w:lang w:val="en-CA"/>
              </w:rPr>
              <w:t>Индустриален район </w:t>
            </w:r>
            <w:r w:rsidRPr="008247B0">
              <w:rPr>
                <w:rFonts w:asciiTheme="majorHAnsi" w:hAnsiTheme="majorHAnsi"/>
                <w:b/>
                <w:bCs/>
                <w:sz w:val="24"/>
                <w:szCs w:val="24"/>
                <w:lang w:val="en-US"/>
              </w:rPr>
              <w:t>(</w:t>
            </w:r>
            <w:r w:rsidRPr="008247B0">
              <w:rPr>
                <w:rFonts w:asciiTheme="majorHAnsi" w:hAnsiTheme="majorHAnsi"/>
                <w:b/>
                <w:bCs/>
                <w:sz w:val="24"/>
                <w:szCs w:val="24"/>
                <w:lang w:val="en-CA"/>
              </w:rPr>
              <w:t>зона</w:t>
            </w:r>
            <w:r w:rsidRPr="008247B0">
              <w:rPr>
                <w:rFonts w:asciiTheme="majorHAnsi" w:hAnsiTheme="majorHAnsi"/>
                <w:b/>
                <w:bCs/>
                <w:sz w:val="24"/>
                <w:szCs w:val="24"/>
                <w:lang w:val="en-US"/>
              </w:rPr>
              <w:t>)</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Calibri" w:hAnsiTheme="majorHAnsi" w:cs="Times New Roman"/>
                <w:bCs/>
                <w:sz w:val="24"/>
                <w:szCs w:val="24"/>
              </w:rPr>
            </w:pPr>
            <w:r w:rsidRPr="008247B0">
              <w:rPr>
                <w:rFonts w:asciiTheme="majorHAnsi" w:hAnsiTheme="majorHAnsi"/>
                <w:b/>
                <w:bCs/>
                <w:sz w:val="24"/>
                <w:szCs w:val="24"/>
              </w:rPr>
              <w:t>„</w:t>
            </w:r>
            <w:r w:rsidRPr="008247B0">
              <w:rPr>
                <w:rFonts w:asciiTheme="majorHAnsi" w:hAnsiTheme="majorHAnsi"/>
                <w:b/>
                <w:bCs/>
                <w:sz w:val="24"/>
                <w:szCs w:val="24"/>
                <w:lang w:val="en-CA"/>
              </w:rPr>
              <w:t>Индустриален район </w:t>
            </w:r>
            <w:r w:rsidRPr="008247B0">
              <w:rPr>
                <w:rFonts w:asciiTheme="majorHAnsi" w:hAnsiTheme="majorHAnsi"/>
                <w:b/>
                <w:bCs/>
                <w:sz w:val="24"/>
                <w:szCs w:val="24"/>
                <w:lang w:val="en-US"/>
              </w:rPr>
              <w:t>(</w:t>
            </w:r>
            <w:r w:rsidRPr="008247B0">
              <w:rPr>
                <w:rFonts w:asciiTheme="majorHAnsi" w:hAnsiTheme="majorHAnsi"/>
                <w:b/>
                <w:bCs/>
                <w:sz w:val="24"/>
                <w:szCs w:val="24"/>
                <w:lang w:val="en-CA"/>
              </w:rPr>
              <w:t>зона</w:t>
            </w:r>
            <w:r w:rsidRPr="008247B0">
              <w:rPr>
                <w:rFonts w:asciiTheme="majorHAnsi" w:hAnsiTheme="majorHAnsi"/>
                <w:b/>
                <w:bCs/>
                <w:sz w:val="24"/>
                <w:szCs w:val="24"/>
                <w:lang w:val="en-US"/>
              </w:rPr>
              <w:t>)</w:t>
            </w:r>
            <w:r w:rsidRPr="008247B0">
              <w:rPr>
                <w:rFonts w:asciiTheme="majorHAnsi" w:hAnsiTheme="majorHAnsi"/>
                <w:b/>
                <w:bCs/>
                <w:sz w:val="24"/>
                <w:szCs w:val="24"/>
                <w:lang w:val="en-CA"/>
              </w:rPr>
              <w:t>“</w:t>
            </w:r>
            <w:r w:rsidRPr="008247B0">
              <w:rPr>
                <w:rFonts w:asciiTheme="majorHAnsi" w:hAnsiTheme="majorHAnsi"/>
                <w:sz w:val="24"/>
                <w:szCs w:val="24"/>
                <w:lang w:val="en-CA"/>
              </w:rPr>
              <w:t> представлява „</w:t>
            </w:r>
            <w:r w:rsidRPr="008247B0">
              <w:rPr>
                <w:rFonts w:asciiTheme="majorHAnsi" w:hAnsiTheme="majorHAnsi"/>
                <w:sz w:val="24"/>
                <w:szCs w:val="24"/>
                <w:lang w:val="en-US"/>
              </w:rPr>
              <w:t>един или съвкупност от два или повече съседни поземлени имота, разположени на територии, за които съгласно </w:t>
            </w:r>
            <w:r w:rsidRPr="008247B0">
              <w:rPr>
                <w:rFonts w:asciiTheme="majorHAnsi" w:hAnsiTheme="majorHAnsi"/>
                <w:sz w:val="24"/>
                <w:szCs w:val="24"/>
                <w:lang w:val="en-CA"/>
              </w:rPr>
              <w:t>общ и подробен </w:t>
            </w:r>
            <w:r w:rsidRPr="008247B0">
              <w:rPr>
                <w:rFonts w:asciiTheme="majorHAnsi" w:hAnsiTheme="majorHAnsi"/>
                <w:sz w:val="24"/>
                <w:szCs w:val="24"/>
                <w:lang w:val="en-US"/>
              </w:rPr>
              <w:t>устройствен план е определено предназначение за производствени дейности</w:t>
            </w:r>
            <w:r w:rsidRPr="008247B0">
              <w:rPr>
                <w:rFonts w:asciiTheme="majorHAnsi" w:hAnsiTheme="majorHAnsi"/>
                <w:sz w:val="24"/>
                <w:szCs w:val="24"/>
                <w:lang w:val="en-CA"/>
              </w:rPr>
              <w:t>“, по аргумент на § 1, т. 29 от Правилника за прилагане на Закона за насърчаване на инвестициите</w:t>
            </w:r>
            <w:r w:rsidRPr="008247B0">
              <w:rPr>
                <w:rFonts w:asciiTheme="majorHAnsi" w:hAnsiTheme="majorHAnsi"/>
                <w:sz w:val="24"/>
                <w:szCs w:val="24"/>
              </w:rPr>
              <w:t>.</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hAnsiTheme="majorHAnsi"/>
                <w:b/>
                <w:bCs/>
                <w:sz w:val="24"/>
                <w:szCs w:val="24"/>
                <w:lang w:val="en-CA"/>
              </w:rPr>
              <w:t>Индустриален парк</w:t>
            </w:r>
          </w:p>
        </w:tc>
        <w:tc>
          <w:tcPr>
            <w:tcW w:w="6689" w:type="dxa"/>
            <w:shd w:val="clear" w:color="auto" w:fill="F3F3F3"/>
          </w:tcPr>
          <w:p w:rsidR="005B18EA" w:rsidRPr="008247B0" w:rsidRDefault="005B18EA" w:rsidP="00190519">
            <w:pPr>
              <w:spacing w:before="100" w:beforeAutospacing="1" w:after="100" w:afterAutospacing="1" w:line="240" w:lineRule="auto"/>
              <w:jc w:val="both"/>
              <w:rPr>
                <w:rFonts w:asciiTheme="majorHAnsi" w:eastAsia="Calibri" w:hAnsiTheme="majorHAnsi" w:cs="Times New Roman"/>
                <w:bCs/>
                <w:sz w:val="24"/>
                <w:szCs w:val="24"/>
              </w:rPr>
            </w:pPr>
            <w:r w:rsidRPr="008247B0">
              <w:rPr>
                <w:rFonts w:asciiTheme="majorHAnsi" w:hAnsiTheme="majorHAnsi"/>
                <w:b/>
                <w:bCs/>
                <w:sz w:val="24"/>
                <w:szCs w:val="24"/>
                <w:lang w:val="en-CA"/>
              </w:rPr>
              <w:t>„Индустриален парк“</w:t>
            </w:r>
            <w:r w:rsidRPr="008247B0">
              <w:rPr>
                <w:rFonts w:asciiTheme="majorHAnsi" w:hAnsiTheme="majorHAnsi"/>
                <w:sz w:val="24"/>
                <w:szCs w:val="24"/>
                <w:lang w:val="en-CA"/>
              </w:rPr>
              <w:t> </w:t>
            </w:r>
            <w:r w:rsidRPr="008247B0">
              <w:rPr>
                <w:rFonts w:asciiTheme="majorHAnsi" w:hAnsiTheme="majorHAnsi"/>
                <w:sz w:val="24"/>
                <w:szCs w:val="24"/>
              </w:rPr>
              <w:t xml:space="preserve"> </w:t>
            </w:r>
            <w:r w:rsidRPr="008247B0">
              <w:rPr>
                <w:rFonts w:asciiTheme="majorHAnsi" w:hAnsiTheme="majorHAnsi"/>
                <w:sz w:val="24"/>
                <w:szCs w:val="24"/>
                <w:lang w:val="en-CA"/>
              </w:rPr>
              <w:t>е „</w:t>
            </w:r>
            <w:r w:rsidRPr="008247B0">
              <w:rPr>
                <w:rFonts w:asciiTheme="majorHAnsi" w:hAnsiTheme="majorHAnsi"/>
                <w:sz w:val="24"/>
                <w:szCs w:val="24"/>
                <w:lang w:val="en-US"/>
              </w:rPr>
              <w:t>обособена територия, разположена в една или повече общини, за която са осигурени устройствени, технически и организационни условия за производствени дейности</w:t>
            </w:r>
            <w:r w:rsidRPr="008247B0">
              <w:rPr>
                <w:rFonts w:asciiTheme="majorHAnsi" w:hAnsiTheme="majorHAnsi"/>
                <w:sz w:val="24"/>
                <w:szCs w:val="24"/>
                <w:lang w:val="en-CA"/>
              </w:rPr>
              <w:t xml:space="preserve">“, </w:t>
            </w:r>
            <w:r w:rsidR="00190519" w:rsidRPr="008247B0">
              <w:rPr>
                <w:rFonts w:asciiTheme="majorHAnsi" w:hAnsiTheme="majorHAnsi"/>
                <w:sz w:val="24"/>
                <w:szCs w:val="24"/>
              </w:rPr>
              <w:t>съгласно</w:t>
            </w:r>
            <w:r w:rsidRPr="008247B0">
              <w:rPr>
                <w:rFonts w:asciiTheme="majorHAnsi" w:hAnsiTheme="majorHAnsi"/>
                <w:sz w:val="24"/>
                <w:szCs w:val="24"/>
                <w:lang w:val="en-CA"/>
              </w:rPr>
              <w:t xml:space="preserve"> чл. 4, ал. 1 във връзка с ал. 2-4 от Закона за индустриалните паркове </w:t>
            </w:r>
            <w:r w:rsidRPr="008247B0">
              <w:rPr>
                <w:rFonts w:asciiTheme="majorHAnsi" w:hAnsiTheme="majorHAnsi"/>
                <w:sz w:val="24"/>
                <w:szCs w:val="24"/>
                <w:lang w:val="en-US"/>
              </w:rPr>
              <w:t>(</w:t>
            </w:r>
            <w:r w:rsidRPr="008247B0">
              <w:rPr>
                <w:rFonts w:asciiTheme="majorHAnsi" w:hAnsiTheme="majorHAnsi"/>
                <w:sz w:val="24"/>
                <w:szCs w:val="24"/>
                <w:lang w:val="en-CA"/>
              </w:rPr>
              <w:t>ЗИП</w:t>
            </w:r>
            <w:r w:rsidRPr="008247B0">
              <w:rPr>
                <w:rFonts w:asciiTheme="majorHAnsi" w:hAnsiTheme="majorHAnsi"/>
                <w:sz w:val="24"/>
                <w:szCs w:val="24"/>
                <w:lang w:val="en-US"/>
              </w:rPr>
              <w:t>)</w:t>
            </w:r>
            <w:r w:rsidRPr="008247B0">
              <w:rPr>
                <w:rFonts w:asciiTheme="majorHAnsi" w:hAnsiTheme="majorHAnsi"/>
                <w:sz w:val="24"/>
                <w:szCs w:val="24"/>
                <w:lang w:val="en-CA"/>
              </w:rPr>
              <w:t>, независимо дали паркът е вписан в Регистъра на индустриалните паркове по чл. 21 от ЗИП.</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Кандидати за средства от Механизма за възстановяване и устойчивост</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Краен получател</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реда на ПМС № 114/2022 г. и с когото е сключен договор или е издадена заповед за предоставяне на средства от Механизма.</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Материални активи</w:t>
            </w:r>
          </w:p>
        </w:tc>
        <w:tc>
          <w:tcPr>
            <w:tcW w:w="6689" w:type="dxa"/>
            <w:shd w:val="clear" w:color="auto" w:fill="F3F3F3"/>
          </w:tcPr>
          <w:p w:rsidR="005B18EA" w:rsidRPr="008247B0" w:rsidRDefault="005B18EA" w:rsidP="005B18EA">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По смисъла на чл. 2, пар. 29 от Регламент (ЕО) № 651/2014 „материални активи" означава активи, състоящи се от сгради, съоръжения, машини и оборудване. </w:t>
            </w:r>
          </w:p>
          <w:p w:rsidR="005B18EA" w:rsidRPr="008247B0" w:rsidRDefault="005B18EA" w:rsidP="005B18EA">
            <w:pPr>
              <w:spacing w:after="0" w:line="240" w:lineRule="auto"/>
              <w:jc w:val="both"/>
              <w:rPr>
                <w:rFonts w:asciiTheme="majorHAnsi" w:eastAsia="Times New Roman" w:hAnsiTheme="majorHAnsi" w:cstheme="minorHAnsi"/>
                <w:snapToGrid w:val="0"/>
                <w:sz w:val="24"/>
                <w:szCs w:val="24"/>
              </w:rPr>
            </w:pP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 xml:space="preserve">Място на изпълнение на инвестицията </w:t>
            </w:r>
          </w:p>
        </w:tc>
        <w:tc>
          <w:tcPr>
            <w:tcW w:w="6689" w:type="dxa"/>
            <w:shd w:val="clear" w:color="auto" w:fill="F3F3F3"/>
          </w:tcPr>
          <w:p w:rsidR="005B18EA" w:rsidRPr="008247B0" w:rsidRDefault="00864A7A" w:rsidP="005B18EA">
            <w:pPr>
              <w:spacing w:line="240" w:lineRule="auto"/>
              <w:jc w:val="both"/>
              <w:rPr>
                <w:rFonts w:asciiTheme="majorHAnsi" w:eastAsia="Times New Roman" w:hAnsiTheme="majorHAnsi" w:cstheme="minorHAnsi"/>
                <w:snapToGrid w:val="0"/>
                <w:sz w:val="24"/>
                <w:szCs w:val="24"/>
                <w:lang w:val="en-US"/>
              </w:rPr>
            </w:pPr>
            <w:r w:rsidRPr="008247B0">
              <w:rPr>
                <w:rFonts w:asciiTheme="majorHAnsi" w:eastAsia="Times New Roman" w:hAnsiTheme="majorHAnsi" w:cstheme="minorHAnsi"/>
                <w:snapToGrid w:val="0"/>
                <w:sz w:val="24"/>
                <w:szCs w:val="24"/>
              </w:rPr>
              <w:t>Мястото на физическото осъществяване на инвестицията.</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Ненанасяне на значителни вреди</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 xml:space="preserve">Нередност </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007667" w:rsidRPr="008247B0" w:rsidTr="005B629B">
        <w:tc>
          <w:tcPr>
            <w:tcW w:w="2633" w:type="dxa"/>
            <w:shd w:val="clear" w:color="auto" w:fill="E6E6E6"/>
          </w:tcPr>
          <w:p w:rsidR="00007667" w:rsidRPr="008247B0" w:rsidRDefault="00007667" w:rsidP="00BD756B">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Оператор на индустриален парк</w:t>
            </w:r>
            <w:r w:rsidR="00190519" w:rsidRPr="008247B0">
              <w:rPr>
                <w:rFonts w:asciiTheme="majorHAnsi" w:eastAsia="Times New Roman" w:hAnsiTheme="majorHAnsi" w:cstheme="minorHAnsi"/>
                <w:b/>
                <w:snapToGrid w:val="0"/>
                <w:sz w:val="24"/>
                <w:szCs w:val="24"/>
              </w:rPr>
              <w:t>/зона</w:t>
            </w:r>
          </w:p>
        </w:tc>
        <w:tc>
          <w:tcPr>
            <w:tcW w:w="6689" w:type="dxa"/>
            <w:shd w:val="clear" w:color="auto" w:fill="F3F3F3"/>
          </w:tcPr>
          <w:p w:rsidR="00007667" w:rsidRPr="008247B0" w:rsidRDefault="00190519"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За целите на настоящата процедура</w:t>
            </w:r>
            <w:r w:rsidR="00771814" w:rsidRPr="008247B0">
              <w:rPr>
                <w:rFonts w:asciiTheme="majorHAnsi" w:eastAsia="Times New Roman" w:hAnsiTheme="majorHAnsi" w:cstheme="minorHAnsi"/>
                <w:snapToGrid w:val="0"/>
                <w:sz w:val="24"/>
                <w:szCs w:val="24"/>
              </w:rPr>
              <w:t>,</w:t>
            </w:r>
            <w:r w:rsidRPr="008247B0">
              <w:rPr>
                <w:rFonts w:asciiTheme="majorHAnsi" w:eastAsia="Times New Roman" w:hAnsiTheme="majorHAnsi" w:cstheme="minorHAnsi"/>
                <w:snapToGrid w:val="0"/>
                <w:sz w:val="24"/>
                <w:szCs w:val="24"/>
              </w:rPr>
              <w:t xml:space="preserve"> „</w:t>
            </w:r>
            <w:r w:rsidR="00007667" w:rsidRPr="008247B0">
              <w:rPr>
                <w:rFonts w:asciiTheme="majorHAnsi" w:eastAsia="Times New Roman" w:hAnsiTheme="majorHAnsi" w:cstheme="minorHAnsi"/>
                <w:snapToGrid w:val="0"/>
                <w:sz w:val="24"/>
                <w:szCs w:val="24"/>
              </w:rPr>
              <w:t>Оператор</w:t>
            </w:r>
            <w:r w:rsidRPr="008247B0">
              <w:rPr>
                <w:rFonts w:asciiTheme="majorHAnsi" w:eastAsia="Times New Roman" w:hAnsiTheme="majorHAnsi" w:cstheme="minorHAnsi"/>
                <w:snapToGrid w:val="0"/>
                <w:sz w:val="24"/>
                <w:szCs w:val="24"/>
              </w:rPr>
              <w:t>“</w:t>
            </w:r>
            <w:r w:rsidR="00007667" w:rsidRPr="008247B0">
              <w:rPr>
                <w:rFonts w:asciiTheme="majorHAnsi" w:eastAsia="Times New Roman" w:hAnsiTheme="majorHAnsi" w:cstheme="minorHAnsi"/>
                <w:snapToGrid w:val="0"/>
                <w:sz w:val="24"/>
                <w:szCs w:val="24"/>
              </w:rPr>
              <w:t xml:space="preserve"> на индустриален парк</w:t>
            </w:r>
            <w:r w:rsidRPr="008247B0">
              <w:rPr>
                <w:rFonts w:asciiTheme="majorHAnsi" w:eastAsia="Times New Roman" w:hAnsiTheme="majorHAnsi" w:cstheme="minorHAnsi"/>
                <w:snapToGrid w:val="0"/>
                <w:sz w:val="24"/>
                <w:szCs w:val="24"/>
              </w:rPr>
              <w:t>/зона</w:t>
            </w:r>
            <w:r w:rsidR="00007667" w:rsidRPr="008247B0">
              <w:rPr>
                <w:rFonts w:asciiTheme="majorHAnsi" w:eastAsia="Times New Roman" w:hAnsiTheme="majorHAnsi" w:cstheme="minorHAnsi"/>
                <w:snapToGrid w:val="0"/>
                <w:sz w:val="24"/>
                <w:szCs w:val="24"/>
              </w:rPr>
              <w:t xml:space="preserve"> е лице, което извършва дейностите по експлоатация на индустриалния парк</w:t>
            </w:r>
            <w:r w:rsidRPr="008247B0">
              <w:rPr>
                <w:rFonts w:asciiTheme="majorHAnsi" w:eastAsia="Times New Roman" w:hAnsiTheme="majorHAnsi" w:cstheme="minorHAnsi"/>
                <w:snapToGrid w:val="0"/>
                <w:sz w:val="24"/>
                <w:szCs w:val="24"/>
              </w:rPr>
              <w:t>/зона</w:t>
            </w:r>
            <w:r w:rsidR="00007667" w:rsidRPr="008247B0">
              <w:rPr>
                <w:rFonts w:asciiTheme="majorHAnsi" w:eastAsia="Times New Roman" w:hAnsiTheme="majorHAnsi" w:cstheme="minorHAnsi"/>
                <w:snapToGrid w:val="0"/>
                <w:sz w:val="24"/>
                <w:szCs w:val="24"/>
              </w:rPr>
              <w:t>.</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Когато собственик на индустриалния парк</w:t>
            </w:r>
            <w:r w:rsidR="00190519"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е държавата или общината, оператор може да бъде:</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публично предприятие – търговско дружество, едноличен собственик на капитала на което е държавата или общината;</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концесионер, определен по реда на Закона за концесиите.</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Когато собственик на индустриалния парк</w:t>
            </w:r>
            <w:r w:rsidR="0083236E"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е държавата и една или повече общини, или две и повече общини, оператор може да бъде:</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публично предприятие – търговско дружество с държавно и общинско или с общинско участие в капитала;</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концесионер на съвместна концесия по Закона за концесиите.</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Когато собственик на индустриалния парк</w:t>
            </w:r>
            <w:r w:rsidR="00190519"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е юридическо лице, регистрирано като търговец, или обединение, функциите на оператор се изпълняват от собственика или от друго търговско дружество.</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Когато функциите на оператор не се изпълняват от собственика на индустриалния парк</w:t>
            </w:r>
            <w:r w:rsidR="00190519"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отношенията между собственика и оператора се уреждат с договор за възлагане на дейностите по експлоатация на индустриалния парк</w:t>
            </w:r>
            <w:r w:rsidR="00190519"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(„договор за експлоатация“), който отговаря на условията на чл. 28 от Закона за индустриалните паркове. Когато операторът е концесионер, дейностите по експлоатация на индустриалния парк се възлагат с концесионния договор при условията и по реда на Закона за концесиите и при спазване на условията на чл. 28 от Закона за индустриалните паркове.</w:t>
            </w:r>
          </w:p>
        </w:tc>
      </w:tr>
      <w:tr w:rsidR="00266962" w:rsidRPr="008247B0" w:rsidTr="005B629B">
        <w:tc>
          <w:tcPr>
            <w:tcW w:w="2633" w:type="dxa"/>
            <w:shd w:val="clear" w:color="auto" w:fill="E6E6E6"/>
          </w:tcPr>
          <w:p w:rsidR="00266962" w:rsidRPr="008247B0" w:rsidRDefault="00266962"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Calibri" w:hAnsiTheme="majorHAnsi" w:cs="Times New Roman"/>
                <w:b/>
                <w:sz w:val="24"/>
                <w:szCs w:val="24"/>
              </w:rPr>
              <w:t>Основна промяна в целия производствен процес на съществуващ стопански обект</w:t>
            </w:r>
          </w:p>
        </w:tc>
        <w:tc>
          <w:tcPr>
            <w:tcW w:w="6689" w:type="dxa"/>
            <w:shd w:val="clear" w:color="auto" w:fill="F3F3F3"/>
          </w:tcPr>
          <w:p w:rsidR="00266962" w:rsidRPr="008247B0" w:rsidRDefault="00266962" w:rsidP="005C4441">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Партньори на кандидатите за средства от Механизма за възстановяване и устойчивост</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Формуляра за кандидатстване дейности от инвестицията и разходват средства от Механизма за възстановяване и устойчивост.</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Предложение за изпълнение на инвестиции</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Предложение, подадено от кандидатите за средства от Механизма за възстановяване и устойчивост, чрез Формуляр за кандидатстване в Информационната система за Механизма в съответствие с условията, утвърдени от Ръководителя на Структурата за наблюдение и докладване.</w:t>
            </w:r>
          </w:p>
        </w:tc>
      </w:tr>
      <w:tr w:rsidR="005B18EA" w:rsidRPr="008247B0" w:rsidTr="005B629B">
        <w:tc>
          <w:tcPr>
            <w:tcW w:w="2633" w:type="dxa"/>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Предприятие</w:t>
            </w:r>
          </w:p>
        </w:tc>
        <w:tc>
          <w:tcPr>
            <w:tcW w:w="6689" w:type="dxa"/>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152D1D" w:rsidRPr="008247B0" w:rsidTr="005B629B">
        <w:tc>
          <w:tcPr>
            <w:tcW w:w="2633" w:type="dxa"/>
            <w:shd w:val="clear" w:color="auto" w:fill="E6E6E6"/>
          </w:tcPr>
          <w:p w:rsidR="00152D1D" w:rsidRPr="008247B0"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Предприятие в затруднено положение</w:t>
            </w:r>
          </w:p>
        </w:tc>
        <w:tc>
          <w:tcPr>
            <w:tcW w:w="6689" w:type="dxa"/>
            <w:shd w:val="clear" w:color="auto" w:fill="F3F3F3"/>
          </w:tcPr>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Съгласно чл. 2, пар. 18 от Регламент (ЕО) № 651/2014</w:t>
            </w:r>
            <w:r w:rsidRPr="008247B0">
              <w:rPr>
                <w:rFonts w:asciiTheme="majorHAnsi" w:hAnsiTheme="majorHAnsi"/>
                <w:sz w:val="24"/>
                <w:szCs w:val="24"/>
              </w:rPr>
              <w:t xml:space="preserve"> </w:t>
            </w:r>
            <w:r w:rsidRPr="008247B0">
              <w:rPr>
                <w:rFonts w:asciiTheme="majorHAnsi" w:eastAsia="Times New Roman" w:hAnsiTheme="majorHAnsi" w:cstheme="minorHAnsi"/>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w:t>
            </w:r>
            <w:r w:rsidR="00771814" w:rsidRPr="008247B0">
              <w:rPr>
                <w:rFonts w:asciiTheme="majorHAnsi" w:eastAsia="Times New Roman" w:hAnsiTheme="majorHAnsi" w:cstheme="minorHAnsi"/>
                <w:snapToGrid w:val="0"/>
                <w:sz w:val="24"/>
                <w:szCs w:val="24"/>
              </w:rPr>
              <w:t>ект на план за преструктуриране;</w:t>
            </w:r>
          </w:p>
          <w:p w:rsidR="00771814" w:rsidRPr="008247B0" w:rsidRDefault="00771814" w:rsidP="00771814">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 когато предприятието не е МСП и през последните две години:</w:t>
            </w:r>
          </w:p>
          <w:p w:rsidR="00771814" w:rsidRPr="008247B0" w:rsidRDefault="00771814" w:rsidP="00771814">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съотношението задължения/собствен капитал на предприятието е било по-голямо от 7,5; и</w:t>
            </w:r>
          </w:p>
          <w:p w:rsidR="00771814" w:rsidRPr="008247B0" w:rsidRDefault="00771814" w:rsidP="00771814">
            <w:pPr>
              <w:spacing w:after="60" w:line="240" w:lineRule="auto"/>
              <w:jc w:val="both"/>
              <w:rPr>
                <w:rFonts w:asciiTheme="majorHAnsi" w:eastAsia="Times New Roman" w:hAnsiTheme="majorHAnsi" w:cstheme="minorHAnsi"/>
                <w:snapToGrid w:val="0"/>
                <w:sz w:val="24"/>
                <w:szCs w:val="24"/>
                <w:lang w:val="en-US"/>
              </w:rPr>
            </w:pPr>
            <w:r w:rsidRPr="008247B0">
              <w:rPr>
                <w:rFonts w:asciiTheme="majorHAnsi" w:eastAsia="Times New Roman" w:hAnsiTheme="majorHAnsi" w:cstheme="minorHAnsi"/>
                <w:snapToGrid w:val="0"/>
                <w:sz w:val="24"/>
                <w:szCs w:val="24"/>
              </w:rPr>
              <w:t>- съотношението за лихвено покритие на предприятието, изчислено на основата на EBITDA, е било под 1,0.</w:t>
            </w:r>
          </w:p>
        </w:tc>
      </w:tr>
      <w:tr w:rsidR="00152D1D" w:rsidRPr="008247B0" w:rsidTr="005B629B">
        <w:tc>
          <w:tcPr>
            <w:tcW w:w="2633" w:type="dxa"/>
            <w:shd w:val="clear" w:color="auto" w:fill="E6E6E6"/>
          </w:tcPr>
          <w:p w:rsidR="00152D1D" w:rsidRPr="008247B0"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Преместване</w:t>
            </w:r>
          </w:p>
        </w:tc>
        <w:tc>
          <w:tcPr>
            <w:tcW w:w="6689" w:type="dxa"/>
            <w:shd w:val="clear" w:color="auto" w:fill="F3F3F3"/>
          </w:tcPr>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Съгласно чл. 2, пар.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152D1D" w:rsidRPr="008247B0" w:rsidTr="005B629B">
        <w:tc>
          <w:tcPr>
            <w:tcW w:w="2633" w:type="dxa"/>
            <w:shd w:val="clear" w:color="auto" w:fill="E6E6E6"/>
          </w:tcPr>
          <w:p w:rsidR="00152D1D" w:rsidRPr="008247B0"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Преработка на селскостопански продукти</w:t>
            </w:r>
          </w:p>
        </w:tc>
        <w:tc>
          <w:tcPr>
            <w:tcW w:w="6689" w:type="dxa"/>
            <w:shd w:val="clear" w:color="auto" w:fill="F3F3F3"/>
          </w:tcPr>
          <w:p w:rsidR="00152D1D" w:rsidRPr="008247B0" w:rsidRDefault="00152D1D" w:rsidP="00152D1D">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tc>
      </w:tr>
      <w:tr w:rsidR="00934479" w:rsidRPr="008247B0" w:rsidTr="005B629B">
        <w:tc>
          <w:tcPr>
            <w:tcW w:w="2633" w:type="dxa"/>
            <w:shd w:val="clear" w:color="auto" w:fill="E6E6E6"/>
          </w:tcPr>
          <w:p w:rsidR="00934479" w:rsidRPr="008247B0" w:rsidRDefault="00934479" w:rsidP="00934479">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Проект</w:t>
            </w:r>
          </w:p>
        </w:tc>
        <w:tc>
          <w:tcPr>
            <w:tcW w:w="6689" w:type="dxa"/>
            <w:shd w:val="clear" w:color="auto" w:fill="F3F3F3"/>
          </w:tcPr>
          <w:p w:rsidR="00934479" w:rsidRPr="008247B0" w:rsidRDefault="00934479" w:rsidP="00934479">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125012" w:rsidRPr="008247B0" w:rsidTr="005B629B">
        <w:tc>
          <w:tcPr>
            <w:tcW w:w="2633" w:type="dxa"/>
            <w:shd w:val="clear" w:color="auto" w:fill="E6E6E6"/>
          </w:tcPr>
          <w:p w:rsidR="00125012" w:rsidRPr="008247B0"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Производство и дистрибуция на електроенергия и енергийните инфраструктури</w:t>
            </w:r>
          </w:p>
        </w:tc>
        <w:tc>
          <w:tcPr>
            <w:tcW w:w="6689" w:type="dxa"/>
            <w:shd w:val="clear" w:color="auto" w:fill="F3F3F3"/>
          </w:tcPr>
          <w:p w:rsidR="00125012" w:rsidRPr="008247B0" w:rsidRDefault="00125012" w:rsidP="00125012">
            <w:pPr>
              <w:pStyle w:val="FootnoteText"/>
              <w:spacing w:after="60"/>
              <w:jc w:val="both"/>
              <w:rPr>
                <w:rFonts w:asciiTheme="majorHAnsi" w:hAnsiTheme="majorHAnsi"/>
                <w:sz w:val="24"/>
                <w:szCs w:val="24"/>
              </w:rPr>
            </w:pPr>
            <w:r w:rsidRPr="008247B0">
              <w:rPr>
                <w:rFonts w:asciiTheme="majorHAnsi" w:hAnsiTheme="majorHAnsi"/>
                <w:sz w:val="24"/>
                <w:szCs w:val="24"/>
              </w:rPr>
              <w:t>За целите на процедурата под производство и дистрибуция на електроенергия и енергийните инфраструктури следва да се разбира:</w:t>
            </w:r>
          </w:p>
          <w:p w:rsidR="00125012" w:rsidRPr="008247B0" w:rsidRDefault="00125012" w:rsidP="00125012">
            <w:pPr>
              <w:pStyle w:val="FootnoteText"/>
              <w:spacing w:after="60"/>
              <w:jc w:val="both"/>
              <w:rPr>
                <w:rFonts w:asciiTheme="majorHAnsi" w:hAnsiTheme="majorHAnsi"/>
                <w:sz w:val="24"/>
                <w:szCs w:val="24"/>
              </w:rPr>
            </w:pPr>
            <w:r w:rsidRPr="008247B0">
              <w:rPr>
                <w:rFonts w:asciiTheme="majorHAnsi" w:hAnsiTheme="majorHAnsi"/>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rsidR="00125012" w:rsidRPr="008247B0" w:rsidRDefault="00125012" w:rsidP="00125012">
            <w:pPr>
              <w:pStyle w:val="FootnoteText"/>
              <w:spacing w:after="60"/>
              <w:jc w:val="both"/>
              <w:rPr>
                <w:rFonts w:asciiTheme="majorHAnsi" w:hAnsiTheme="majorHAnsi"/>
                <w:sz w:val="24"/>
                <w:szCs w:val="24"/>
              </w:rPr>
            </w:pPr>
            <w:r w:rsidRPr="008247B0">
              <w:rPr>
                <w:rFonts w:asciiTheme="majorHAnsi" w:hAnsiTheme="majorHAnsi"/>
                <w:sz w:val="24"/>
                <w:szCs w:val="24"/>
              </w:rPr>
              <w:t>- Инвестиции в системи, които произвеждат енергия, вкл. и за собствено потребление</w:t>
            </w:r>
          </w:p>
        </w:tc>
      </w:tr>
      <w:tr w:rsidR="00125012" w:rsidRPr="008247B0" w:rsidTr="005B629B">
        <w:tc>
          <w:tcPr>
            <w:tcW w:w="2633" w:type="dxa"/>
            <w:shd w:val="clear" w:color="auto" w:fill="E6E6E6"/>
          </w:tcPr>
          <w:p w:rsidR="00125012" w:rsidRPr="008247B0"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Процедура за избор на изпълнител</w:t>
            </w:r>
          </w:p>
        </w:tc>
        <w:tc>
          <w:tcPr>
            <w:tcW w:w="6689" w:type="dxa"/>
            <w:shd w:val="clear" w:color="auto" w:fill="F3F3F3"/>
          </w:tcPr>
          <w:p w:rsidR="00125012" w:rsidRPr="008247B0" w:rsidRDefault="00125012" w:rsidP="00125012">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125012" w:rsidRPr="008247B0" w:rsidTr="005B629B">
        <w:tc>
          <w:tcPr>
            <w:tcW w:w="2633" w:type="dxa"/>
            <w:shd w:val="clear" w:color="auto" w:fill="E6E6E6"/>
          </w:tcPr>
          <w:p w:rsidR="00125012" w:rsidRPr="008247B0"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Първично селскостопанско производство</w:t>
            </w:r>
          </w:p>
        </w:tc>
        <w:tc>
          <w:tcPr>
            <w:tcW w:w="6689" w:type="dxa"/>
            <w:shd w:val="clear" w:color="auto" w:fill="F3F3F3"/>
          </w:tcPr>
          <w:p w:rsidR="00125012" w:rsidRPr="008247B0" w:rsidRDefault="00125012" w:rsidP="00125012">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w:t>
            </w:r>
          </w:p>
        </w:tc>
      </w:tr>
      <w:tr w:rsidR="0016172A" w:rsidRPr="008247B0" w:rsidTr="005B629B">
        <w:tc>
          <w:tcPr>
            <w:tcW w:w="2633" w:type="dxa"/>
            <w:shd w:val="clear" w:color="auto" w:fill="E6E6E6"/>
          </w:tcPr>
          <w:p w:rsidR="0016172A" w:rsidRPr="008247B0"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Първоначална инвестиция</w:t>
            </w:r>
          </w:p>
        </w:tc>
        <w:tc>
          <w:tcPr>
            <w:tcW w:w="6689" w:type="dxa"/>
            <w:shd w:val="clear" w:color="auto" w:fill="F3F3F3"/>
          </w:tcPr>
          <w:p w:rsidR="0016172A" w:rsidRPr="008247B0" w:rsidRDefault="0016172A" w:rsidP="0016172A">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Съгласно чл. 2, пар. 49 от Регламент (ЕО) № 651/2014</w:t>
            </w:r>
            <w:r w:rsidRPr="008247B0">
              <w:rPr>
                <w:rFonts w:asciiTheme="majorHAnsi" w:hAnsiTheme="majorHAnsi"/>
                <w:sz w:val="24"/>
                <w:szCs w:val="24"/>
              </w:rPr>
              <w:t>, п</w:t>
            </w:r>
            <w:r w:rsidRPr="008247B0">
              <w:rPr>
                <w:rFonts w:asciiTheme="majorHAnsi" w:eastAsia="Times New Roman" w:hAnsiTheme="majorHAnsi" w:cstheme="minorHAnsi"/>
                <w:snapToGrid w:val="0"/>
                <w:sz w:val="24"/>
                <w:szCs w:val="24"/>
              </w:rPr>
              <w:t>ървоначална инвестиция означава:</w:t>
            </w:r>
          </w:p>
          <w:p w:rsidR="0016172A" w:rsidRPr="008247B0" w:rsidRDefault="0016172A" w:rsidP="0016172A">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16172A" w:rsidRPr="008247B0" w:rsidRDefault="0016172A"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16172A" w:rsidRPr="008247B0" w:rsidRDefault="0016172A"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За целите на настоящата процедура допустимите първоначални инвестиции са: </w:t>
            </w:r>
            <w:r w:rsidRPr="008247B0">
              <w:rPr>
                <w:rFonts w:asciiTheme="majorHAnsi" w:eastAsia="Times New Roman" w:hAnsiTheme="majorHAnsi" w:cstheme="minorHAnsi"/>
                <w:b/>
                <w:snapToGrid w:val="0"/>
                <w:sz w:val="24"/>
                <w:szCs w:val="24"/>
              </w:rPr>
              <w:t>създаване на нов стопански обект</w:t>
            </w:r>
            <w:r w:rsidRPr="008247B0">
              <w:rPr>
                <w:rFonts w:asciiTheme="majorHAnsi" w:eastAsia="Times New Roman" w:hAnsiTheme="majorHAnsi" w:cstheme="minorHAnsi"/>
                <w:snapToGrid w:val="0"/>
                <w:sz w:val="24"/>
                <w:szCs w:val="24"/>
              </w:rPr>
              <w:t xml:space="preserve">; </w:t>
            </w:r>
            <w:r w:rsidRPr="008247B0">
              <w:rPr>
                <w:rFonts w:asciiTheme="majorHAnsi" w:eastAsia="Times New Roman" w:hAnsiTheme="majorHAnsi" w:cstheme="minorHAnsi"/>
                <w:b/>
                <w:snapToGrid w:val="0"/>
                <w:sz w:val="24"/>
                <w:szCs w:val="24"/>
              </w:rPr>
              <w:t xml:space="preserve">разширяване на капацитета на съществуващ стопански обект; </w:t>
            </w:r>
            <w:r w:rsidR="006069CE" w:rsidRPr="008247B0">
              <w:rPr>
                <w:rFonts w:asciiTheme="majorHAnsi" w:eastAsia="Times New Roman" w:hAnsiTheme="majorHAnsi" w:cstheme="minorHAnsi"/>
                <w:b/>
                <w:snapToGrid w:val="0"/>
                <w:sz w:val="24"/>
                <w:szCs w:val="24"/>
              </w:rPr>
              <w:t xml:space="preserve">диверсификацията на продукцията на стопански обект с продукти, които не са били произвеждани до момента в стопанския обект </w:t>
            </w:r>
            <w:r w:rsidRPr="008247B0">
              <w:rPr>
                <w:rFonts w:asciiTheme="majorHAnsi" w:eastAsia="Times New Roman" w:hAnsiTheme="majorHAnsi" w:cstheme="minorHAnsi"/>
                <w:snapToGrid w:val="0"/>
                <w:sz w:val="24"/>
                <w:szCs w:val="24"/>
              </w:rPr>
              <w:t xml:space="preserve">или </w:t>
            </w:r>
            <w:r w:rsidRPr="008247B0">
              <w:rPr>
                <w:rFonts w:asciiTheme="majorHAnsi" w:eastAsia="Times New Roman" w:hAnsiTheme="majorHAnsi" w:cstheme="minorHAnsi"/>
                <w:b/>
                <w:snapToGrid w:val="0"/>
                <w:sz w:val="24"/>
                <w:szCs w:val="24"/>
              </w:rPr>
              <w:t>основна промяна в целия производствен процес на съществуващ стопански обект.</w:t>
            </w:r>
          </w:p>
        </w:tc>
      </w:tr>
      <w:tr w:rsidR="00266962" w:rsidRPr="008247B0" w:rsidTr="005B629B">
        <w:tc>
          <w:tcPr>
            <w:tcW w:w="2633" w:type="dxa"/>
            <w:shd w:val="clear" w:color="auto" w:fill="E6E6E6"/>
          </w:tcPr>
          <w:p w:rsidR="00266962" w:rsidRPr="008247B0" w:rsidRDefault="00266962" w:rsidP="0026696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Разширяване на капацитета на съществуващ стопански обект</w:t>
            </w:r>
          </w:p>
          <w:p w:rsidR="00266962" w:rsidRPr="008247B0" w:rsidRDefault="00266962" w:rsidP="0016172A">
            <w:pPr>
              <w:spacing w:before="100" w:beforeAutospacing="1" w:after="100" w:afterAutospacing="1" w:line="240" w:lineRule="auto"/>
              <w:rPr>
                <w:rFonts w:asciiTheme="majorHAnsi" w:eastAsia="Times New Roman" w:hAnsiTheme="majorHAnsi" w:cstheme="minorHAnsi"/>
                <w:b/>
                <w:snapToGrid w:val="0"/>
                <w:sz w:val="24"/>
                <w:szCs w:val="24"/>
              </w:rPr>
            </w:pPr>
          </w:p>
        </w:tc>
        <w:tc>
          <w:tcPr>
            <w:tcW w:w="6689" w:type="dxa"/>
            <w:shd w:val="clear" w:color="auto" w:fill="F3F3F3"/>
          </w:tcPr>
          <w:p w:rsidR="00266962" w:rsidRPr="008247B0" w:rsidRDefault="00266962"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Разширяване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tc>
      </w:tr>
      <w:tr w:rsidR="0016172A" w:rsidRPr="008247B0" w:rsidTr="005B629B">
        <w:tc>
          <w:tcPr>
            <w:tcW w:w="2633" w:type="dxa"/>
            <w:shd w:val="clear" w:color="auto" w:fill="E6E6E6"/>
          </w:tcPr>
          <w:p w:rsidR="0016172A" w:rsidRPr="008247B0"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Ръководител на Структура за наблюдение и докладване</w:t>
            </w:r>
          </w:p>
        </w:tc>
        <w:tc>
          <w:tcPr>
            <w:tcW w:w="6689" w:type="dxa"/>
            <w:shd w:val="clear" w:color="auto" w:fill="F3F3F3"/>
          </w:tcPr>
          <w:p w:rsidR="0016172A" w:rsidRPr="008247B0" w:rsidRDefault="0016172A" w:rsidP="00F601A7">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Ръководителят на </w:t>
            </w:r>
            <w:r w:rsidR="00F601A7" w:rsidRPr="008247B0">
              <w:rPr>
                <w:rFonts w:asciiTheme="majorHAnsi" w:eastAsia="Times New Roman" w:hAnsiTheme="majorHAnsi" w:cstheme="minorHAnsi"/>
                <w:snapToGrid w:val="0"/>
                <w:sz w:val="24"/>
                <w:szCs w:val="24"/>
              </w:rPr>
              <w:t xml:space="preserve">ведомството или организацията, в чиято структура се намира </w:t>
            </w:r>
            <w:r w:rsidRPr="008247B0">
              <w:rPr>
                <w:rFonts w:asciiTheme="majorHAnsi" w:eastAsia="Times New Roman" w:hAnsiTheme="majorHAnsi" w:cstheme="minorHAnsi"/>
                <w:snapToGrid w:val="0"/>
                <w:sz w:val="24"/>
                <w:szCs w:val="24"/>
              </w:rPr>
              <w:t xml:space="preserve">съответната СНД. Правомощията на ръководител на Структура за наблюдение и докладване може да се упражняват и от овластено от </w:t>
            </w:r>
            <w:r w:rsidR="00F601A7" w:rsidRPr="008247B0">
              <w:rPr>
                <w:rFonts w:asciiTheme="majorHAnsi" w:eastAsia="Times New Roman" w:hAnsiTheme="majorHAnsi" w:cstheme="minorHAnsi"/>
                <w:snapToGrid w:val="0"/>
                <w:sz w:val="24"/>
                <w:szCs w:val="24"/>
              </w:rPr>
              <w:t>Ръководителя</w:t>
            </w:r>
            <w:r w:rsidRPr="008247B0">
              <w:rPr>
                <w:rFonts w:asciiTheme="majorHAnsi" w:eastAsia="Times New Roman" w:hAnsiTheme="majorHAnsi" w:cstheme="minorHAnsi"/>
                <w:snapToGrid w:val="0"/>
                <w:sz w:val="24"/>
                <w:szCs w:val="24"/>
              </w:rPr>
              <w:t xml:space="preserve"> лице.</w:t>
            </w:r>
          </w:p>
        </w:tc>
      </w:tr>
      <w:tr w:rsidR="0016172A" w:rsidRPr="008247B0" w:rsidTr="005B629B">
        <w:tc>
          <w:tcPr>
            <w:tcW w:w="2633" w:type="dxa"/>
            <w:shd w:val="clear" w:color="auto" w:fill="E6E6E6"/>
          </w:tcPr>
          <w:p w:rsidR="0016172A" w:rsidRPr="008247B0"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Свързани лица</w:t>
            </w:r>
          </w:p>
        </w:tc>
        <w:tc>
          <w:tcPr>
            <w:tcW w:w="6689" w:type="dxa"/>
            <w:shd w:val="clear" w:color="auto" w:fill="F3F3F3"/>
          </w:tcPr>
          <w:p w:rsidR="0016172A" w:rsidRPr="008247B0" w:rsidRDefault="00997293"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(1) </w:t>
            </w:r>
            <w:r w:rsidR="0016172A" w:rsidRPr="008247B0">
              <w:rPr>
                <w:rFonts w:asciiTheme="majorHAnsi" w:eastAsia="Times New Roman" w:hAnsiTheme="majorHAnsi" w:cstheme="minorHAnsi"/>
                <w:snapToGrid w:val="0"/>
                <w:sz w:val="24"/>
                <w:szCs w:val="24"/>
              </w:rPr>
              <w:t>„Свързани лица” са:</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работодател и работник;</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3. лицата, едното от които участва в управлението на дружеството на другото;</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4. съдружниците;</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6. лицата, чиято дейност се контролира пряко или косвено от трето лице;</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7. лицата, които съвместно контролират пряко или косвено трето лице;</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8. лицата, едното от които е търговски</w:t>
            </w:r>
            <w:r w:rsidRPr="008247B0">
              <w:rPr>
                <w:rFonts w:asciiTheme="majorHAnsi" w:eastAsia="Times New Roman" w:hAnsiTheme="majorHAnsi" w:cstheme="minorHAnsi"/>
                <w:snapToGrid w:val="0"/>
                <w:sz w:val="24"/>
                <w:szCs w:val="24"/>
                <w:lang w:val="en-US"/>
              </w:rPr>
              <w:t xml:space="preserve"> </w:t>
            </w:r>
            <w:r w:rsidRPr="008247B0">
              <w:rPr>
                <w:rFonts w:asciiTheme="majorHAnsi" w:eastAsia="Times New Roman" w:hAnsiTheme="majorHAnsi" w:cstheme="minorHAnsi"/>
                <w:snapToGrid w:val="0"/>
                <w:sz w:val="24"/>
                <w:szCs w:val="24"/>
              </w:rPr>
              <w:t>представител на другото;</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9. лицата, едното от които е направило дарение в полза на другото.</w:t>
            </w:r>
          </w:p>
          <w:p w:rsidR="0016172A" w:rsidRPr="008247B0" w:rsidRDefault="00997293" w:rsidP="00137069">
            <w:pPr>
              <w:spacing w:after="0" w:line="240" w:lineRule="auto"/>
              <w:jc w:val="both"/>
              <w:rPr>
                <w:rFonts w:asciiTheme="majorHAnsi" w:eastAsia="Times New Roman" w:hAnsiTheme="majorHAnsi" w:cstheme="minorHAnsi"/>
                <w:snapToGrid w:val="0"/>
                <w:sz w:val="24"/>
                <w:szCs w:val="24"/>
                <w:lang w:val="en-US"/>
              </w:rPr>
            </w:pPr>
            <w:r w:rsidRPr="008247B0">
              <w:rPr>
                <w:rFonts w:asciiTheme="majorHAnsi" w:eastAsia="Times New Roman" w:hAnsiTheme="majorHAnsi" w:cstheme="minorHAnsi"/>
                <w:snapToGrid w:val="0"/>
                <w:sz w:val="24"/>
                <w:szCs w:val="24"/>
              </w:rPr>
              <w:t xml:space="preserve">(2) </w:t>
            </w:r>
            <w:r w:rsidR="0016172A" w:rsidRPr="008247B0">
              <w:rPr>
                <w:rFonts w:asciiTheme="majorHAnsi" w:eastAsia="Times New Roman" w:hAnsiTheme="majorHAnsi" w:cstheme="minorHAnsi"/>
                <w:snapToGrid w:val="0"/>
                <w:sz w:val="24"/>
                <w:szCs w:val="24"/>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16172A" w:rsidRPr="008247B0" w:rsidTr="005B629B">
        <w:tc>
          <w:tcPr>
            <w:tcW w:w="2633" w:type="dxa"/>
            <w:shd w:val="clear" w:color="auto" w:fill="E6E6E6"/>
          </w:tcPr>
          <w:p w:rsidR="0016172A" w:rsidRPr="008247B0"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Сделка между несвързани лица</w:t>
            </w:r>
          </w:p>
        </w:tc>
        <w:tc>
          <w:tcPr>
            <w:tcW w:w="6689" w:type="dxa"/>
            <w:shd w:val="clear" w:color="auto" w:fill="F3F3F3"/>
          </w:tcPr>
          <w:p w:rsidR="0016172A" w:rsidRPr="008247B0" w:rsidRDefault="0016172A"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AB3C8E" w:rsidRPr="008247B0" w:rsidTr="005B629B">
        <w:tc>
          <w:tcPr>
            <w:tcW w:w="2633" w:type="dxa"/>
            <w:shd w:val="clear" w:color="auto" w:fill="E6E6E6"/>
          </w:tcPr>
          <w:p w:rsidR="00AB3C8E" w:rsidRPr="008247B0"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Сектор за производство на синтетични влакна</w:t>
            </w:r>
          </w:p>
        </w:tc>
        <w:tc>
          <w:tcPr>
            <w:tcW w:w="6689" w:type="dxa"/>
            <w:shd w:val="clear" w:color="auto" w:fill="F3F3F3"/>
          </w:tcPr>
          <w:p w:rsidR="00AB3C8E" w:rsidRPr="008247B0" w:rsidRDefault="00AB3C8E" w:rsidP="00AB3C8E">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Съгласно чл. 2, пар. 44 от Регламент (ЕО) № 651/2014</w:t>
            </w:r>
            <w:r w:rsidRPr="008247B0">
              <w:rPr>
                <w:rFonts w:asciiTheme="majorHAnsi" w:hAnsiTheme="majorHAnsi"/>
                <w:sz w:val="24"/>
                <w:szCs w:val="24"/>
              </w:rPr>
              <w:t xml:space="preserve"> </w:t>
            </w:r>
            <w:r w:rsidRPr="008247B0">
              <w:rPr>
                <w:rFonts w:asciiTheme="majorHAnsi" w:eastAsia="Times New Roman" w:hAnsiTheme="majorHAnsi" w:cstheme="minorHAnsi"/>
                <w:snapToGrid w:val="0"/>
                <w:sz w:val="24"/>
                <w:szCs w:val="24"/>
              </w:rPr>
              <w:t>„сектор за производство на синтетични влакна“ означава:</w:t>
            </w:r>
          </w:p>
          <w:p w:rsidR="00AB3C8E" w:rsidRPr="008247B0" w:rsidRDefault="00AB3C8E" w:rsidP="00AB3C8E">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а) екструдиране/текстуриране на всички основни видове влакна и прежди на база полиестер, полиамид, акрил или пропилен, независимо от предназначението им; или</w:t>
            </w:r>
          </w:p>
          <w:p w:rsidR="00AB3C8E" w:rsidRPr="008247B0" w:rsidRDefault="00AB3C8E" w:rsidP="00AB3C8E">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б) полимеризация (включително поликондензация), когато е интегрирана в процеса на екструдиране предвид използваното оборудване; или</w:t>
            </w:r>
          </w:p>
          <w:p w:rsidR="00AB3C8E" w:rsidRPr="008247B0" w:rsidRDefault="00AB3C8E" w:rsidP="00AB3C8E">
            <w:pPr>
              <w:spacing w:after="60" w:line="240" w:lineRule="auto"/>
              <w:jc w:val="both"/>
              <w:rPr>
                <w:rFonts w:asciiTheme="majorHAnsi" w:hAnsiTheme="majorHAnsi" w:cstheme="minorHAnsi"/>
                <w:sz w:val="24"/>
                <w:szCs w:val="24"/>
              </w:rPr>
            </w:pPr>
            <w:r w:rsidRPr="008247B0">
              <w:rPr>
                <w:rFonts w:asciiTheme="majorHAnsi" w:eastAsia="Times New Roman" w:hAnsiTheme="majorHAnsi" w:cstheme="minorHAnsi"/>
                <w:snapToGrid w:val="0"/>
                <w:sz w:val="24"/>
                <w:szCs w:val="24"/>
              </w:rPr>
              <w:t>в) всички спомагателни процеси, които са свързани с едновременното инсталиране на мощности за екструдиране/ текстуриране от потенциалния бенефициер или от друго дружество, принадлежащо към същата група, и които при конкретния вид стопанска дейност обикновено са интегрирани в тези мощности предвид използваното оборудване.</w:t>
            </w:r>
          </w:p>
        </w:tc>
      </w:tr>
      <w:tr w:rsidR="00AB3C8E" w:rsidRPr="008247B0" w:rsidTr="005B629B">
        <w:tc>
          <w:tcPr>
            <w:tcW w:w="2633" w:type="dxa"/>
            <w:shd w:val="clear" w:color="auto" w:fill="E6E6E6"/>
          </w:tcPr>
          <w:p w:rsidR="00AB3C8E" w:rsidRPr="008247B0"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Селскостопански продукт</w:t>
            </w:r>
          </w:p>
        </w:tc>
        <w:tc>
          <w:tcPr>
            <w:tcW w:w="6689" w:type="dxa"/>
            <w:shd w:val="clear" w:color="auto" w:fill="F3F3F3"/>
          </w:tcPr>
          <w:p w:rsidR="00AB3C8E" w:rsidRPr="008247B0" w:rsidRDefault="00AB3C8E"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Продукти, изброени в Приложение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007667" w:rsidRPr="008247B0" w:rsidTr="005B629B">
        <w:tc>
          <w:tcPr>
            <w:tcW w:w="2633" w:type="dxa"/>
            <w:shd w:val="clear" w:color="auto" w:fill="E6E6E6"/>
          </w:tcPr>
          <w:p w:rsidR="00007667" w:rsidRPr="008247B0" w:rsidRDefault="00007667" w:rsidP="00C55313">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Собственик на индустриален парк/зона</w:t>
            </w:r>
          </w:p>
        </w:tc>
        <w:tc>
          <w:tcPr>
            <w:tcW w:w="6689" w:type="dxa"/>
            <w:shd w:val="clear" w:color="auto" w:fill="F3F3F3"/>
          </w:tcPr>
          <w:p w:rsidR="00007667" w:rsidRPr="008247B0" w:rsidRDefault="00007667" w:rsidP="00007667">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Собственикът на индустриалния парк</w:t>
            </w:r>
            <w:r w:rsidR="0048493C"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осигурява организационните, устройствените и техническите условия за създаването, изграждането, функционирането и развитието на парка</w:t>
            </w:r>
            <w:r w:rsidR="0048493C" w:rsidRPr="008247B0">
              <w:rPr>
                <w:rFonts w:asciiTheme="majorHAnsi" w:eastAsia="Times New Roman" w:hAnsiTheme="majorHAnsi" w:cstheme="minorHAnsi"/>
                <w:snapToGrid w:val="0"/>
                <w:sz w:val="24"/>
                <w:szCs w:val="24"/>
              </w:rPr>
              <w:t>/зоната</w:t>
            </w:r>
            <w:r w:rsidRPr="008247B0">
              <w:rPr>
                <w:rFonts w:asciiTheme="majorHAnsi" w:eastAsia="Times New Roman" w:hAnsiTheme="majorHAnsi" w:cstheme="minorHAnsi"/>
                <w:snapToGrid w:val="0"/>
                <w:sz w:val="24"/>
                <w:szCs w:val="24"/>
              </w:rPr>
              <w:t>.</w:t>
            </w:r>
          </w:p>
          <w:p w:rsidR="00007667" w:rsidRPr="008247B0" w:rsidRDefault="00007667" w:rsidP="00007667">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Собственик на индустриален парк</w:t>
            </w:r>
            <w:r w:rsidR="0048493C"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може да бъде държавата и/или една или повече общини, както и юридическо лице, регистрирано като търговец по смисъла на Търговския закон, или техни обединения.</w:t>
            </w:r>
          </w:p>
          <w:p w:rsidR="00007667" w:rsidRPr="008247B0" w:rsidRDefault="00007667" w:rsidP="00007667">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Държавата и/или една или повече общини могат да участват в юридически лица или техни обединения с блокираща квота по чл. 57а, ал. 2 от Закона за държавната собственост, съответно по чл. 51б, ал. 2 от Закона за общинската собственост, когато участието им е равно или по-голямо от 30 на сто.</w:t>
            </w:r>
          </w:p>
        </w:tc>
      </w:tr>
      <w:tr w:rsidR="00AB3C8E" w:rsidRPr="008247B0" w:rsidTr="005B629B">
        <w:tc>
          <w:tcPr>
            <w:tcW w:w="2633" w:type="dxa"/>
            <w:shd w:val="clear" w:color="auto" w:fill="E6E6E6"/>
          </w:tcPr>
          <w:p w:rsidR="00AB3C8E" w:rsidRPr="008247B0"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Стоманодобивен сектор</w:t>
            </w:r>
          </w:p>
        </w:tc>
        <w:tc>
          <w:tcPr>
            <w:tcW w:w="6689" w:type="dxa"/>
            <w:shd w:val="clear" w:color="auto" w:fill="F3F3F3"/>
          </w:tcPr>
          <w:p w:rsidR="00AB3C8E" w:rsidRPr="008247B0" w:rsidRDefault="00AB3C8E" w:rsidP="00AB3C8E">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Съгласно чл. 2, пар. 43 от Регламент (ЕО) № 651/2014</w:t>
            </w:r>
            <w:r w:rsidRPr="008247B0">
              <w:rPr>
                <w:rFonts w:asciiTheme="majorHAnsi" w:hAnsiTheme="majorHAnsi"/>
                <w:sz w:val="24"/>
                <w:szCs w:val="24"/>
              </w:rPr>
              <w:t xml:space="preserve"> </w:t>
            </w:r>
            <w:r w:rsidRPr="008247B0">
              <w:rPr>
                <w:rFonts w:asciiTheme="majorHAnsi" w:eastAsia="Times New Roman" w:hAnsiTheme="majorHAnsi" w:cstheme="minorHAnsi"/>
                <w:snapToGrid w:val="0"/>
                <w:sz w:val="24"/>
                <w:szCs w:val="24"/>
              </w:rPr>
              <w:t>„стоманодобивен сектор“ означава всички дейности, свързани с производството на един или повече от следните продукти:</w:t>
            </w:r>
          </w:p>
          <w:p w:rsidR="00AB3C8E" w:rsidRPr="008247B0" w:rsidRDefault="00AB3C8E" w:rsidP="00AB3C8E">
            <w:pPr>
              <w:spacing w:after="60" w:line="240" w:lineRule="auto"/>
              <w:jc w:val="both"/>
              <w:rPr>
                <w:rFonts w:asciiTheme="majorHAnsi" w:eastAsia="Times New Roman" w:hAnsiTheme="majorHAnsi" w:cstheme="minorHAnsi"/>
                <w:snapToGrid w:val="0"/>
                <w:sz w:val="24"/>
                <w:szCs w:val="24"/>
                <w:lang w:val="bg"/>
              </w:rPr>
            </w:pPr>
            <w:r w:rsidRPr="008247B0">
              <w:rPr>
                <w:rFonts w:asciiTheme="majorHAnsi" w:eastAsia="Times New Roman" w:hAnsiTheme="majorHAnsi" w:cstheme="minorHAnsi"/>
                <w:snapToGrid w:val="0"/>
                <w:sz w:val="24"/>
                <w:szCs w:val="24"/>
                <w:lang w:val="bg"/>
              </w:rPr>
              <w:t xml:space="preserve">а) чугун на блокове и феросплави: чугун за производство на стомана, леярски чугун и друг чугун за производство на стомана, шпигелайзен (желязно-манганови сплави) и високовъглеродни желязно-манганови сплави, </w:t>
            </w:r>
            <w:r w:rsidR="00BB6184" w:rsidRPr="008247B0">
              <w:rPr>
                <w:rFonts w:asciiTheme="majorHAnsi" w:eastAsia="Times New Roman" w:hAnsiTheme="majorHAnsi" w:cstheme="minorHAnsi"/>
                <w:snapToGrid w:val="0"/>
                <w:sz w:val="24"/>
                <w:szCs w:val="24"/>
                <w:lang w:val="bg"/>
              </w:rPr>
              <w:t>без да се включват други ферос</w:t>
            </w:r>
            <w:r w:rsidRPr="008247B0">
              <w:rPr>
                <w:rFonts w:asciiTheme="majorHAnsi" w:eastAsia="Times New Roman" w:hAnsiTheme="majorHAnsi" w:cstheme="minorHAnsi"/>
                <w:snapToGrid w:val="0"/>
                <w:sz w:val="24"/>
                <w:szCs w:val="24"/>
                <w:lang w:val="bg"/>
              </w:rPr>
              <w:t>плави;</w:t>
            </w:r>
          </w:p>
          <w:p w:rsidR="00AB3C8E" w:rsidRPr="008247B0" w:rsidRDefault="00AB3C8E" w:rsidP="00AB3C8E">
            <w:pPr>
              <w:spacing w:after="60" w:line="240" w:lineRule="auto"/>
              <w:jc w:val="both"/>
              <w:rPr>
                <w:rFonts w:asciiTheme="majorHAnsi" w:eastAsia="Times New Roman" w:hAnsiTheme="majorHAnsi" w:cstheme="minorHAnsi"/>
                <w:snapToGrid w:val="0"/>
                <w:sz w:val="24"/>
                <w:szCs w:val="24"/>
                <w:lang w:val="bg"/>
              </w:rPr>
            </w:pPr>
            <w:r w:rsidRPr="008247B0">
              <w:rPr>
                <w:rFonts w:asciiTheme="majorHAnsi" w:eastAsia="Times New Roman" w:hAnsiTheme="majorHAnsi" w:cstheme="minorHAnsi"/>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пръти и сляби, листове и листове покалаена ламарина, горещо валцувани коилси, с изключение на производство на лята стомана за леене от малки и средни леярни;</w:t>
            </w:r>
          </w:p>
          <w:p w:rsidR="00AB3C8E" w:rsidRPr="008247B0" w:rsidRDefault="00AB3C8E" w:rsidP="00AB3C8E">
            <w:pPr>
              <w:spacing w:after="60" w:line="240" w:lineRule="auto"/>
              <w:jc w:val="both"/>
              <w:rPr>
                <w:rFonts w:asciiTheme="majorHAnsi" w:eastAsia="Times New Roman" w:hAnsiTheme="majorHAnsi" w:cstheme="minorHAnsi"/>
                <w:snapToGrid w:val="0"/>
                <w:sz w:val="24"/>
                <w:szCs w:val="24"/>
                <w:lang w:val="bg"/>
              </w:rPr>
            </w:pPr>
            <w:r w:rsidRPr="008247B0">
              <w:rPr>
                <w:rFonts w:asciiTheme="majorHAnsi" w:eastAsia="Times New Roman" w:hAnsiTheme="majorHAnsi" w:cstheme="minorHAnsi"/>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8247B0">
              <w:rPr>
                <w:rFonts w:asciiTheme="majorHAnsi" w:eastAsia="Times New Roman" w:hAnsiTheme="majorHAnsi" w:cstheme="minorHAnsi"/>
                <w:snapToGrid w:val="0"/>
                <w:sz w:val="24"/>
                <w:szCs w:val="24"/>
                <w:lang w:val="en-US"/>
              </w:rPr>
              <w:t xml:space="preserve">mm </w:t>
            </w:r>
            <w:r w:rsidRPr="008247B0">
              <w:rPr>
                <w:rFonts w:asciiTheme="majorHAnsi" w:eastAsia="Times New Roman" w:hAnsiTheme="majorHAnsi" w:cstheme="minorHAnsi"/>
                <w:snapToGrid w:val="0"/>
                <w:sz w:val="24"/>
                <w:szCs w:val="24"/>
                <w:lang w:val="bg"/>
              </w:rPr>
              <w:t xml:space="preserve">и по- голяма, валцувани плоскости, профили и секции с дебелина по-малко от 80 </w:t>
            </w:r>
            <w:r w:rsidRPr="008247B0">
              <w:rPr>
                <w:rFonts w:asciiTheme="majorHAnsi" w:eastAsia="Times New Roman" w:hAnsiTheme="majorHAnsi" w:cstheme="minorHAnsi"/>
                <w:snapToGrid w:val="0"/>
                <w:sz w:val="24"/>
                <w:szCs w:val="24"/>
                <w:lang w:val="en-US"/>
              </w:rPr>
              <w:t xml:space="preserve">mm </w:t>
            </w:r>
            <w:r w:rsidRPr="008247B0">
              <w:rPr>
                <w:rFonts w:asciiTheme="majorHAnsi" w:eastAsia="Times New Roman" w:hAnsiTheme="majorHAnsi" w:cstheme="minorHAnsi"/>
                <w:snapToGrid w:val="0"/>
                <w:sz w:val="24"/>
                <w:szCs w:val="24"/>
                <w:lang w:val="bg"/>
              </w:rPr>
              <w:t xml:space="preserve">и плоскости по-тънки от 150 </w:t>
            </w:r>
            <w:r w:rsidRPr="008247B0">
              <w:rPr>
                <w:rFonts w:asciiTheme="majorHAnsi" w:eastAsia="Times New Roman" w:hAnsiTheme="majorHAnsi" w:cstheme="minorHAnsi"/>
                <w:snapToGrid w:val="0"/>
                <w:sz w:val="24"/>
                <w:szCs w:val="24"/>
                <w:lang w:val="en-US"/>
              </w:rPr>
              <w:t xml:space="preserve">mm, </w:t>
            </w:r>
            <w:r w:rsidRPr="008247B0">
              <w:rPr>
                <w:rFonts w:asciiTheme="majorHAnsi" w:eastAsia="Times New Roman" w:hAnsiTheme="majorHAnsi" w:cstheme="minorHAnsi"/>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8247B0">
              <w:rPr>
                <w:rFonts w:asciiTheme="majorHAnsi" w:eastAsia="Times New Roman" w:hAnsiTheme="majorHAnsi" w:cstheme="minorHAnsi"/>
                <w:snapToGrid w:val="0"/>
                <w:sz w:val="24"/>
                <w:szCs w:val="24"/>
                <w:lang w:val="en-US"/>
              </w:rPr>
              <w:t xml:space="preserve">mm </w:t>
            </w:r>
            <w:r w:rsidRPr="008247B0">
              <w:rPr>
                <w:rFonts w:asciiTheme="majorHAnsi" w:eastAsia="Times New Roman" w:hAnsiTheme="majorHAnsi" w:cstheme="minorHAnsi"/>
                <w:snapToGrid w:val="0"/>
                <w:sz w:val="24"/>
                <w:szCs w:val="24"/>
                <w:lang w:val="bg"/>
              </w:rPr>
              <w:t xml:space="preserve">или повече, плосковалцовани продукти с универсално предназначение с дебелина 150 </w:t>
            </w:r>
            <w:r w:rsidRPr="008247B0">
              <w:rPr>
                <w:rFonts w:asciiTheme="majorHAnsi" w:eastAsia="Times New Roman" w:hAnsiTheme="majorHAnsi" w:cstheme="minorHAnsi"/>
                <w:snapToGrid w:val="0"/>
                <w:sz w:val="24"/>
                <w:szCs w:val="24"/>
                <w:lang w:val="en-US"/>
              </w:rPr>
              <w:t xml:space="preserve">mm </w:t>
            </w:r>
            <w:r w:rsidRPr="008247B0">
              <w:rPr>
                <w:rFonts w:asciiTheme="majorHAnsi" w:eastAsia="Times New Roman" w:hAnsiTheme="majorHAnsi" w:cstheme="minorHAnsi"/>
                <w:snapToGrid w:val="0"/>
                <w:sz w:val="24"/>
                <w:szCs w:val="24"/>
                <w:lang w:val="bg"/>
              </w:rPr>
              <w:t>или повече, с изключение на тел и продукти от тел, полирани пръти и железни отливки;</w:t>
            </w:r>
          </w:p>
          <w:p w:rsidR="00AB3C8E" w:rsidRPr="008247B0" w:rsidRDefault="00AB3C8E" w:rsidP="00AB3C8E">
            <w:pPr>
              <w:spacing w:after="60" w:line="240" w:lineRule="auto"/>
              <w:jc w:val="both"/>
              <w:rPr>
                <w:rFonts w:asciiTheme="majorHAnsi" w:eastAsia="Times New Roman" w:hAnsiTheme="majorHAnsi" w:cstheme="minorHAnsi"/>
                <w:snapToGrid w:val="0"/>
                <w:sz w:val="24"/>
                <w:szCs w:val="24"/>
                <w:lang w:val="bg"/>
              </w:rPr>
            </w:pPr>
            <w:r w:rsidRPr="008247B0">
              <w:rPr>
                <w:rFonts w:asciiTheme="majorHAnsi" w:eastAsia="Times New Roman" w:hAnsiTheme="majorHAnsi" w:cstheme="minorHAnsi"/>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rsidR="00AB3C8E" w:rsidRPr="008247B0" w:rsidRDefault="00AB3C8E" w:rsidP="00AB3C8E">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lang w:val="bg"/>
              </w:rPr>
              <w:t xml:space="preserve">д) тръби: всички безшевни стоманени тръби, запоени стоманени тръби с диаметър, надхвърлящ 406,4 </w:t>
            </w:r>
            <w:r w:rsidRPr="008247B0">
              <w:rPr>
                <w:rFonts w:asciiTheme="majorHAnsi" w:eastAsia="Times New Roman" w:hAnsiTheme="majorHAnsi" w:cstheme="minorHAnsi"/>
                <w:snapToGrid w:val="0"/>
                <w:sz w:val="24"/>
                <w:szCs w:val="24"/>
                <w:lang w:val="en-US"/>
              </w:rPr>
              <w:t>mm;</w:t>
            </w:r>
          </w:p>
        </w:tc>
      </w:tr>
      <w:tr w:rsidR="00B827F5" w:rsidRPr="008247B0" w:rsidTr="005B629B">
        <w:tc>
          <w:tcPr>
            <w:tcW w:w="2633" w:type="dxa"/>
            <w:shd w:val="clear" w:color="auto" w:fill="E6E6E6"/>
          </w:tcPr>
          <w:p w:rsidR="00B827F5" w:rsidRPr="008247B0" w:rsidRDefault="00B827F5"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Стратегически инвеститор</w:t>
            </w:r>
          </w:p>
        </w:tc>
        <w:tc>
          <w:tcPr>
            <w:tcW w:w="6689" w:type="dxa"/>
            <w:shd w:val="clear" w:color="auto" w:fill="F3F3F3"/>
          </w:tcPr>
          <w:p w:rsidR="00B827F5" w:rsidRPr="008247B0" w:rsidRDefault="00984493" w:rsidP="008E7F6F">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За</w:t>
            </w:r>
            <w:r w:rsidR="008E7F6F" w:rsidRPr="008247B0">
              <w:rPr>
                <w:rFonts w:asciiTheme="majorHAnsi" w:eastAsia="Times New Roman" w:hAnsiTheme="majorHAnsi" w:cstheme="minorHAnsi"/>
                <w:snapToGrid w:val="0"/>
                <w:sz w:val="24"/>
                <w:szCs w:val="24"/>
              </w:rPr>
              <w:t xml:space="preserve"> целите на настоящата процедура, „с</w:t>
            </w:r>
            <w:r w:rsidRPr="008247B0">
              <w:rPr>
                <w:rFonts w:asciiTheme="majorHAnsi" w:eastAsia="Times New Roman" w:hAnsiTheme="majorHAnsi" w:cstheme="minorHAnsi"/>
                <w:snapToGrid w:val="0"/>
                <w:sz w:val="24"/>
                <w:szCs w:val="24"/>
              </w:rPr>
              <w:t>тратегически инвеститор</w:t>
            </w:r>
            <w:r w:rsidR="008E7F6F" w:rsidRPr="008247B0">
              <w:rPr>
                <w:rFonts w:asciiTheme="majorHAnsi" w:eastAsia="Times New Roman" w:hAnsiTheme="majorHAnsi" w:cstheme="minorHAnsi"/>
                <w:snapToGrid w:val="0"/>
                <w:sz w:val="24"/>
                <w:szCs w:val="24"/>
              </w:rPr>
              <w:t>“</w:t>
            </w:r>
            <w:r w:rsidRPr="008247B0">
              <w:rPr>
                <w:rFonts w:asciiTheme="majorHAnsi" w:eastAsia="Times New Roman" w:hAnsiTheme="majorHAnsi" w:cstheme="minorHAnsi"/>
                <w:snapToGrid w:val="0"/>
                <w:sz w:val="24"/>
                <w:szCs w:val="24"/>
              </w:rPr>
              <w:t xml:space="preserve"> е инвеститор (местен или чуждестранен), който създава условия за установяването в парка на други предприятия (създаване на местен клъстер с поддоставчици, партньори, контрагенти) и по този начин спомага за подобряване на икономическата активност, конкурентоспособност и осигуряване на дългосрочна перспектива за развитието както на парка</w:t>
            </w:r>
            <w:r w:rsidR="008E7F6F" w:rsidRPr="008247B0">
              <w:rPr>
                <w:rFonts w:asciiTheme="majorHAnsi" w:eastAsia="Times New Roman" w:hAnsiTheme="majorHAnsi" w:cstheme="minorHAnsi"/>
                <w:snapToGrid w:val="0"/>
                <w:sz w:val="24"/>
                <w:szCs w:val="24"/>
              </w:rPr>
              <w:t>/зоната</w:t>
            </w:r>
            <w:r w:rsidRPr="008247B0">
              <w:rPr>
                <w:rFonts w:asciiTheme="majorHAnsi" w:eastAsia="Times New Roman" w:hAnsiTheme="majorHAnsi" w:cstheme="minorHAnsi"/>
                <w:snapToGrid w:val="0"/>
                <w:sz w:val="24"/>
                <w:szCs w:val="24"/>
              </w:rPr>
              <w:t>, така и на съответния регион, за технологичен трансфер на знания, умения, процеси и модели.</w:t>
            </w:r>
          </w:p>
        </w:tc>
      </w:tr>
      <w:tr w:rsidR="00AB3C8E" w:rsidRPr="008247B0" w:rsidTr="005B629B">
        <w:tc>
          <w:tcPr>
            <w:tcW w:w="2633" w:type="dxa"/>
            <w:shd w:val="clear" w:color="auto" w:fill="E6E6E6"/>
          </w:tcPr>
          <w:p w:rsidR="00AB3C8E" w:rsidRPr="008247B0"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Структура за наблюдение и докладване</w:t>
            </w:r>
          </w:p>
        </w:tc>
        <w:tc>
          <w:tcPr>
            <w:tcW w:w="6689" w:type="dxa"/>
            <w:shd w:val="clear" w:color="auto" w:fill="F3F3F3"/>
          </w:tcPr>
          <w:p w:rsidR="00AB3C8E" w:rsidRPr="008247B0" w:rsidRDefault="00AB3C8E"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266962" w:rsidRPr="008247B0" w:rsidTr="005B629B">
        <w:tc>
          <w:tcPr>
            <w:tcW w:w="2633" w:type="dxa"/>
            <w:shd w:val="clear" w:color="auto" w:fill="E6E6E6"/>
          </w:tcPr>
          <w:p w:rsidR="00266962" w:rsidRPr="008247B0" w:rsidRDefault="00266962" w:rsidP="0026696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Съ</w:t>
            </w:r>
            <w:r w:rsidR="009B4CC8" w:rsidRPr="008247B0">
              <w:rPr>
                <w:rFonts w:asciiTheme="majorHAnsi" w:eastAsia="Times New Roman" w:hAnsiTheme="majorHAnsi" w:cstheme="minorHAnsi"/>
                <w:b/>
                <w:snapToGrid w:val="0"/>
                <w:sz w:val="24"/>
                <w:szCs w:val="24"/>
              </w:rPr>
              <w:t>здаване на нов стопански обект</w:t>
            </w:r>
          </w:p>
          <w:p w:rsidR="00266962" w:rsidRPr="008247B0" w:rsidRDefault="00266962" w:rsidP="00AB3C8E">
            <w:pPr>
              <w:spacing w:before="100" w:beforeAutospacing="1" w:after="100" w:afterAutospacing="1" w:line="240" w:lineRule="auto"/>
              <w:rPr>
                <w:rFonts w:asciiTheme="majorHAnsi" w:eastAsia="Times New Roman" w:hAnsiTheme="majorHAnsi" w:cstheme="minorHAnsi"/>
                <w:b/>
                <w:snapToGrid w:val="0"/>
                <w:sz w:val="24"/>
                <w:szCs w:val="24"/>
              </w:rPr>
            </w:pPr>
          </w:p>
        </w:tc>
        <w:tc>
          <w:tcPr>
            <w:tcW w:w="6689" w:type="dxa"/>
            <w:shd w:val="clear" w:color="auto" w:fill="F3F3F3"/>
          </w:tcPr>
          <w:p w:rsidR="00266962" w:rsidRPr="008247B0" w:rsidRDefault="00266962"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tc>
      </w:tr>
      <w:tr w:rsidR="00997293" w:rsidRPr="008247B0" w:rsidTr="00997293">
        <w:tc>
          <w:tcPr>
            <w:tcW w:w="2633" w:type="dxa"/>
            <w:tcBorders>
              <w:top w:val="single" w:sz="4" w:space="0" w:color="auto"/>
              <w:left w:val="single" w:sz="4" w:space="0" w:color="auto"/>
              <w:bottom w:val="single" w:sz="4" w:space="0" w:color="auto"/>
              <w:right w:val="single" w:sz="4" w:space="0" w:color="auto"/>
            </w:tcBorders>
            <w:shd w:val="clear" w:color="auto" w:fill="E6E6E6"/>
          </w:tcPr>
          <w:p w:rsidR="00997293" w:rsidRPr="008247B0" w:rsidRDefault="00997293" w:rsidP="00F13030">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Транспортни средства</w:t>
            </w:r>
          </w:p>
        </w:tc>
        <w:tc>
          <w:tcPr>
            <w:tcW w:w="6689" w:type="dxa"/>
            <w:tcBorders>
              <w:top w:val="single" w:sz="4" w:space="0" w:color="auto"/>
              <w:left w:val="single" w:sz="4" w:space="0" w:color="auto"/>
              <w:bottom w:val="single" w:sz="4" w:space="0" w:color="auto"/>
              <w:right w:val="single" w:sz="4" w:space="0" w:color="auto"/>
            </w:tcBorders>
            <w:shd w:val="clear" w:color="auto" w:fill="F3F3F3"/>
          </w:tcPr>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Включва следните дефиниции:</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 - Съгласно Закона за движението по пътищата:</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Съгласно Закона за гражданското въздухоплаване:</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 - Съгласно Закона за железопътния транспорт:</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 - Съгласно Закона за морските пространства, вътрешните водни пътища и пристанищата на Република България:</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„Яхта” е кораб, използван за туризъм, спорт, спортен риболов или развлечение.</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997293" w:rsidRPr="008247B0" w:rsidTr="00997293">
        <w:tc>
          <w:tcPr>
            <w:tcW w:w="2633" w:type="dxa"/>
            <w:tcBorders>
              <w:top w:val="single" w:sz="4" w:space="0" w:color="auto"/>
              <w:left w:val="single" w:sz="4" w:space="0" w:color="auto"/>
              <w:bottom w:val="single" w:sz="4" w:space="0" w:color="auto"/>
              <w:right w:val="single" w:sz="4" w:space="0" w:color="auto"/>
            </w:tcBorders>
            <w:shd w:val="clear" w:color="auto" w:fill="E6E6E6"/>
          </w:tcPr>
          <w:p w:rsidR="00997293" w:rsidRPr="008247B0" w:rsidRDefault="00997293" w:rsidP="00F13030">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Транспортен сектор</w:t>
            </w:r>
          </w:p>
        </w:tc>
        <w:tc>
          <w:tcPr>
            <w:tcW w:w="6689" w:type="dxa"/>
            <w:tcBorders>
              <w:top w:val="single" w:sz="4" w:space="0" w:color="auto"/>
              <w:left w:val="single" w:sz="4" w:space="0" w:color="auto"/>
              <w:bottom w:val="single" w:sz="4" w:space="0" w:color="auto"/>
              <w:right w:val="single" w:sz="4" w:space="0" w:color="auto"/>
            </w:tcBorders>
            <w:shd w:val="clear" w:color="auto" w:fill="F3F3F3"/>
          </w:tcPr>
          <w:p w:rsidR="00997293" w:rsidRPr="008247B0" w:rsidRDefault="00997293" w:rsidP="00997293">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Съгласно чл.2, пар.45 от Регламент (ЕО) № 651/2014 „транспортен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По-конкретно „транспортен сектор" означава следните дейности по КИД-2008:</w:t>
            </w:r>
          </w:p>
          <w:p w:rsidR="00997293" w:rsidRPr="008247B0" w:rsidRDefault="00997293" w:rsidP="00997293">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а) Н49 „Сухопътен транспорт“, с изключение на Н49.32 „Пътнически таксиметров транспорт“, Н49.42 „Услуги по преместване“, Н49.5 „Тръбопроводен транспорт“;</w:t>
            </w:r>
          </w:p>
          <w:p w:rsidR="00997293" w:rsidRPr="008247B0" w:rsidRDefault="00997293" w:rsidP="00997293">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б) Н50 „Воден транспорт“;</w:t>
            </w:r>
          </w:p>
          <w:p w:rsidR="00997293" w:rsidRPr="008247B0" w:rsidRDefault="00997293" w:rsidP="00997293">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 Н51 „Въздушен транспорт“, с изключение на Н51.22 „Космически транспорт“.</w:t>
            </w:r>
          </w:p>
        </w:tc>
      </w:tr>
      <w:tr w:rsidR="00AB3C8E" w:rsidRPr="00BD756B" w:rsidTr="005B629B">
        <w:tc>
          <w:tcPr>
            <w:tcW w:w="2633" w:type="dxa"/>
            <w:shd w:val="clear" w:color="auto" w:fill="E6E6E6"/>
          </w:tcPr>
          <w:p w:rsidR="00AB3C8E" w:rsidRPr="008247B0" w:rsidRDefault="00AB3C8E" w:rsidP="00AB3C8E">
            <w:pPr>
              <w:spacing w:before="100" w:beforeAutospacing="1" w:after="100" w:afterAutospacing="1" w:line="240" w:lineRule="auto"/>
              <w:rPr>
                <w:rFonts w:asciiTheme="majorHAnsi" w:hAnsiTheme="majorHAnsi" w:cstheme="minorHAnsi"/>
                <w:sz w:val="24"/>
                <w:szCs w:val="24"/>
              </w:rPr>
            </w:pPr>
            <w:r w:rsidRPr="008247B0">
              <w:rPr>
                <w:rFonts w:asciiTheme="majorHAnsi" w:eastAsia="Times New Roman" w:hAnsiTheme="majorHAnsi" w:cstheme="minorHAnsi"/>
                <w:b/>
                <w:snapToGrid w:val="0"/>
                <w:sz w:val="24"/>
                <w:szCs w:val="24"/>
              </w:rPr>
              <w:t>Търговия със селскостопански продукт</w:t>
            </w:r>
          </w:p>
        </w:tc>
        <w:tc>
          <w:tcPr>
            <w:tcW w:w="6689" w:type="dxa"/>
            <w:shd w:val="clear" w:color="auto" w:fill="F3F3F3"/>
          </w:tcPr>
          <w:p w:rsidR="00AB3C8E" w:rsidRPr="00BD756B" w:rsidRDefault="00AB3C8E" w:rsidP="00AB3C8E">
            <w:pPr>
              <w:spacing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bookmarkStart w:id="0" w:name="_GoBack"/>
            <w:bookmarkEnd w:id="0"/>
          </w:p>
        </w:tc>
      </w:tr>
    </w:tbl>
    <w:p w:rsidR="002D0B4D" w:rsidRPr="00BD756B" w:rsidRDefault="002D0B4D">
      <w:pPr>
        <w:rPr>
          <w:rFonts w:asciiTheme="majorHAnsi" w:hAnsiTheme="majorHAnsi"/>
          <w:sz w:val="24"/>
          <w:szCs w:val="24"/>
        </w:rPr>
      </w:pPr>
    </w:p>
    <w:p w:rsidR="00811FBA" w:rsidRPr="00BD756B" w:rsidRDefault="00811FBA">
      <w:pPr>
        <w:rPr>
          <w:rFonts w:asciiTheme="majorHAnsi" w:hAnsiTheme="majorHAnsi"/>
          <w:sz w:val="24"/>
          <w:szCs w:val="24"/>
          <w:lang w:val="en-US"/>
        </w:rPr>
      </w:pPr>
    </w:p>
    <w:sectPr w:rsidR="00811FBA" w:rsidRPr="00BD756B" w:rsidSect="00B54D2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B9D" w:rsidRDefault="00A97B9D" w:rsidP="00364204">
      <w:pPr>
        <w:spacing w:after="0" w:line="240" w:lineRule="auto"/>
      </w:pPr>
      <w:r>
        <w:separator/>
      </w:r>
    </w:p>
  </w:endnote>
  <w:endnote w:type="continuationSeparator" w:id="0">
    <w:p w:rsidR="00A97B9D" w:rsidRDefault="00A97B9D"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cs="Times New Roman"/>
      </w:rPr>
      <w:id w:val="547963929"/>
      <w:docPartObj>
        <w:docPartGallery w:val="Page Numbers (Bottom of Page)"/>
        <w:docPartUnique/>
      </w:docPartObj>
    </w:sdtPr>
    <w:sdtEndPr/>
    <w:sdtContent>
      <w:p w:rsidR="00F13030" w:rsidRPr="00865C78" w:rsidRDefault="00F13030" w:rsidP="00865C78">
        <w:pPr>
          <w:tabs>
            <w:tab w:val="center" w:pos="4536"/>
            <w:tab w:val="right" w:pos="9072"/>
          </w:tabs>
          <w:spacing w:after="0" w:line="240" w:lineRule="auto"/>
          <w:jc w:val="right"/>
          <w:rPr>
            <w:rFonts w:ascii="Calibri" w:eastAsia="Calibri" w:hAnsi="Calibri" w:cs="Times New Roman"/>
          </w:rPr>
        </w:pPr>
        <w:r w:rsidRPr="00865C78">
          <w:rPr>
            <w:rFonts w:ascii="Calibri" w:eastAsia="Calibri" w:hAnsi="Calibri" w:cs="Times New Roman"/>
          </w:rPr>
          <w:fldChar w:fldCharType="begin"/>
        </w:r>
        <w:r w:rsidRPr="00865C78">
          <w:rPr>
            <w:rFonts w:ascii="Calibri" w:eastAsia="Calibri" w:hAnsi="Calibri" w:cs="Times New Roman"/>
          </w:rPr>
          <w:instrText xml:space="preserve"> PAGE  \* Arabic  \* MERGEFORMAT </w:instrText>
        </w:r>
        <w:r w:rsidRPr="00865C78">
          <w:rPr>
            <w:rFonts w:ascii="Calibri" w:eastAsia="Calibri" w:hAnsi="Calibri" w:cs="Times New Roman"/>
          </w:rPr>
          <w:fldChar w:fldCharType="separate"/>
        </w:r>
        <w:r w:rsidR="008247B0">
          <w:rPr>
            <w:rFonts w:ascii="Calibri" w:eastAsia="Calibri" w:hAnsi="Calibri" w:cs="Times New Roman"/>
            <w:noProof/>
          </w:rPr>
          <w:t>2</w:t>
        </w:r>
        <w:r w:rsidRPr="00865C78">
          <w:rPr>
            <w:rFonts w:ascii="Calibri" w:eastAsia="Calibri" w:hAnsi="Calibri" w:cs="Times New Roman"/>
          </w:rPr>
          <w:fldChar w:fldCharType="end"/>
        </w:r>
      </w:p>
    </w:sdtContent>
  </w:sdt>
  <w:p w:rsidR="00F13030" w:rsidRPr="00865C78" w:rsidRDefault="00F13030" w:rsidP="00865C78">
    <w:pPr>
      <w:tabs>
        <w:tab w:val="center" w:pos="4536"/>
        <w:tab w:val="right" w:pos="9072"/>
      </w:tabs>
      <w:spacing w:after="0" w:line="240" w:lineRule="auto"/>
      <w:jc w:val="center"/>
      <w:rPr>
        <w:rFonts w:ascii="Cambria" w:eastAsia="Calibri" w:hAnsi="Cambria" w:cs="Times New Roman"/>
      </w:rPr>
    </w:pPr>
    <w:r w:rsidRPr="00865C78">
      <w:rPr>
        <w:rFonts w:ascii="Cambria" w:eastAsia="Calibri" w:hAnsi="Cambria" w:cs="Times New Roman"/>
      </w:rPr>
      <w:t>Програма за публична подкрепа за развитието на индустриални райони, паркове и подобни територии и за привличане на инвестиции („AttractInvestBG“)</w:t>
    </w:r>
  </w:p>
  <w:p w:rsidR="00F13030" w:rsidRDefault="00F13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B9D" w:rsidRDefault="00A97B9D" w:rsidP="00364204">
      <w:pPr>
        <w:spacing w:after="0" w:line="240" w:lineRule="auto"/>
      </w:pPr>
      <w:r>
        <w:separator/>
      </w:r>
    </w:p>
  </w:footnote>
  <w:footnote w:type="continuationSeparator" w:id="0">
    <w:p w:rsidR="00A97B9D" w:rsidRDefault="00A97B9D"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030" w:rsidRDefault="00F13030" w:rsidP="00F34C64">
    <w:pPr>
      <w:pStyle w:val="Header"/>
    </w:pPr>
    <w:r>
      <w:rPr>
        <w:noProof/>
        <w:lang w:val="en-US"/>
      </w:rPr>
      <w:drawing>
        <wp:inline distT="0" distB="0" distL="0" distR="0">
          <wp:extent cx="3317240" cy="840105"/>
          <wp:effectExtent l="0" t="0" r="0" b="0"/>
          <wp:docPr id="4" name="Picture 4"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7240" cy="840105"/>
                  </a:xfrm>
                  <a:prstGeom prst="rect">
                    <a:avLst/>
                  </a:prstGeom>
                  <a:noFill/>
                  <a:ln>
                    <a:noFill/>
                  </a:ln>
                </pic:spPr>
              </pic:pic>
            </a:graphicData>
          </a:graphic>
        </wp:inline>
      </w:drawing>
    </w:r>
    <w:r>
      <w:rPr>
        <w:lang w:val="en-GB"/>
      </w:rPr>
      <w:t xml:space="preserve">         </w:t>
    </w:r>
    <w:r>
      <w:rPr>
        <w:noProof/>
        <w:lang w:val="en-US"/>
      </w:rPr>
      <w:drawing>
        <wp:inline distT="0" distB="0" distL="0" distR="0">
          <wp:extent cx="2073275" cy="946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3275" cy="946150"/>
                  </a:xfrm>
                  <a:prstGeom prst="rect">
                    <a:avLst/>
                  </a:prstGeom>
                  <a:noFill/>
                  <a:ln>
                    <a:noFill/>
                  </a:ln>
                </pic:spPr>
              </pic:pic>
            </a:graphicData>
          </a:graphic>
        </wp:inline>
      </w:drawing>
    </w:r>
  </w:p>
  <w:p w:rsidR="00F13030" w:rsidRPr="00F34C64" w:rsidRDefault="00F13030" w:rsidP="00F34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0DD"/>
    <w:rsid w:val="0000173C"/>
    <w:rsid w:val="00002456"/>
    <w:rsid w:val="00002D0D"/>
    <w:rsid w:val="0000386A"/>
    <w:rsid w:val="00003B43"/>
    <w:rsid w:val="00007667"/>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1B86"/>
    <w:rsid w:val="00054EAC"/>
    <w:rsid w:val="000568E4"/>
    <w:rsid w:val="00062143"/>
    <w:rsid w:val="000636EF"/>
    <w:rsid w:val="00067C3A"/>
    <w:rsid w:val="00070E3F"/>
    <w:rsid w:val="00071FD5"/>
    <w:rsid w:val="00074197"/>
    <w:rsid w:val="00082A66"/>
    <w:rsid w:val="000972C6"/>
    <w:rsid w:val="000A0132"/>
    <w:rsid w:val="000A3471"/>
    <w:rsid w:val="000A44E5"/>
    <w:rsid w:val="000A4E76"/>
    <w:rsid w:val="000B38AD"/>
    <w:rsid w:val="000B4A2D"/>
    <w:rsid w:val="000B6360"/>
    <w:rsid w:val="000C2624"/>
    <w:rsid w:val="000C2A46"/>
    <w:rsid w:val="000C2CA8"/>
    <w:rsid w:val="000C6413"/>
    <w:rsid w:val="000C731A"/>
    <w:rsid w:val="000C7701"/>
    <w:rsid w:val="000D040C"/>
    <w:rsid w:val="000D418B"/>
    <w:rsid w:val="000D4A9F"/>
    <w:rsid w:val="000D7F0D"/>
    <w:rsid w:val="000E43C4"/>
    <w:rsid w:val="000E4FFF"/>
    <w:rsid w:val="000E58F1"/>
    <w:rsid w:val="000F1D6F"/>
    <w:rsid w:val="000F48C5"/>
    <w:rsid w:val="000F5A47"/>
    <w:rsid w:val="000F6759"/>
    <w:rsid w:val="0010134B"/>
    <w:rsid w:val="0010418D"/>
    <w:rsid w:val="0011077A"/>
    <w:rsid w:val="001123F2"/>
    <w:rsid w:val="00112DD2"/>
    <w:rsid w:val="001172B6"/>
    <w:rsid w:val="001172F3"/>
    <w:rsid w:val="00121FFF"/>
    <w:rsid w:val="00124DB3"/>
    <w:rsid w:val="00125012"/>
    <w:rsid w:val="0012614C"/>
    <w:rsid w:val="00133436"/>
    <w:rsid w:val="00135888"/>
    <w:rsid w:val="00135C9D"/>
    <w:rsid w:val="001367E8"/>
    <w:rsid w:val="00137069"/>
    <w:rsid w:val="001375DA"/>
    <w:rsid w:val="0014131C"/>
    <w:rsid w:val="00141474"/>
    <w:rsid w:val="00146219"/>
    <w:rsid w:val="00146A12"/>
    <w:rsid w:val="001472E2"/>
    <w:rsid w:val="00147A80"/>
    <w:rsid w:val="001503F3"/>
    <w:rsid w:val="00151004"/>
    <w:rsid w:val="00151B68"/>
    <w:rsid w:val="00152D1D"/>
    <w:rsid w:val="001553A6"/>
    <w:rsid w:val="001566B9"/>
    <w:rsid w:val="00160AEC"/>
    <w:rsid w:val="0016138B"/>
    <w:rsid w:val="0016172A"/>
    <w:rsid w:val="00163752"/>
    <w:rsid w:val="001637DA"/>
    <w:rsid w:val="00166B6A"/>
    <w:rsid w:val="001675DC"/>
    <w:rsid w:val="00176AD2"/>
    <w:rsid w:val="00177A75"/>
    <w:rsid w:val="00177AF4"/>
    <w:rsid w:val="001814C4"/>
    <w:rsid w:val="001826B1"/>
    <w:rsid w:val="00190190"/>
    <w:rsid w:val="00190519"/>
    <w:rsid w:val="0019069B"/>
    <w:rsid w:val="00190A86"/>
    <w:rsid w:val="00192236"/>
    <w:rsid w:val="00192CE9"/>
    <w:rsid w:val="00194C58"/>
    <w:rsid w:val="00196D20"/>
    <w:rsid w:val="001A4EC7"/>
    <w:rsid w:val="001A6C43"/>
    <w:rsid w:val="001B133A"/>
    <w:rsid w:val="001B13CE"/>
    <w:rsid w:val="001B21F3"/>
    <w:rsid w:val="001B3181"/>
    <w:rsid w:val="001B57E3"/>
    <w:rsid w:val="001B61A7"/>
    <w:rsid w:val="001B6CC2"/>
    <w:rsid w:val="001C2977"/>
    <w:rsid w:val="001C2D21"/>
    <w:rsid w:val="001D505E"/>
    <w:rsid w:val="001E1B5F"/>
    <w:rsid w:val="001E4A9D"/>
    <w:rsid w:val="001F0E0A"/>
    <w:rsid w:val="001F54E6"/>
    <w:rsid w:val="001F61B8"/>
    <w:rsid w:val="00202226"/>
    <w:rsid w:val="00207A2E"/>
    <w:rsid w:val="002101D1"/>
    <w:rsid w:val="00212341"/>
    <w:rsid w:val="00214D85"/>
    <w:rsid w:val="0021679D"/>
    <w:rsid w:val="0021697F"/>
    <w:rsid w:val="00225F85"/>
    <w:rsid w:val="00226619"/>
    <w:rsid w:val="00226AD4"/>
    <w:rsid w:val="00231A6A"/>
    <w:rsid w:val="00235A35"/>
    <w:rsid w:val="002407B4"/>
    <w:rsid w:val="0024350C"/>
    <w:rsid w:val="0024419F"/>
    <w:rsid w:val="00244EF0"/>
    <w:rsid w:val="00255E88"/>
    <w:rsid w:val="00262C14"/>
    <w:rsid w:val="00263105"/>
    <w:rsid w:val="00266962"/>
    <w:rsid w:val="00270FA9"/>
    <w:rsid w:val="0027387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72C6"/>
    <w:rsid w:val="002D0B4D"/>
    <w:rsid w:val="002D20A8"/>
    <w:rsid w:val="002D39FC"/>
    <w:rsid w:val="002E23A3"/>
    <w:rsid w:val="002F178D"/>
    <w:rsid w:val="002F4983"/>
    <w:rsid w:val="002F59B2"/>
    <w:rsid w:val="00301649"/>
    <w:rsid w:val="0030180E"/>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204"/>
    <w:rsid w:val="00364C8A"/>
    <w:rsid w:val="00366DBA"/>
    <w:rsid w:val="00367C18"/>
    <w:rsid w:val="00372A83"/>
    <w:rsid w:val="00377AF7"/>
    <w:rsid w:val="0038024A"/>
    <w:rsid w:val="00380AC4"/>
    <w:rsid w:val="00380C77"/>
    <w:rsid w:val="003875EB"/>
    <w:rsid w:val="00392471"/>
    <w:rsid w:val="00392A15"/>
    <w:rsid w:val="003934F3"/>
    <w:rsid w:val="0039519A"/>
    <w:rsid w:val="003C0135"/>
    <w:rsid w:val="003C0505"/>
    <w:rsid w:val="003C0A9A"/>
    <w:rsid w:val="003C0F45"/>
    <w:rsid w:val="003C29ED"/>
    <w:rsid w:val="003C370C"/>
    <w:rsid w:val="003C6657"/>
    <w:rsid w:val="003D13E2"/>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45BC4"/>
    <w:rsid w:val="0045024B"/>
    <w:rsid w:val="00450719"/>
    <w:rsid w:val="00453858"/>
    <w:rsid w:val="0045726C"/>
    <w:rsid w:val="00457584"/>
    <w:rsid w:val="00467B0D"/>
    <w:rsid w:val="004711FB"/>
    <w:rsid w:val="00475D85"/>
    <w:rsid w:val="00477A53"/>
    <w:rsid w:val="00477F5F"/>
    <w:rsid w:val="004802B5"/>
    <w:rsid w:val="004811EE"/>
    <w:rsid w:val="0048153E"/>
    <w:rsid w:val="00482E5A"/>
    <w:rsid w:val="00483AAA"/>
    <w:rsid w:val="004843EE"/>
    <w:rsid w:val="0048471A"/>
    <w:rsid w:val="0048493C"/>
    <w:rsid w:val="00486046"/>
    <w:rsid w:val="00487B87"/>
    <w:rsid w:val="00490818"/>
    <w:rsid w:val="00494CB1"/>
    <w:rsid w:val="004A15B3"/>
    <w:rsid w:val="004A2098"/>
    <w:rsid w:val="004B177E"/>
    <w:rsid w:val="004B3485"/>
    <w:rsid w:val="004B5B5A"/>
    <w:rsid w:val="004B677A"/>
    <w:rsid w:val="004C05CB"/>
    <w:rsid w:val="004C6D46"/>
    <w:rsid w:val="004C7034"/>
    <w:rsid w:val="004D5241"/>
    <w:rsid w:val="004D59DD"/>
    <w:rsid w:val="004E0B74"/>
    <w:rsid w:val="004E15B4"/>
    <w:rsid w:val="004E6D9F"/>
    <w:rsid w:val="004F67CB"/>
    <w:rsid w:val="00502F9C"/>
    <w:rsid w:val="00505041"/>
    <w:rsid w:val="00506983"/>
    <w:rsid w:val="00507AB6"/>
    <w:rsid w:val="005155E4"/>
    <w:rsid w:val="00521819"/>
    <w:rsid w:val="005240A2"/>
    <w:rsid w:val="00527C13"/>
    <w:rsid w:val="00533EFA"/>
    <w:rsid w:val="005346FD"/>
    <w:rsid w:val="005372C1"/>
    <w:rsid w:val="00544385"/>
    <w:rsid w:val="005510C5"/>
    <w:rsid w:val="00562463"/>
    <w:rsid w:val="00562CDD"/>
    <w:rsid w:val="005725A4"/>
    <w:rsid w:val="0057352F"/>
    <w:rsid w:val="00590097"/>
    <w:rsid w:val="0059354F"/>
    <w:rsid w:val="00594DF4"/>
    <w:rsid w:val="00597183"/>
    <w:rsid w:val="005A0674"/>
    <w:rsid w:val="005B109C"/>
    <w:rsid w:val="005B1470"/>
    <w:rsid w:val="005B18EA"/>
    <w:rsid w:val="005B33FE"/>
    <w:rsid w:val="005B629B"/>
    <w:rsid w:val="005B66E8"/>
    <w:rsid w:val="005B7691"/>
    <w:rsid w:val="005C3A6A"/>
    <w:rsid w:val="005C4441"/>
    <w:rsid w:val="005C7631"/>
    <w:rsid w:val="005D31D2"/>
    <w:rsid w:val="005D5C12"/>
    <w:rsid w:val="005D5D2C"/>
    <w:rsid w:val="005D7DBC"/>
    <w:rsid w:val="005E04B9"/>
    <w:rsid w:val="005E0513"/>
    <w:rsid w:val="005E077F"/>
    <w:rsid w:val="005E3ADC"/>
    <w:rsid w:val="005F3542"/>
    <w:rsid w:val="005F50F2"/>
    <w:rsid w:val="005F5A43"/>
    <w:rsid w:val="005F7830"/>
    <w:rsid w:val="006019AC"/>
    <w:rsid w:val="006069CE"/>
    <w:rsid w:val="00607888"/>
    <w:rsid w:val="00607E15"/>
    <w:rsid w:val="00611F32"/>
    <w:rsid w:val="006235CE"/>
    <w:rsid w:val="00624B99"/>
    <w:rsid w:val="0062729B"/>
    <w:rsid w:val="00627F25"/>
    <w:rsid w:val="0063351C"/>
    <w:rsid w:val="00642ED2"/>
    <w:rsid w:val="00647A60"/>
    <w:rsid w:val="00650331"/>
    <w:rsid w:val="00655140"/>
    <w:rsid w:val="00655AB9"/>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4E42"/>
    <w:rsid w:val="006E55B8"/>
    <w:rsid w:val="006E74DD"/>
    <w:rsid w:val="006F5552"/>
    <w:rsid w:val="007110EB"/>
    <w:rsid w:val="0071256E"/>
    <w:rsid w:val="007228E6"/>
    <w:rsid w:val="0072643D"/>
    <w:rsid w:val="007268F0"/>
    <w:rsid w:val="00726A24"/>
    <w:rsid w:val="00733821"/>
    <w:rsid w:val="00734B42"/>
    <w:rsid w:val="00741F45"/>
    <w:rsid w:val="007433EA"/>
    <w:rsid w:val="0074385D"/>
    <w:rsid w:val="0074665C"/>
    <w:rsid w:val="00750D4C"/>
    <w:rsid w:val="00756B45"/>
    <w:rsid w:val="00761D80"/>
    <w:rsid w:val="00764CC7"/>
    <w:rsid w:val="0076760F"/>
    <w:rsid w:val="00767968"/>
    <w:rsid w:val="007708C4"/>
    <w:rsid w:val="00770B65"/>
    <w:rsid w:val="00771814"/>
    <w:rsid w:val="00775161"/>
    <w:rsid w:val="007759E7"/>
    <w:rsid w:val="0078029D"/>
    <w:rsid w:val="00781585"/>
    <w:rsid w:val="007830DC"/>
    <w:rsid w:val="00784610"/>
    <w:rsid w:val="00785637"/>
    <w:rsid w:val="00792531"/>
    <w:rsid w:val="007969E0"/>
    <w:rsid w:val="007A349E"/>
    <w:rsid w:val="007A6782"/>
    <w:rsid w:val="007B2C0A"/>
    <w:rsid w:val="007B5FF0"/>
    <w:rsid w:val="007B60CB"/>
    <w:rsid w:val="007D00F2"/>
    <w:rsid w:val="007E18D5"/>
    <w:rsid w:val="007E2301"/>
    <w:rsid w:val="007E4C7D"/>
    <w:rsid w:val="007F047F"/>
    <w:rsid w:val="007F0904"/>
    <w:rsid w:val="007F4874"/>
    <w:rsid w:val="007F4E6D"/>
    <w:rsid w:val="007F75CF"/>
    <w:rsid w:val="00800A99"/>
    <w:rsid w:val="00804F54"/>
    <w:rsid w:val="00805079"/>
    <w:rsid w:val="0080517F"/>
    <w:rsid w:val="00811FBA"/>
    <w:rsid w:val="00821649"/>
    <w:rsid w:val="00822196"/>
    <w:rsid w:val="008247B0"/>
    <w:rsid w:val="0082616B"/>
    <w:rsid w:val="00827E71"/>
    <w:rsid w:val="00830485"/>
    <w:rsid w:val="00830B4E"/>
    <w:rsid w:val="00831362"/>
    <w:rsid w:val="0083236E"/>
    <w:rsid w:val="00835439"/>
    <w:rsid w:val="008423D6"/>
    <w:rsid w:val="00842EA4"/>
    <w:rsid w:val="00844602"/>
    <w:rsid w:val="00844A97"/>
    <w:rsid w:val="008541FA"/>
    <w:rsid w:val="0085705F"/>
    <w:rsid w:val="00857CD1"/>
    <w:rsid w:val="00862E37"/>
    <w:rsid w:val="00862EEE"/>
    <w:rsid w:val="00864A7A"/>
    <w:rsid w:val="00865C78"/>
    <w:rsid w:val="0086605B"/>
    <w:rsid w:val="00870BA5"/>
    <w:rsid w:val="00870D1D"/>
    <w:rsid w:val="00875311"/>
    <w:rsid w:val="00875315"/>
    <w:rsid w:val="008763B3"/>
    <w:rsid w:val="00876B7B"/>
    <w:rsid w:val="00880021"/>
    <w:rsid w:val="00884591"/>
    <w:rsid w:val="008A3B65"/>
    <w:rsid w:val="008A7455"/>
    <w:rsid w:val="008B34EF"/>
    <w:rsid w:val="008B4517"/>
    <w:rsid w:val="008B59D6"/>
    <w:rsid w:val="008C0322"/>
    <w:rsid w:val="008C5169"/>
    <w:rsid w:val="008D22C2"/>
    <w:rsid w:val="008D51DE"/>
    <w:rsid w:val="008E0822"/>
    <w:rsid w:val="008E2E2B"/>
    <w:rsid w:val="008E4C68"/>
    <w:rsid w:val="008E4D35"/>
    <w:rsid w:val="008E72B2"/>
    <w:rsid w:val="008E7F6F"/>
    <w:rsid w:val="008F29AD"/>
    <w:rsid w:val="008F2DBC"/>
    <w:rsid w:val="00901DB9"/>
    <w:rsid w:val="00903088"/>
    <w:rsid w:val="009061A9"/>
    <w:rsid w:val="00907DA1"/>
    <w:rsid w:val="0091098E"/>
    <w:rsid w:val="00911F09"/>
    <w:rsid w:val="00912B73"/>
    <w:rsid w:val="009200B0"/>
    <w:rsid w:val="009228BD"/>
    <w:rsid w:val="00922D50"/>
    <w:rsid w:val="00924D9B"/>
    <w:rsid w:val="0093063E"/>
    <w:rsid w:val="00934479"/>
    <w:rsid w:val="00934B28"/>
    <w:rsid w:val="009350D8"/>
    <w:rsid w:val="00935650"/>
    <w:rsid w:val="00936946"/>
    <w:rsid w:val="00942D3D"/>
    <w:rsid w:val="00950D49"/>
    <w:rsid w:val="00950DAB"/>
    <w:rsid w:val="0095447F"/>
    <w:rsid w:val="009578F7"/>
    <w:rsid w:val="00960116"/>
    <w:rsid w:val="00963992"/>
    <w:rsid w:val="00984493"/>
    <w:rsid w:val="0099371B"/>
    <w:rsid w:val="009944A0"/>
    <w:rsid w:val="00995611"/>
    <w:rsid w:val="00997293"/>
    <w:rsid w:val="009972D5"/>
    <w:rsid w:val="009A2721"/>
    <w:rsid w:val="009B0FAC"/>
    <w:rsid w:val="009B112E"/>
    <w:rsid w:val="009B4CC8"/>
    <w:rsid w:val="009C6305"/>
    <w:rsid w:val="009D0973"/>
    <w:rsid w:val="009D632B"/>
    <w:rsid w:val="009E1F73"/>
    <w:rsid w:val="009E7115"/>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24A8"/>
    <w:rsid w:val="00A626F9"/>
    <w:rsid w:val="00A641AE"/>
    <w:rsid w:val="00A64487"/>
    <w:rsid w:val="00A645E0"/>
    <w:rsid w:val="00A704B4"/>
    <w:rsid w:val="00A7385E"/>
    <w:rsid w:val="00A75358"/>
    <w:rsid w:val="00A8680A"/>
    <w:rsid w:val="00A8715F"/>
    <w:rsid w:val="00A87ED4"/>
    <w:rsid w:val="00A90EA8"/>
    <w:rsid w:val="00A97B9D"/>
    <w:rsid w:val="00AA45A9"/>
    <w:rsid w:val="00AA5F85"/>
    <w:rsid w:val="00AB0788"/>
    <w:rsid w:val="00AB2A3A"/>
    <w:rsid w:val="00AB3C8E"/>
    <w:rsid w:val="00AB66B3"/>
    <w:rsid w:val="00AC0C92"/>
    <w:rsid w:val="00AC4184"/>
    <w:rsid w:val="00AC5A69"/>
    <w:rsid w:val="00AC6F3F"/>
    <w:rsid w:val="00AD10E6"/>
    <w:rsid w:val="00AD16F4"/>
    <w:rsid w:val="00AD2903"/>
    <w:rsid w:val="00AD39DA"/>
    <w:rsid w:val="00AD4279"/>
    <w:rsid w:val="00AE06FF"/>
    <w:rsid w:val="00AE2167"/>
    <w:rsid w:val="00AE3148"/>
    <w:rsid w:val="00B02319"/>
    <w:rsid w:val="00B03600"/>
    <w:rsid w:val="00B05D63"/>
    <w:rsid w:val="00B06BBD"/>
    <w:rsid w:val="00B11830"/>
    <w:rsid w:val="00B126A5"/>
    <w:rsid w:val="00B1284B"/>
    <w:rsid w:val="00B14E85"/>
    <w:rsid w:val="00B173F7"/>
    <w:rsid w:val="00B20E11"/>
    <w:rsid w:val="00B219EC"/>
    <w:rsid w:val="00B25DD4"/>
    <w:rsid w:val="00B27834"/>
    <w:rsid w:val="00B30DF7"/>
    <w:rsid w:val="00B373FA"/>
    <w:rsid w:val="00B4229C"/>
    <w:rsid w:val="00B42399"/>
    <w:rsid w:val="00B42CB6"/>
    <w:rsid w:val="00B43106"/>
    <w:rsid w:val="00B445D5"/>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827F5"/>
    <w:rsid w:val="00B94C58"/>
    <w:rsid w:val="00B96F15"/>
    <w:rsid w:val="00BA0725"/>
    <w:rsid w:val="00BA0C03"/>
    <w:rsid w:val="00BB50C6"/>
    <w:rsid w:val="00BB6184"/>
    <w:rsid w:val="00BC06E5"/>
    <w:rsid w:val="00BD5BA4"/>
    <w:rsid w:val="00BD6E52"/>
    <w:rsid w:val="00BD756B"/>
    <w:rsid w:val="00BE455B"/>
    <w:rsid w:val="00BE5E65"/>
    <w:rsid w:val="00BE64B4"/>
    <w:rsid w:val="00BF1675"/>
    <w:rsid w:val="00BF171D"/>
    <w:rsid w:val="00BF468E"/>
    <w:rsid w:val="00C00239"/>
    <w:rsid w:val="00C04A78"/>
    <w:rsid w:val="00C06E8E"/>
    <w:rsid w:val="00C10228"/>
    <w:rsid w:val="00C1144B"/>
    <w:rsid w:val="00C1285C"/>
    <w:rsid w:val="00C1463B"/>
    <w:rsid w:val="00C14652"/>
    <w:rsid w:val="00C21CC0"/>
    <w:rsid w:val="00C22321"/>
    <w:rsid w:val="00C227AA"/>
    <w:rsid w:val="00C2416F"/>
    <w:rsid w:val="00C31ADB"/>
    <w:rsid w:val="00C34E93"/>
    <w:rsid w:val="00C35B51"/>
    <w:rsid w:val="00C40790"/>
    <w:rsid w:val="00C41175"/>
    <w:rsid w:val="00C43BA0"/>
    <w:rsid w:val="00C470C9"/>
    <w:rsid w:val="00C500B5"/>
    <w:rsid w:val="00C5289A"/>
    <w:rsid w:val="00C5357B"/>
    <w:rsid w:val="00C55313"/>
    <w:rsid w:val="00C60101"/>
    <w:rsid w:val="00C6236D"/>
    <w:rsid w:val="00C628A4"/>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4171"/>
    <w:rsid w:val="00CA584E"/>
    <w:rsid w:val="00CA653D"/>
    <w:rsid w:val="00CA6BFB"/>
    <w:rsid w:val="00CA770A"/>
    <w:rsid w:val="00CB0C05"/>
    <w:rsid w:val="00CB12DF"/>
    <w:rsid w:val="00CB383A"/>
    <w:rsid w:val="00CC68C5"/>
    <w:rsid w:val="00CD1EFC"/>
    <w:rsid w:val="00CD4E7B"/>
    <w:rsid w:val="00CE1B66"/>
    <w:rsid w:val="00CE2905"/>
    <w:rsid w:val="00CE2EFD"/>
    <w:rsid w:val="00CF0900"/>
    <w:rsid w:val="00CF0B63"/>
    <w:rsid w:val="00CF381D"/>
    <w:rsid w:val="00CF50F9"/>
    <w:rsid w:val="00D012AB"/>
    <w:rsid w:val="00D013C8"/>
    <w:rsid w:val="00D077BE"/>
    <w:rsid w:val="00D135FE"/>
    <w:rsid w:val="00D20929"/>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D1DE4"/>
    <w:rsid w:val="00DD38D3"/>
    <w:rsid w:val="00DD4BB9"/>
    <w:rsid w:val="00DE1F6A"/>
    <w:rsid w:val="00DE4338"/>
    <w:rsid w:val="00DE5013"/>
    <w:rsid w:val="00DF094A"/>
    <w:rsid w:val="00DF2DF7"/>
    <w:rsid w:val="00DF5409"/>
    <w:rsid w:val="00DF71C8"/>
    <w:rsid w:val="00DF7E05"/>
    <w:rsid w:val="00E020D3"/>
    <w:rsid w:val="00E036B5"/>
    <w:rsid w:val="00E03C0C"/>
    <w:rsid w:val="00E0744A"/>
    <w:rsid w:val="00E12165"/>
    <w:rsid w:val="00E1337B"/>
    <w:rsid w:val="00E1594C"/>
    <w:rsid w:val="00E17783"/>
    <w:rsid w:val="00E20EE5"/>
    <w:rsid w:val="00E22F48"/>
    <w:rsid w:val="00E252C2"/>
    <w:rsid w:val="00E2578D"/>
    <w:rsid w:val="00E304D8"/>
    <w:rsid w:val="00E3259B"/>
    <w:rsid w:val="00E32E04"/>
    <w:rsid w:val="00E3682E"/>
    <w:rsid w:val="00E40454"/>
    <w:rsid w:val="00E42994"/>
    <w:rsid w:val="00E43262"/>
    <w:rsid w:val="00E435BF"/>
    <w:rsid w:val="00E5613B"/>
    <w:rsid w:val="00E61138"/>
    <w:rsid w:val="00E61A4F"/>
    <w:rsid w:val="00E6244E"/>
    <w:rsid w:val="00E6542B"/>
    <w:rsid w:val="00E716B6"/>
    <w:rsid w:val="00E721EF"/>
    <w:rsid w:val="00E75BC1"/>
    <w:rsid w:val="00E80306"/>
    <w:rsid w:val="00E836C2"/>
    <w:rsid w:val="00E83EEB"/>
    <w:rsid w:val="00E86682"/>
    <w:rsid w:val="00E93050"/>
    <w:rsid w:val="00E96267"/>
    <w:rsid w:val="00EA1E54"/>
    <w:rsid w:val="00EA26E5"/>
    <w:rsid w:val="00EA4313"/>
    <w:rsid w:val="00EA4E4D"/>
    <w:rsid w:val="00EA64C2"/>
    <w:rsid w:val="00EB0D94"/>
    <w:rsid w:val="00EB0F3E"/>
    <w:rsid w:val="00EB6598"/>
    <w:rsid w:val="00EC2304"/>
    <w:rsid w:val="00EC6570"/>
    <w:rsid w:val="00EE101E"/>
    <w:rsid w:val="00EE1F5C"/>
    <w:rsid w:val="00EE7F6C"/>
    <w:rsid w:val="00EF2B15"/>
    <w:rsid w:val="00EF62C6"/>
    <w:rsid w:val="00EF6612"/>
    <w:rsid w:val="00EF7953"/>
    <w:rsid w:val="00F001FE"/>
    <w:rsid w:val="00F008CC"/>
    <w:rsid w:val="00F01208"/>
    <w:rsid w:val="00F05855"/>
    <w:rsid w:val="00F05B45"/>
    <w:rsid w:val="00F06A3C"/>
    <w:rsid w:val="00F13030"/>
    <w:rsid w:val="00F14642"/>
    <w:rsid w:val="00F15327"/>
    <w:rsid w:val="00F15645"/>
    <w:rsid w:val="00F15A96"/>
    <w:rsid w:val="00F25879"/>
    <w:rsid w:val="00F27621"/>
    <w:rsid w:val="00F34C64"/>
    <w:rsid w:val="00F41D4C"/>
    <w:rsid w:val="00F4264C"/>
    <w:rsid w:val="00F46AA0"/>
    <w:rsid w:val="00F50826"/>
    <w:rsid w:val="00F54219"/>
    <w:rsid w:val="00F54E65"/>
    <w:rsid w:val="00F56BC0"/>
    <w:rsid w:val="00F601A7"/>
    <w:rsid w:val="00F6168F"/>
    <w:rsid w:val="00F61DA5"/>
    <w:rsid w:val="00F62670"/>
    <w:rsid w:val="00F6569B"/>
    <w:rsid w:val="00F702F0"/>
    <w:rsid w:val="00F73D81"/>
    <w:rsid w:val="00F73ECF"/>
    <w:rsid w:val="00F74603"/>
    <w:rsid w:val="00F83726"/>
    <w:rsid w:val="00F85D95"/>
    <w:rsid w:val="00FA5719"/>
    <w:rsid w:val="00FC13E2"/>
    <w:rsid w:val="00FD2BCA"/>
    <w:rsid w:val="00FD6EAD"/>
    <w:rsid w:val="00FE3CF7"/>
    <w:rsid w:val="00FE5D62"/>
    <w:rsid w:val="00FE60F7"/>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BB65EEF-7D7B-4C57-A155-CAF3905EF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247160540">
      <w:bodyDiv w:val="1"/>
      <w:marLeft w:val="0"/>
      <w:marRight w:val="0"/>
      <w:marTop w:val="0"/>
      <w:marBottom w:val="0"/>
      <w:divBdr>
        <w:top w:val="none" w:sz="0" w:space="0" w:color="auto"/>
        <w:left w:val="none" w:sz="0" w:space="0" w:color="auto"/>
        <w:bottom w:val="none" w:sz="0" w:space="0" w:color="auto"/>
        <w:right w:val="none" w:sz="0" w:space="0" w:color="auto"/>
      </w:divBdr>
    </w:div>
    <w:div w:id="263459112">
      <w:bodyDiv w:val="1"/>
      <w:marLeft w:val="0"/>
      <w:marRight w:val="0"/>
      <w:marTop w:val="0"/>
      <w:marBottom w:val="0"/>
      <w:divBdr>
        <w:top w:val="none" w:sz="0" w:space="0" w:color="auto"/>
        <w:left w:val="none" w:sz="0" w:space="0" w:color="auto"/>
        <w:bottom w:val="none" w:sz="0" w:space="0" w:color="auto"/>
        <w:right w:val="none" w:sz="0" w:space="0" w:color="auto"/>
      </w:divBdr>
    </w:div>
    <w:div w:id="513149732">
      <w:bodyDiv w:val="1"/>
      <w:marLeft w:val="0"/>
      <w:marRight w:val="0"/>
      <w:marTop w:val="0"/>
      <w:marBottom w:val="0"/>
      <w:divBdr>
        <w:top w:val="none" w:sz="0" w:space="0" w:color="auto"/>
        <w:left w:val="none" w:sz="0" w:space="0" w:color="auto"/>
        <w:bottom w:val="none" w:sz="0" w:space="0" w:color="auto"/>
        <w:right w:val="none" w:sz="0" w:space="0" w:color="auto"/>
      </w:divBdr>
    </w:div>
    <w:div w:id="781454825">
      <w:bodyDiv w:val="1"/>
      <w:marLeft w:val="0"/>
      <w:marRight w:val="0"/>
      <w:marTop w:val="0"/>
      <w:marBottom w:val="0"/>
      <w:divBdr>
        <w:top w:val="none" w:sz="0" w:space="0" w:color="auto"/>
        <w:left w:val="none" w:sz="0" w:space="0" w:color="auto"/>
        <w:bottom w:val="none" w:sz="0" w:space="0" w:color="auto"/>
        <w:right w:val="none" w:sz="0" w:space="0" w:color="auto"/>
      </w:divBdr>
      <w:divsChild>
        <w:div w:id="387873918">
          <w:marLeft w:val="0"/>
          <w:marRight w:val="0"/>
          <w:marTop w:val="120"/>
          <w:marBottom w:val="0"/>
          <w:divBdr>
            <w:top w:val="none" w:sz="0" w:space="0" w:color="auto"/>
            <w:left w:val="none" w:sz="0" w:space="0" w:color="auto"/>
            <w:bottom w:val="none" w:sz="0" w:space="0" w:color="auto"/>
            <w:right w:val="none" w:sz="0" w:space="0" w:color="auto"/>
          </w:divBdr>
        </w:div>
        <w:div w:id="1170367353">
          <w:marLeft w:val="0"/>
          <w:marRight w:val="0"/>
          <w:marTop w:val="0"/>
          <w:marBottom w:val="0"/>
          <w:divBdr>
            <w:top w:val="none" w:sz="0" w:space="0" w:color="auto"/>
            <w:left w:val="none" w:sz="0" w:space="0" w:color="auto"/>
            <w:bottom w:val="none" w:sz="0" w:space="0" w:color="auto"/>
            <w:right w:val="none" w:sz="0" w:space="0" w:color="auto"/>
          </w:divBdr>
          <w:divsChild>
            <w:div w:id="702098308">
              <w:marLeft w:val="0"/>
              <w:marRight w:val="0"/>
              <w:marTop w:val="0"/>
              <w:marBottom w:val="0"/>
              <w:divBdr>
                <w:top w:val="none" w:sz="0" w:space="0" w:color="auto"/>
                <w:left w:val="none" w:sz="0" w:space="0" w:color="auto"/>
                <w:bottom w:val="none" w:sz="0" w:space="0" w:color="auto"/>
                <w:right w:val="none" w:sz="0" w:space="0" w:color="auto"/>
              </w:divBdr>
              <w:divsChild>
                <w:div w:id="759565407">
                  <w:marLeft w:val="0"/>
                  <w:marRight w:val="0"/>
                  <w:marTop w:val="120"/>
                  <w:marBottom w:val="0"/>
                  <w:divBdr>
                    <w:top w:val="none" w:sz="0" w:space="0" w:color="auto"/>
                    <w:left w:val="none" w:sz="0" w:space="0" w:color="auto"/>
                    <w:bottom w:val="none" w:sz="0" w:space="0" w:color="auto"/>
                    <w:right w:val="none" w:sz="0" w:space="0" w:color="auto"/>
                  </w:divBdr>
                </w:div>
                <w:div w:id="794913056">
                  <w:marLeft w:val="0"/>
                  <w:marRight w:val="0"/>
                  <w:marTop w:val="0"/>
                  <w:marBottom w:val="0"/>
                  <w:divBdr>
                    <w:top w:val="none" w:sz="0" w:space="0" w:color="auto"/>
                    <w:left w:val="none" w:sz="0" w:space="0" w:color="auto"/>
                    <w:bottom w:val="none" w:sz="0" w:space="0" w:color="auto"/>
                    <w:right w:val="none" w:sz="0" w:space="0" w:color="auto"/>
                  </w:divBdr>
                </w:div>
              </w:divsChild>
            </w:div>
            <w:div w:id="1639916535">
              <w:marLeft w:val="0"/>
              <w:marRight w:val="0"/>
              <w:marTop w:val="0"/>
              <w:marBottom w:val="0"/>
              <w:divBdr>
                <w:top w:val="none" w:sz="0" w:space="0" w:color="auto"/>
                <w:left w:val="none" w:sz="0" w:space="0" w:color="auto"/>
                <w:bottom w:val="none" w:sz="0" w:space="0" w:color="auto"/>
                <w:right w:val="none" w:sz="0" w:space="0" w:color="auto"/>
              </w:divBdr>
              <w:divsChild>
                <w:div w:id="2124376917">
                  <w:marLeft w:val="0"/>
                  <w:marRight w:val="0"/>
                  <w:marTop w:val="120"/>
                  <w:marBottom w:val="0"/>
                  <w:divBdr>
                    <w:top w:val="none" w:sz="0" w:space="0" w:color="auto"/>
                    <w:left w:val="none" w:sz="0" w:space="0" w:color="auto"/>
                    <w:bottom w:val="none" w:sz="0" w:space="0" w:color="auto"/>
                    <w:right w:val="none" w:sz="0" w:space="0" w:color="auto"/>
                  </w:divBdr>
                </w:div>
                <w:div w:id="10804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423395">
      <w:bodyDiv w:val="1"/>
      <w:marLeft w:val="0"/>
      <w:marRight w:val="0"/>
      <w:marTop w:val="0"/>
      <w:marBottom w:val="0"/>
      <w:divBdr>
        <w:top w:val="none" w:sz="0" w:space="0" w:color="auto"/>
        <w:left w:val="none" w:sz="0" w:space="0" w:color="auto"/>
        <w:bottom w:val="none" w:sz="0" w:space="0" w:color="auto"/>
        <w:right w:val="none" w:sz="0" w:space="0" w:color="auto"/>
      </w:divBdr>
    </w:div>
    <w:div w:id="934677274">
      <w:bodyDiv w:val="1"/>
      <w:marLeft w:val="0"/>
      <w:marRight w:val="0"/>
      <w:marTop w:val="0"/>
      <w:marBottom w:val="0"/>
      <w:divBdr>
        <w:top w:val="none" w:sz="0" w:space="0" w:color="auto"/>
        <w:left w:val="none" w:sz="0" w:space="0" w:color="auto"/>
        <w:bottom w:val="none" w:sz="0" w:space="0" w:color="auto"/>
        <w:right w:val="none" w:sz="0" w:space="0" w:color="auto"/>
      </w:divBdr>
    </w:div>
    <w:div w:id="101693113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 w:id="2032761004">
      <w:bodyDiv w:val="1"/>
      <w:marLeft w:val="0"/>
      <w:marRight w:val="0"/>
      <w:marTop w:val="0"/>
      <w:marBottom w:val="0"/>
      <w:divBdr>
        <w:top w:val="none" w:sz="0" w:space="0" w:color="auto"/>
        <w:left w:val="none" w:sz="0" w:space="0" w:color="auto"/>
        <w:bottom w:val="none" w:sz="0" w:space="0" w:color="auto"/>
        <w:right w:val="none" w:sz="0" w:space="0" w:color="auto"/>
      </w:divBdr>
    </w:div>
    <w:div w:id="20617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4EB48-FAB8-435C-B424-7876CDE0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4536</Words>
  <Characters>25857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Mladenka Mangezova</cp:lastModifiedBy>
  <cp:revision>3</cp:revision>
  <cp:lastPrinted>2022-07-12T14:57:00Z</cp:lastPrinted>
  <dcterms:created xsi:type="dcterms:W3CDTF">2023-05-29T08:26:00Z</dcterms:created>
  <dcterms:modified xsi:type="dcterms:W3CDTF">2023-06-02T11:33:00Z</dcterms:modified>
</cp:coreProperties>
</file>