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B0F0B" w14:textId="39B9B146" w:rsidR="00E15F46" w:rsidRPr="009026F0" w:rsidRDefault="00E15F46" w:rsidP="00E15F46">
      <w:pPr>
        <w:keepNext/>
        <w:spacing w:before="120" w:after="120" w:line="240" w:lineRule="auto"/>
        <w:jc w:val="right"/>
        <w:outlineLvl w:val="0"/>
        <w:rPr>
          <w:rFonts w:asciiTheme="majorHAnsi" w:eastAsia="Times New Roman" w:hAnsiTheme="majorHAnsi" w:cs="Arial"/>
          <w:b/>
          <w:bCs/>
          <w:i/>
          <w:kern w:val="32"/>
        </w:rPr>
      </w:pPr>
      <w:bookmarkStart w:id="0" w:name="_GoBack"/>
      <w:r w:rsidRPr="00110DEF">
        <w:rPr>
          <w:rFonts w:asciiTheme="majorHAnsi" w:eastAsia="Times New Roman" w:hAnsiTheme="majorHAnsi" w:cs="Arial"/>
          <w:b/>
          <w:bCs/>
          <w:i/>
          <w:kern w:val="32"/>
        </w:rPr>
        <w:t>Приложение</w:t>
      </w:r>
      <w:bookmarkEnd w:id="0"/>
      <w:r w:rsidRPr="00110DEF">
        <w:rPr>
          <w:rFonts w:asciiTheme="majorHAnsi" w:eastAsia="Times New Roman" w:hAnsiTheme="majorHAnsi" w:cs="Arial"/>
          <w:b/>
          <w:bCs/>
          <w:i/>
          <w:kern w:val="32"/>
        </w:rPr>
        <w:t xml:space="preserve"> </w:t>
      </w:r>
      <w:r w:rsidR="009026F0">
        <w:rPr>
          <w:rFonts w:asciiTheme="majorHAnsi" w:eastAsia="Times New Roman" w:hAnsiTheme="majorHAnsi" w:cs="Arial"/>
          <w:b/>
          <w:bCs/>
          <w:i/>
          <w:kern w:val="32"/>
        </w:rPr>
        <w:t>8</w:t>
      </w:r>
    </w:p>
    <w:p w14:paraId="5B9E4027" w14:textId="77777777" w:rsidR="001578A6" w:rsidRPr="00C239F6" w:rsidRDefault="001578A6" w:rsidP="00E15F46">
      <w:pPr>
        <w:keepNext/>
        <w:spacing w:before="120" w:after="120" w:line="240" w:lineRule="auto"/>
        <w:jc w:val="right"/>
        <w:outlineLvl w:val="0"/>
        <w:rPr>
          <w:rFonts w:asciiTheme="majorHAnsi" w:eastAsia="Times New Roman" w:hAnsiTheme="majorHAnsi" w:cs="Arial"/>
          <w:b/>
          <w:bCs/>
          <w:i/>
          <w:kern w:val="32"/>
          <w:lang w:val="en-US"/>
        </w:rPr>
      </w:pPr>
    </w:p>
    <w:p w14:paraId="698D0D82" w14:textId="07CCFB90" w:rsidR="00E15F46" w:rsidRPr="00110DEF" w:rsidRDefault="00EE2E60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110DE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СТРАТЕГИЯ</w:t>
      </w:r>
    </w:p>
    <w:p w14:paraId="634C1F5F" w14:textId="798AEE4E" w:rsidR="00D600ED" w:rsidRPr="00110DEF" w:rsidRDefault="00E15F46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110DE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за създаване и развитие на</w:t>
      </w:r>
      <w:r w:rsidR="00297526" w:rsidRPr="00110DE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 xml:space="preserve"> индустриален парк/зона</w:t>
      </w:r>
    </w:p>
    <w:p w14:paraId="7A5C75F8" w14:textId="7AC71837" w:rsidR="00D40053" w:rsidRPr="00110DEF" w:rsidRDefault="00BC7C65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>
        <w:rPr>
          <w:rFonts w:asciiTheme="majorHAnsi" w:eastAsia="Times New Roman" w:hAnsiTheme="majorHAnsi" w:cs="Arial"/>
          <w:b/>
          <w:bCs/>
          <w:kern w:val="32"/>
          <w:u w:val="single"/>
        </w:rPr>
        <w:t xml:space="preserve">по процедура </w:t>
      </w:r>
      <w:r w:rsidRPr="00BC7C65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BG-RRP-3.007</w:t>
      </w:r>
      <w:r w:rsidR="00297526" w:rsidRPr="00110DEF">
        <w:rPr>
          <w:rFonts w:asciiTheme="majorHAnsi" w:hAnsiTheme="majorHAnsi" w:cs="Arial"/>
          <w:b/>
          <w:u w:val="single"/>
        </w:rPr>
        <w:t xml:space="preserve"> Програма за публична подкрепа за развитието на индустриални райони, паркове и подобни територии и за привличане на инвестиции („AttractInvestBG“)</w:t>
      </w:r>
    </w:p>
    <w:p w14:paraId="4826B1F7" w14:textId="77777777" w:rsidR="00C03E74" w:rsidRPr="00110DEF" w:rsidRDefault="00C03E7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lang w:eastAsia="bg-BG"/>
        </w:rPr>
      </w:pPr>
    </w:p>
    <w:p w14:paraId="0F8628C6" w14:textId="753E1996" w:rsidR="00950D6D" w:rsidRPr="00110DEF" w:rsidRDefault="00C03E7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/>
          <w:lang w:eastAsia="bg-BG"/>
        </w:rPr>
        <w:t xml:space="preserve">Наименование на </w:t>
      </w:r>
      <w:r w:rsidR="00D92F74" w:rsidRPr="00110DEF">
        <w:rPr>
          <w:rFonts w:asciiTheme="majorHAnsi" w:eastAsia="Times New Roman" w:hAnsiTheme="majorHAnsi" w:cs="Arial"/>
          <w:b/>
          <w:lang w:eastAsia="bg-BG"/>
        </w:rPr>
        <w:t xml:space="preserve">кандидата  </w:t>
      </w:r>
      <w:r w:rsidR="00D92F74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Pr="00110DE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28D6F7D1" w14:textId="7324CEF4" w:rsidR="00C03E74" w:rsidRPr="00110DEF" w:rsidRDefault="005F0BF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lang w:eastAsia="bg-BG"/>
        </w:rPr>
      </w:pPr>
      <w:r w:rsidRPr="00110DEF">
        <w:rPr>
          <w:rFonts w:asciiTheme="majorHAnsi" w:eastAsia="Times New Roman" w:hAnsiTheme="majorHAnsi" w:cs="Arial"/>
          <w:b/>
          <w:lang w:eastAsia="bg-BG"/>
        </w:rPr>
        <w:t xml:space="preserve">Юридическа форма </w:t>
      </w:r>
      <w:r w:rsidR="00C03E74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110DE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110DE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7B7A5069" w14:textId="77777777" w:rsidR="00E15F46" w:rsidRPr="00110DEF" w:rsidRDefault="00E15F46" w:rsidP="00042C38">
      <w:pPr>
        <w:keepNext/>
        <w:spacing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bookmarkStart w:id="1" w:name="_Toc201576693"/>
    </w:p>
    <w:p w14:paraId="5786877F" w14:textId="77777777" w:rsidR="00DA74C2" w:rsidRPr="00110DEF" w:rsidRDefault="00DA74C2" w:rsidP="00042C38">
      <w:pPr>
        <w:keepNext/>
        <w:spacing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p w14:paraId="1E6BCCF3" w14:textId="2F8B67E1" w:rsidR="00C31875" w:rsidRPr="00110DEF" w:rsidRDefault="00900D45" w:rsidP="00042C38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/>
          <w:bCs/>
          <w:kern w:val="32"/>
        </w:rPr>
        <w:t>Стратегия</w:t>
      </w:r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 xml:space="preserve"> за </w:t>
      </w:r>
      <w:r w:rsidR="00F72873" w:rsidRPr="00110DEF">
        <w:rPr>
          <w:rFonts w:asciiTheme="majorHAnsi" w:eastAsia="Times New Roman" w:hAnsiTheme="majorHAnsi" w:cs="Arial"/>
          <w:b/>
          <w:bCs/>
          <w:kern w:val="32"/>
        </w:rPr>
        <w:t xml:space="preserve">създаване </w:t>
      </w:r>
      <w:bookmarkStart w:id="2" w:name="_Hlk120267728"/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 xml:space="preserve">на </w:t>
      </w:r>
      <w:r w:rsidR="00CC6CCC" w:rsidRPr="00110DEF">
        <w:rPr>
          <w:rFonts w:asciiTheme="majorHAnsi" w:eastAsia="Times New Roman" w:hAnsiTheme="majorHAnsi" w:cs="Arial"/>
          <w:b/>
          <w:bCs/>
          <w:kern w:val="32"/>
        </w:rPr>
        <w:t>индустриал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>е</w:t>
      </w:r>
      <w:r w:rsidR="00CC6CCC" w:rsidRPr="00110DEF">
        <w:rPr>
          <w:rFonts w:asciiTheme="majorHAnsi" w:eastAsia="Times New Roman" w:hAnsiTheme="majorHAnsi" w:cs="Arial"/>
          <w:b/>
          <w:bCs/>
          <w:kern w:val="32"/>
        </w:rPr>
        <w:t>н парк/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 xml:space="preserve"> зона</w:t>
      </w:r>
      <w:r w:rsidR="00CC6CCC" w:rsidRPr="00110DEF">
        <w:rPr>
          <w:rFonts w:asciiTheme="majorHAnsi" w:eastAsia="Times New Roman" w:hAnsiTheme="majorHAnsi" w:cs="Arial"/>
          <w:b/>
          <w:bCs/>
          <w:kern w:val="32"/>
        </w:rPr>
        <w:t xml:space="preserve"> </w:t>
      </w:r>
      <w:bookmarkEnd w:id="2"/>
    </w:p>
    <w:p w14:paraId="788D4DE3" w14:textId="2A6E00E7" w:rsidR="00892735" w:rsidRDefault="006D1141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</w:pP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Представя се </w:t>
      </w:r>
      <w:r w:rsidR="00900D45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стратегия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за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създаване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на </w:t>
      </w:r>
      <w:r w:rsidR="00CC6CCC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парка</w:t>
      </w:r>
      <w:r w:rsidR="009C357A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със съответните </w:t>
      </w:r>
      <w:r w:rsidR="003452D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параметри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, </w:t>
      </w:r>
      <w:r w:rsidR="00E61F1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в която 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са поставени релевантни и изпълними цели и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задачи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в краткосрочен, средноср</w:t>
      </w:r>
      <w:r w:rsidR="00162502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очен и дългосрочен план</w:t>
      </w:r>
      <w:r w:rsidR="003349B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, както и специализирани дейности, които са част </w:t>
      </w:r>
      <w:r w:rsidR="00EE550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от целите и задачите за създаването.</w:t>
      </w:r>
      <w:r w:rsidR="00162502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75706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</w:t>
      </w:r>
      <w:r w:rsidR="00990A8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т се</w:t>
      </w:r>
      <w:r w:rsidR="00CC6CCC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: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111E7D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м</w:t>
      </w:r>
      <w:r w:rsidR="00CC6CCC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естонахождение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;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  <w:lang w:val="en-US"/>
        </w:rPr>
        <w:t xml:space="preserve"> 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собственост;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цели и</w:t>
      </w:r>
      <w:r w:rsidR="008100D8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  <w:lang w:val="en-US"/>
        </w:rPr>
        <w:t xml:space="preserve"> 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задачи за създаване</w:t>
      </w:r>
      <w:r w:rsidR="007E1AAA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и решението на собственика за създаване на индустриалния парк/зона</w:t>
      </w:r>
      <w:r w:rsidR="007774E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; 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площ на територията; актуалните идентификатори на поземлените имоти; устройствен режим на застрояване; предложение за вътрешна техническа инфраструктура; възможности за осигуряване на транспортен </w:t>
      </w:r>
      <w:r w:rsidR="003452D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достъп,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съобразно конкретните потребности и възможности; възможности за присъединяване на парка/зоната към </w:t>
      </w:r>
      <w:r w:rsidR="004604D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елементите на техническата инфраструктура, в т.ч. към транспортната техническа инфраструктура, към </w:t>
      </w:r>
      <w:r w:rsidR="001D5A2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електропреносна и газопреносна мрежа, съответно към електроразпределителна мрежа и газоразпределителна мрежа, към водоснабдителна и канализационна мрежа, към топлопреносна мрежа, към електронна съобщителна мрежа</w:t>
      </w:r>
      <w:r w:rsidR="00D92F74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.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7A5BC2" w:rsidRPr="007A5BC2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Обоснована е необходимостта от предложената за финансиране инфраструктура и съоръженията към нея</w:t>
      </w:r>
      <w:r w:rsidR="0030336B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, как</w:t>
      </w:r>
      <w:r w:rsidR="007A5BC2" w:rsidRPr="007A5BC2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съответства на средносрочната и/или дългосрочната стратегия за развитие на 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парка/зоната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и </w:t>
      </w:r>
      <w:r w:rsidR="00C74C1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как </w:t>
      </w:r>
      <w:r w:rsidR="007B50E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отговаря на нуждите на </w:t>
      </w:r>
      <w:r w:rsidR="00E226A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инвеститорите (установени и бъдещи)</w:t>
      </w:r>
      <w:r w:rsidR="001E5C75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.</w:t>
      </w:r>
      <w:r w:rsidR="005A36CE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="00B67D61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1</w:t>
      </w:r>
      <w:r w:rsidR="003258BB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0</w:t>
      </w:r>
      <w:r w:rsidR="00CF6BB1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5A36CE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63699D85" w14:textId="77777777" w:rsidR="006D0EAC" w:rsidRPr="00110DEF" w:rsidRDefault="006D0EAC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kern w:val="32"/>
          <w:sz w:val="20"/>
          <w:szCs w:val="20"/>
        </w:rPr>
      </w:pPr>
    </w:p>
    <w:p w14:paraId="5FF1FAF8" w14:textId="77777777" w:rsidR="00E15F46" w:rsidRPr="00110DEF" w:rsidRDefault="00E15F46" w:rsidP="00F150C9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p w14:paraId="6135DF86" w14:textId="5AA1F21A" w:rsidR="00E15F46" w:rsidRPr="00110DEF" w:rsidRDefault="00900D45" w:rsidP="006C54C4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/>
          <w:bCs/>
          <w:kern w:val="32"/>
        </w:rPr>
        <w:t>Стратегия</w:t>
      </w:r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 xml:space="preserve"> за </w:t>
      </w:r>
      <w:r w:rsidR="00F72873" w:rsidRPr="00110DEF">
        <w:rPr>
          <w:rFonts w:asciiTheme="majorHAnsi" w:eastAsia="Times New Roman" w:hAnsiTheme="majorHAnsi" w:cs="Arial"/>
          <w:b/>
          <w:bCs/>
          <w:kern w:val="32"/>
        </w:rPr>
        <w:t xml:space="preserve">развитие и </w:t>
      </w:r>
      <w:r w:rsidR="00C31875" w:rsidRPr="00110DEF">
        <w:rPr>
          <w:rFonts w:asciiTheme="majorHAnsi" w:eastAsia="Times New Roman" w:hAnsiTheme="majorHAnsi" w:cs="Arial"/>
          <w:b/>
          <w:bCs/>
          <w:kern w:val="32"/>
        </w:rPr>
        <w:t>експлоатация</w:t>
      </w:r>
      <w:r w:rsidR="00C31875" w:rsidRPr="00110DEF">
        <w:rPr>
          <w:rFonts w:asciiTheme="majorHAnsi" w:eastAsia="Times New Roman" w:hAnsiTheme="majorHAnsi" w:cs="Arial"/>
          <w:b/>
          <w:bCs/>
          <w:kern w:val="32"/>
          <w:lang w:val="en-US"/>
        </w:rPr>
        <w:t xml:space="preserve"> </w:t>
      </w:r>
      <w:r w:rsidR="007774EE" w:rsidRPr="00110DEF">
        <w:rPr>
          <w:rFonts w:asciiTheme="majorHAnsi" w:eastAsia="Times New Roman" w:hAnsiTheme="majorHAnsi" w:cs="Arial"/>
          <w:b/>
          <w:bCs/>
          <w:kern w:val="32"/>
        </w:rPr>
        <w:t>на индустриал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>ен</w:t>
      </w:r>
      <w:r w:rsidR="007774EE" w:rsidRPr="00110DEF">
        <w:rPr>
          <w:rFonts w:asciiTheme="majorHAnsi" w:eastAsia="Times New Roman" w:hAnsiTheme="majorHAnsi" w:cs="Arial"/>
          <w:b/>
          <w:bCs/>
          <w:kern w:val="32"/>
        </w:rPr>
        <w:t xml:space="preserve"> парк/</w:t>
      </w:r>
      <w:r w:rsidR="00EE5503" w:rsidRPr="00110DEF">
        <w:rPr>
          <w:rFonts w:asciiTheme="majorHAnsi" w:eastAsia="Times New Roman" w:hAnsiTheme="majorHAnsi" w:cs="Arial"/>
          <w:b/>
          <w:bCs/>
          <w:kern w:val="32"/>
        </w:rPr>
        <w:t>зона</w:t>
      </w:r>
      <w:r w:rsidR="007774EE" w:rsidRPr="00110DEF">
        <w:rPr>
          <w:rFonts w:asciiTheme="majorHAnsi" w:eastAsia="Times New Roman" w:hAnsiTheme="majorHAnsi" w:cs="Arial"/>
          <w:b/>
          <w:bCs/>
          <w:kern w:val="32"/>
        </w:rPr>
        <w:t xml:space="preserve"> </w:t>
      </w:r>
    </w:p>
    <w:p w14:paraId="01EC83FA" w14:textId="6AF7A980" w:rsidR="005F79EA" w:rsidRPr="00110DEF" w:rsidRDefault="00BE7CAD" w:rsidP="005F79E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 се по какъв начин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900D45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стратегия</w:t>
      </w:r>
      <w:r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та</w:t>
      </w:r>
      <w:r w:rsidR="00145859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за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EE550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развитие и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експлоатация</w:t>
      </w:r>
      <w:r w:rsidR="00EE550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на индустриалния парк/зона</w:t>
      </w:r>
      <w:r w:rsidR="0070709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съответства на целите </w:t>
      </w:r>
      <w:r w:rsidR="00D873EB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на 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Инвестиция 1</w:t>
      </w:r>
      <w:r w:rsidR="00D873EB" w:rsidRPr="00110DEF">
        <w:rPr>
          <w:rFonts w:asciiTheme="majorHAnsi" w:hAnsiTheme="majorHAnsi" w:cs="Arial"/>
          <w:i/>
          <w:iCs/>
          <w:sz w:val="20"/>
          <w:szCs w:val="20"/>
        </w:rPr>
        <w:t xml:space="preserve"> (</w:t>
      </w:r>
      <w:r w:rsidR="00BA734C" w:rsidRPr="00110DEF">
        <w:rPr>
          <w:rFonts w:asciiTheme="majorHAnsi" w:hAnsiTheme="majorHAnsi" w:cs="Arial"/>
          <w:bCs/>
          <w:i/>
          <w:iCs/>
          <w:sz w:val="20"/>
          <w:szCs w:val="20"/>
        </w:rPr>
        <w:t>К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3.</w:t>
      </w:r>
      <w:r w:rsidR="00BA734C" w:rsidRPr="00110DEF">
        <w:rPr>
          <w:rFonts w:asciiTheme="majorHAnsi" w:hAnsiTheme="majorHAnsi" w:cs="Arial"/>
          <w:bCs/>
          <w:i/>
          <w:iCs/>
          <w:sz w:val="20"/>
          <w:szCs w:val="20"/>
        </w:rPr>
        <w:t>И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1)</w:t>
      </w:r>
      <w:r w:rsidR="00D873EB" w:rsidRPr="00110DEF">
        <w:rPr>
          <w:rFonts w:asciiTheme="majorHAnsi" w:hAnsiTheme="majorHAnsi" w:cs="Arial"/>
          <w:i/>
          <w:iCs/>
          <w:sz w:val="20"/>
          <w:szCs w:val="20"/>
        </w:rPr>
        <w:t xml:space="preserve">: 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>„Програма за публична подкрепа за развитието на индустриални райони</w:t>
      </w:r>
      <w:r w:rsidR="0023396B">
        <w:rPr>
          <w:rFonts w:asciiTheme="majorHAnsi" w:hAnsiTheme="majorHAnsi" w:cs="Arial"/>
          <w:bCs/>
          <w:i/>
          <w:iCs/>
          <w:sz w:val="20"/>
          <w:szCs w:val="20"/>
        </w:rPr>
        <w:t xml:space="preserve"> и</w:t>
      </w:r>
      <w:r w:rsidR="00D873EB" w:rsidRPr="00110DEF">
        <w:rPr>
          <w:rFonts w:asciiTheme="majorHAnsi" w:hAnsiTheme="majorHAnsi" w:cs="Arial"/>
          <w:bCs/>
          <w:i/>
          <w:iCs/>
          <w:sz w:val="20"/>
          <w:szCs w:val="20"/>
        </w:rPr>
        <w:t xml:space="preserve"> паркове и за привличане на инвестиции („AttractInvestBG“)“</w:t>
      </w:r>
      <w:r w:rsidR="00B318B9" w:rsidRPr="00110DEF">
        <w:rPr>
          <w:rFonts w:asciiTheme="majorHAnsi" w:hAnsiTheme="majorHAnsi" w:cs="Arial"/>
          <w:bCs/>
          <w:i/>
          <w:iCs/>
          <w:sz w:val="20"/>
          <w:szCs w:val="20"/>
        </w:rPr>
        <w:t xml:space="preserve">. Описват се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дейностите по експлоатация на парка/зоната;</w:t>
      </w:r>
      <w:r w:rsidR="00B318B9" w:rsidRPr="00110DEF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изисквания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та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към потребители и инвеститори;</w:t>
      </w:r>
      <w:r w:rsidR="00996041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0F28A4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установените или очакваните да се установят в парка/зоната инвеститори – въз основа на ясен анализ и подкрепени с доказателства за заявен инвеститорски интерес;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оценка на необходимите финансови, технически, човешки и други ресурси, необходими за създаването и функционирането;</w:t>
      </w:r>
      <w:r w:rsidR="000F28A4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очаквани резултати от функционирането на индустриалния парк/зона от гледна точка на дейността на инвеститорите, базирани на анализите в бизнес плана. Описва се как ще бъде 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и </w:t>
      </w:r>
      <w:r w:rsidR="00B318B9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осигурено надграждането на постигнатите резултати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. Посочва се дали предложената стратегия включва развитие на стратегически партньорства и работа по привличане и задържане на стратегически 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lastRenderedPageBreak/>
        <w:t>инвеститори в съответния парк/зона</w:t>
      </w:r>
      <w:r w:rsidR="002A7E43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,</w:t>
      </w:r>
      <w:r w:rsidR="002A7E43" w:rsidRPr="00110DEF">
        <w:rPr>
          <w:rFonts w:asciiTheme="majorHAnsi" w:hAnsiTheme="majorHAnsi"/>
          <w:bCs/>
        </w:rPr>
        <w:t xml:space="preserve"> </w:t>
      </w:r>
      <w:r w:rsidR="002A7E43" w:rsidRPr="00110DEF">
        <w:rPr>
          <w:rFonts w:asciiTheme="majorHAnsi" w:hAnsiTheme="majorHAnsi" w:cs="Arial"/>
          <w:bCs/>
          <w:i/>
          <w:iCs/>
          <w:sz w:val="20"/>
          <w:szCs w:val="20"/>
        </w:rPr>
        <w:t>вкл. и ускорени административни процедури и актуални данни за икономическия профил на региона</w:t>
      </w:r>
      <w:r w:rsidR="005F79EA" w:rsidRPr="00110DE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. </w:t>
      </w:r>
      <w:r w:rsidR="005F79EA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(max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. </w:t>
      </w:r>
      <w:r w:rsidR="00C97FBE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15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F79EA" w:rsidRPr="00C97FBE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5F79EA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1E28652F" w14:textId="77777777" w:rsidR="00F150C9" w:rsidRPr="00110DEF" w:rsidRDefault="00F150C9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bookmarkEnd w:id="1"/>
    <w:p w14:paraId="190BD472" w14:textId="77777777" w:rsidR="00892735" w:rsidRPr="00110DEF" w:rsidRDefault="00892735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26325CD" w14:textId="004CA98F" w:rsidR="00E63E40" w:rsidRPr="00110DEF" w:rsidRDefault="00440B16" w:rsidP="00A74D22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>Очаквано въздействие на всеки парк/зона върху икономиката и заетостта в региона и в цялата страна</w:t>
      </w:r>
    </w:p>
    <w:p w14:paraId="0B8B1741" w14:textId="33577F1C" w:rsidR="00E63E40" w:rsidRPr="00110DEF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 xml:space="preserve">Описва се значението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от създаването и развитието на парка/зоната за региона и цялата страна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>на базата на подробен анализ</w:t>
      </w:r>
      <w:r w:rsidR="00EB5ECE">
        <w:rPr>
          <w:rFonts w:asciiTheme="majorHAnsi" w:hAnsiTheme="majorHAnsi" w:cs="Arial"/>
          <w:i/>
          <w:sz w:val="20"/>
          <w:szCs w:val="20"/>
        </w:rPr>
        <w:t xml:space="preserve"> и обосновка</w:t>
      </w:r>
      <w:r w:rsidR="00996041" w:rsidRPr="00110DEF">
        <w:rPr>
          <w:rFonts w:asciiTheme="majorHAnsi" w:hAnsiTheme="majorHAnsi" w:cs="Arial"/>
          <w:i/>
          <w:sz w:val="20"/>
          <w:szCs w:val="20"/>
        </w:rPr>
        <w:t>, както и въздействието, вкл. пряко и косвено върху икономиката и заетостта в региона и страната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i/>
          <w:sz w:val="20"/>
          <w:szCs w:val="20"/>
        </w:rPr>
        <w:t>(</w:t>
      </w:r>
      <w:r w:rsidR="00185B1D">
        <w:rPr>
          <w:rFonts w:asciiTheme="majorHAnsi" w:hAnsiTheme="majorHAnsi" w:cs="Arial"/>
          <w:i/>
          <w:sz w:val="20"/>
          <w:szCs w:val="20"/>
        </w:rPr>
        <w:t>задължителни елементи: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създаване на нови работни места; развитие на </w:t>
      </w:r>
      <w:r w:rsidR="00185B1D">
        <w:rPr>
          <w:rFonts w:asciiTheme="majorHAnsi" w:hAnsiTheme="majorHAnsi" w:cs="Arial"/>
          <w:i/>
          <w:sz w:val="20"/>
          <w:szCs w:val="20"/>
        </w:rPr>
        <w:t xml:space="preserve">икономическия 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потенциал на региона; </w:t>
      </w:r>
      <w:r w:rsidR="00185B1D">
        <w:rPr>
          <w:rFonts w:asciiTheme="majorHAnsi" w:hAnsiTheme="majorHAnsi" w:cs="Arial"/>
          <w:i/>
          <w:sz w:val="20"/>
          <w:szCs w:val="20"/>
        </w:rPr>
        <w:t xml:space="preserve">препоръчителни елементи: 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привличане на чуждестранни инвестиции в региона; 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>развитие на човешкия</w:t>
      </w:r>
      <w:r w:rsidR="00185B1D">
        <w:rPr>
          <w:rFonts w:asciiTheme="majorHAnsi" w:hAnsiTheme="majorHAnsi" w:cs="Arial"/>
          <w:i/>
          <w:sz w:val="20"/>
          <w:szCs w:val="20"/>
        </w:rPr>
        <w:t xml:space="preserve"> капитал и икономически де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>йности с висока добавена стойност</w:t>
      </w:r>
      <w:r w:rsidR="004826B5">
        <w:rPr>
          <w:rFonts w:asciiTheme="majorHAnsi" w:hAnsiTheme="majorHAnsi" w:cs="Arial"/>
          <w:i/>
          <w:sz w:val="20"/>
          <w:szCs w:val="20"/>
        </w:rPr>
        <w:t>, които са ясно идентифицирани и обосновани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 xml:space="preserve">; 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роля на </w:t>
      </w:r>
      <w:r w:rsidR="003A74EA" w:rsidRPr="00110DEF">
        <w:rPr>
          <w:rFonts w:asciiTheme="majorHAnsi" w:hAnsiTheme="majorHAnsi" w:cs="Arial"/>
          <w:i/>
          <w:sz w:val="20"/>
          <w:szCs w:val="20"/>
        </w:rPr>
        <w:t>парка/зоната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в инициативи за социална и екологична отговорност в региона)</w:t>
      </w:r>
      <w:r w:rsidR="0021791E">
        <w:rPr>
          <w:rFonts w:asciiTheme="majorHAnsi" w:hAnsiTheme="majorHAnsi" w:cs="Arial"/>
          <w:i/>
          <w:sz w:val="20"/>
          <w:szCs w:val="20"/>
        </w:rPr>
        <w:t>.</w:t>
      </w:r>
      <w:r w:rsidR="004C4138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 (max. 7 000 </w:t>
      </w:r>
      <w:proofErr w:type="spellStart"/>
      <w:r w:rsidR="004C4138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знака</w:t>
      </w:r>
      <w:proofErr w:type="spellEnd"/>
      <w:r w:rsidR="004C4138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5C3C4D6" w14:textId="77777777" w:rsidR="00E63E40" w:rsidRPr="00110DEF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FFFD7BD" w14:textId="77777777" w:rsidR="00E63E40" w:rsidRPr="00110DEF" w:rsidRDefault="00E63E40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75E1CF0F" w14:textId="5F030A6F" w:rsidR="00892735" w:rsidRPr="00110DEF" w:rsidRDefault="00D41825" w:rsidP="00892735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>Финансов</w:t>
      </w:r>
      <w:r w:rsidR="00BC4AFB" w:rsidRPr="00110DEF">
        <w:rPr>
          <w:rFonts w:asciiTheme="majorHAnsi" w:hAnsiTheme="majorHAnsi" w:cs="Arial"/>
          <w:b/>
        </w:rPr>
        <w:t>а</w:t>
      </w:r>
      <w:r w:rsidRPr="00110DEF">
        <w:rPr>
          <w:rFonts w:asciiTheme="majorHAnsi" w:hAnsiTheme="majorHAnsi" w:cs="Arial"/>
          <w:b/>
        </w:rPr>
        <w:t xml:space="preserve"> </w:t>
      </w:r>
      <w:r w:rsidR="00BC4AFB" w:rsidRPr="00110DEF">
        <w:rPr>
          <w:rFonts w:asciiTheme="majorHAnsi" w:hAnsiTheme="majorHAnsi" w:cs="Arial"/>
          <w:b/>
        </w:rPr>
        <w:t>стратег</w:t>
      </w:r>
      <w:r w:rsidR="001E3FC2" w:rsidRPr="00110DEF">
        <w:rPr>
          <w:rFonts w:asciiTheme="majorHAnsi" w:hAnsiTheme="majorHAnsi" w:cs="Arial"/>
          <w:b/>
        </w:rPr>
        <w:t>и</w:t>
      </w:r>
      <w:r w:rsidR="00BC4AFB" w:rsidRPr="00110DEF">
        <w:rPr>
          <w:rFonts w:asciiTheme="majorHAnsi" w:hAnsiTheme="majorHAnsi" w:cs="Arial"/>
          <w:b/>
        </w:rPr>
        <w:t>я</w:t>
      </w:r>
      <w:r w:rsidRPr="00110DEF">
        <w:rPr>
          <w:rFonts w:asciiTheme="majorHAnsi" w:hAnsiTheme="majorHAnsi" w:cs="Arial"/>
          <w:b/>
        </w:rPr>
        <w:t xml:space="preserve"> за дейността</w:t>
      </w:r>
      <w:r w:rsidR="00892735" w:rsidRPr="00110DEF">
        <w:rPr>
          <w:rFonts w:asciiTheme="majorHAnsi" w:hAnsiTheme="majorHAnsi" w:cs="Arial"/>
          <w:b/>
        </w:rPr>
        <w:t xml:space="preserve"> на </w:t>
      </w:r>
      <w:r w:rsidR="00440B16" w:rsidRPr="00110DEF">
        <w:rPr>
          <w:rFonts w:asciiTheme="majorHAnsi" w:hAnsiTheme="majorHAnsi" w:cs="Arial"/>
          <w:b/>
        </w:rPr>
        <w:t xml:space="preserve">индустриалния парк/зона </w:t>
      </w:r>
    </w:p>
    <w:p w14:paraId="4319F64E" w14:textId="34DDBF66" w:rsidR="00D41825" w:rsidRPr="00110DEF" w:rsidRDefault="00C37458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 xml:space="preserve">Представя се ясна структура на разходите </w:t>
      </w:r>
      <w:r w:rsidR="00B320C9" w:rsidRPr="00110DEF">
        <w:rPr>
          <w:rFonts w:asciiTheme="majorHAnsi" w:hAnsiTheme="majorHAnsi" w:cs="Arial"/>
          <w:i/>
          <w:sz w:val="20"/>
          <w:szCs w:val="20"/>
        </w:rPr>
        <w:t xml:space="preserve">за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предвидените в парка/зоната инфраструктурни работи</w:t>
      </w:r>
      <w:r w:rsidR="00B320C9" w:rsidRPr="00110DEF">
        <w:rPr>
          <w:rFonts w:asciiTheme="majorHAnsi" w:hAnsiTheme="majorHAnsi" w:cs="Arial"/>
          <w:i/>
          <w:sz w:val="20"/>
          <w:szCs w:val="20"/>
        </w:rPr>
        <w:t xml:space="preserve"> в</w:t>
      </w:r>
      <w:r w:rsidR="00B320C9" w:rsidRPr="00110DEF">
        <w:rPr>
          <w:rFonts w:asciiTheme="majorHAnsi" w:hAnsiTheme="majorHAnsi" w:cs="Arial"/>
          <w:bCs/>
          <w:i/>
          <w:sz w:val="20"/>
          <w:szCs w:val="20"/>
        </w:rPr>
        <w:t xml:space="preserve"> краткосрочен, средносрочен и дългосрочен план.</w:t>
      </w:r>
      <w:r w:rsidR="00466493"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="003C12D3" w:rsidRPr="00110DEF">
        <w:rPr>
          <w:rFonts w:asciiTheme="majorHAnsi" w:hAnsiTheme="majorHAnsi" w:cs="Arial"/>
          <w:i/>
          <w:sz w:val="20"/>
          <w:szCs w:val="20"/>
        </w:rPr>
        <w:t>Представят се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и съответните приходи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от вече установените или очакваните да се</w:t>
      </w:r>
      <w:r w:rsidR="008100D8" w:rsidRPr="00110DEF">
        <w:rPr>
          <w:rFonts w:asciiTheme="majorHAnsi" w:hAnsiTheme="majorHAnsi" w:cs="Arial"/>
          <w:i/>
          <w:sz w:val="20"/>
          <w:szCs w:val="20"/>
          <w:lang w:val="en-US"/>
        </w:rPr>
        <w:t xml:space="preserve"> </w:t>
      </w:r>
      <w:r w:rsidR="00440B16" w:rsidRPr="00110DEF">
        <w:rPr>
          <w:rFonts w:asciiTheme="majorHAnsi" w:hAnsiTheme="majorHAnsi" w:cs="Arial"/>
          <w:i/>
          <w:sz w:val="20"/>
          <w:szCs w:val="20"/>
        </w:rPr>
        <w:t>установят в парка/зоната инвеститори, въз основа на ясен анализ.</w:t>
      </w:r>
      <w:r w:rsidR="002B765E">
        <w:rPr>
          <w:rFonts w:asciiTheme="majorHAnsi" w:hAnsiTheme="majorHAnsi" w:cs="Arial"/>
          <w:i/>
          <w:sz w:val="20"/>
          <w:szCs w:val="20"/>
        </w:rPr>
        <w:t xml:space="preserve"> Представя се </w:t>
      </w:r>
      <w:r w:rsidR="002B765E" w:rsidRPr="002B765E">
        <w:rPr>
          <w:rFonts w:asciiTheme="majorHAnsi" w:hAnsiTheme="majorHAnsi" w:cs="Arial"/>
          <w:i/>
          <w:sz w:val="20"/>
          <w:szCs w:val="20"/>
        </w:rPr>
        <w:t>ролята на индустриалния парк/зона и/или привлечените инвеститори в инициативи за социална и екологична  отговорност в региона.</w:t>
      </w:r>
      <w:r w:rsidR="00DC566C" w:rsidRPr="00110DE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60ADCEF" w14:textId="77777777" w:rsidR="0068577D" w:rsidRPr="00110DEF" w:rsidRDefault="0068577D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79CAAB6A" w14:textId="77777777" w:rsidR="00892735" w:rsidRPr="00110DEF" w:rsidRDefault="00892735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6F1F059B" w14:textId="1D7F63AD" w:rsidR="0068577D" w:rsidRPr="00110DEF" w:rsidRDefault="00727249" w:rsidP="0068577D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>Устойчивост на проекта</w:t>
      </w:r>
      <w:r w:rsidR="003A74EA" w:rsidRPr="00110DEF">
        <w:rPr>
          <w:rFonts w:asciiTheme="majorHAnsi" w:hAnsiTheme="majorHAnsi" w:cs="Arial"/>
          <w:b/>
        </w:rPr>
        <w:t xml:space="preserve"> за </w:t>
      </w:r>
      <w:r w:rsidR="00571DCA" w:rsidRPr="00110DEF">
        <w:rPr>
          <w:rFonts w:asciiTheme="majorHAnsi" w:hAnsiTheme="majorHAnsi" w:cs="Arial"/>
          <w:b/>
        </w:rPr>
        <w:t>създаване и развитие на индустриален пар</w:t>
      </w:r>
      <w:r w:rsidR="00E25CDF" w:rsidRPr="00110DEF">
        <w:rPr>
          <w:rFonts w:asciiTheme="majorHAnsi" w:hAnsiTheme="majorHAnsi" w:cs="Arial"/>
          <w:b/>
        </w:rPr>
        <w:t>к/зона</w:t>
      </w:r>
    </w:p>
    <w:p w14:paraId="20B8F135" w14:textId="7890474A" w:rsidR="0068577D" w:rsidRPr="00110DEF" w:rsidRDefault="00811C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>Представят се предвидените за създаване условия, които да гарантират финансовата устойчивост, както и условията, които да гарантират институционалната устойчивост на дейности</w:t>
      </w:r>
      <w:r w:rsidR="00571DCA" w:rsidRPr="00110DEF">
        <w:rPr>
          <w:rFonts w:asciiTheme="majorHAnsi" w:hAnsiTheme="majorHAnsi" w:cs="Arial"/>
          <w:i/>
          <w:sz w:val="20"/>
          <w:szCs w:val="20"/>
        </w:rPr>
        <w:t>те по създаването и развитието на парка/зоната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и постигнатите резултати</w:t>
      </w:r>
      <w:r w:rsidR="0031200D" w:rsidRPr="00110DEF">
        <w:rPr>
          <w:rFonts w:asciiTheme="majorHAnsi" w:hAnsiTheme="majorHAnsi" w:cs="Arial"/>
          <w:i/>
          <w:sz w:val="20"/>
          <w:szCs w:val="20"/>
        </w:rPr>
        <w:t xml:space="preserve">. Описва се как ще продължи дейността на </w:t>
      </w:r>
      <w:r w:rsidR="00571DCA" w:rsidRPr="00110DEF">
        <w:rPr>
          <w:rFonts w:asciiTheme="majorHAnsi" w:hAnsiTheme="majorHAnsi" w:cs="Arial"/>
          <w:i/>
          <w:sz w:val="20"/>
          <w:szCs w:val="20"/>
        </w:rPr>
        <w:t>индустриалния парк/зона</w:t>
      </w:r>
      <w:r w:rsidR="0031200D" w:rsidRPr="00110DEF">
        <w:rPr>
          <w:rFonts w:asciiTheme="majorHAnsi" w:hAnsiTheme="majorHAnsi" w:cs="Arial"/>
          <w:i/>
          <w:sz w:val="20"/>
          <w:szCs w:val="20"/>
        </w:rPr>
        <w:t>, вкл. неговото финансиране, след завършването на</w:t>
      </w:r>
      <w:r w:rsidR="00DE6ABE">
        <w:rPr>
          <w:rFonts w:asciiTheme="majorHAnsi" w:hAnsiTheme="majorHAnsi" w:cs="Arial"/>
          <w:i/>
          <w:sz w:val="20"/>
          <w:szCs w:val="20"/>
        </w:rPr>
        <w:t xml:space="preserve"> настоящия проект (прогноза до 5</w:t>
      </w:r>
      <w:r w:rsidR="0031200D" w:rsidRPr="00110DEF">
        <w:rPr>
          <w:rFonts w:asciiTheme="majorHAnsi" w:hAnsiTheme="majorHAnsi" w:cs="Arial"/>
          <w:i/>
          <w:sz w:val="20"/>
          <w:szCs w:val="20"/>
        </w:rPr>
        <w:t xml:space="preserve"> години след приключване на проекта)</w:t>
      </w:r>
      <w:r w:rsidR="0021791E">
        <w:rPr>
          <w:rFonts w:asciiTheme="majorHAnsi" w:hAnsiTheme="majorHAnsi" w:cs="Arial"/>
          <w:i/>
          <w:sz w:val="20"/>
          <w:szCs w:val="20"/>
        </w:rPr>
        <w:t>.</w:t>
      </w:r>
      <w:r w:rsidR="00DC566C"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720A3553" w14:textId="77777777" w:rsidR="0068577D" w:rsidRPr="00110DEF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0CAC9E67" w14:textId="77777777" w:rsidR="0068577D" w:rsidRPr="00110DEF" w:rsidRDefault="0068577D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2D64BE36" w14:textId="3B1F9500" w:rsidR="002A7E43" w:rsidRPr="00110DEF" w:rsidRDefault="00752778" w:rsidP="00752778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  <w:lang w:val="pl-PL"/>
        </w:rPr>
        <w:t>Структура и управление</w:t>
      </w:r>
      <w:r w:rsidRPr="00110DEF">
        <w:rPr>
          <w:rFonts w:asciiTheme="majorHAnsi" w:hAnsiTheme="majorHAnsi" w:cs="Arial"/>
          <w:b/>
        </w:rPr>
        <w:t xml:space="preserve"> на </w:t>
      </w:r>
      <w:bookmarkStart w:id="3" w:name="_Hlk120282446"/>
      <w:r w:rsidR="002A7E43" w:rsidRPr="00110DEF">
        <w:rPr>
          <w:rFonts w:asciiTheme="majorHAnsi" w:hAnsiTheme="majorHAnsi" w:cs="Arial"/>
          <w:b/>
        </w:rPr>
        <w:t>индустриалния парк/зона</w:t>
      </w:r>
    </w:p>
    <w:bookmarkEnd w:id="3"/>
    <w:p w14:paraId="128689AA" w14:textId="658474A4" w:rsidR="00752778" w:rsidRPr="00110DEF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sz w:val="20"/>
          <w:szCs w:val="20"/>
        </w:rPr>
      </w:pPr>
      <w:r w:rsidRPr="00110DEF">
        <w:rPr>
          <w:rFonts w:asciiTheme="majorHAnsi" w:hAnsiTheme="majorHAnsi" w:cs="Arial"/>
          <w:i/>
          <w:sz w:val="20"/>
          <w:szCs w:val="20"/>
        </w:rPr>
        <w:t>Описват се</w:t>
      </w:r>
      <w:r w:rsidRPr="00110DEF">
        <w:rPr>
          <w:rFonts w:asciiTheme="majorHAnsi" w:hAnsiTheme="majorHAnsi" w:cs="Arial"/>
          <w:sz w:val="20"/>
          <w:szCs w:val="20"/>
        </w:rPr>
        <w:t xml:space="preserve"> </w:t>
      </w:r>
      <w:r w:rsidR="002A7E43" w:rsidRPr="00110DEF">
        <w:rPr>
          <w:rFonts w:asciiTheme="majorHAnsi" w:hAnsiTheme="majorHAnsi" w:cs="Arial"/>
          <w:i/>
          <w:iCs/>
          <w:sz w:val="20"/>
          <w:szCs w:val="20"/>
        </w:rPr>
        <w:t xml:space="preserve">структурата </w:t>
      </w:r>
      <w:r w:rsidR="00EE57AC" w:rsidRPr="00110DEF">
        <w:rPr>
          <w:rFonts w:asciiTheme="majorHAnsi" w:hAnsiTheme="majorHAnsi" w:cs="Arial"/>
          <w:i/>
          <w:iCs/>
          <w:sz w:val="20"/>
          <w:szCs w:val="20"/>
        </w:rPr>
        <w:t xml:space="preserve">на юридическото лице, собственик на парка/зоната, </w:t>
      </w:r>
      <w:r w:rsidRPr="00110DEF">
        <w:rPr>
          <w:rFonts w:asciiTheme="majorHAnsi" w:hAnsiTheme="majorHAnsi" w:cs="Arial"/>
          <w:i/>
          <w:iCs/>
          <w:sz w:val="20"/>
          <w:szCs w:val="20"/>
        </w:rPr>
        <w:t>о</w:t>
      </w:r>
      <w:r w:rsidRPr="00110DEF">
        <w:rPr>
          <w:rFonts w:asciiTheme="majorHAnsi" w:hAnsiTheme="majorHAnsi" w:cs="Arial"/>
          <w:i/>
          <w:iCs/>
          <w:sz w:val="20"/>
          <w:szCs w:val="20"/>
          <w:lang w:val="pl-PL"/>
        </w:rPr>
        <w:t xml:space="preserve">тношенията между </w:t>
      </w:r>
      <w:r w:rsidR="00EE57AC" w:rsidRPr="00110DEF">
        <w:rPr>
          <w:rFonts w:asciiTheme="majorHAnsi" w:hAnsiTheme="majorHAnsi" w:cs="Arial"/>
          <w:i/>
          <w:iCs/>
          <w:sz w:val="20"/>
          <w:szCs w:val="20"/>
        </w:rPr>
        <w:t>собственик, оператор и инвеститори</w:t>
      </w:r>
      <w:r w:rsidRPr="00110DEF">
        <w:rPr>
          <w:rFonts w:asciiTheme="majorHAnsi" w:hAnsiTheme="majorHAnsi" w:cs="Arial"/>
          <w:i/>
          <w:iCs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i/>
          <w:iCs/>
          <w:sz w:val="20"/>
          <w:szCs w:val="20"/>
          <w:lang w:val="pl-PL"/>
        </w:rPr>
        <w:t>и съществуващите връзки</w:t>
      </w:r>
      <w:r w:rsidRPr="00110DEF">
        <w:rPr>
          <w:rFonts w:asciiTheme="majorHAnsi" w:hAnsiTheme="majorHAnsi" w:cs="Arial"/>
          <w:i/>
          <w:sz w:val="20"/>
          <w:szCs w:val="20"/>
          <w:lang w:val="pl-PL"/>
        </w:rPr>
        <w:t xml:space="preserve"> между тях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, каналите за обмен на информация и комуникация в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парка/зоната</w:t>
      </w:r>
      <w:r w:rsidRPr="00110DEF">
        <w:rPr>
          <w:rFonts w:asciiTheme="majorHAnsi" w:hAnsiTheme="majorHAnsi" w:cs="Arial"/>
          <w:i/>
          <w:sz w:val="20"/>
          <w:szCs w:val="20"/>
        </w:rPr>
        <w:t>, възприетите механизми за вземане на решения</w:t>
      </w:r>
      <w:r w:rsidR="009B7BC0" w:rsidRPr="00110DEF">
        <w:rPr>
          <w:rFonts w:asciiTheme="majorHAnsi" w:hAnsiTheme="majorHAnsi" w:cs="Arial"/>
          <w:i/>
          <w:sz w:val="20"/>
          <w:szCs w:val="20"/>
        </w:rPr>
        <w:t xml:space="preserve">, както и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опита в изграждане/управление на паркове/зони и/или привличане на инвеститори,</w:t>
      </w:r>
      <w:r w:rsidR="008100D8" w:rsidRPr="00110DEF">
        <w:rPr>
          <w:rFonts w:asciiTheme="majorHAnsi" w:hAnsiTheme="majorHAnsi" w:cs="Arial"/>
          <w:i/>
          <w:sz w:val="20"/>
          <w:szCs w:val="20"/>
          <w:lang w:val="en-US"/>
        </w:rPr>
        <w:t xml:space="preserve">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наличието на управленски екип, който владее чужди езици и е с квалификация в управление на инвестиционни проекти и привличане на инвеститори</w:t>
      </w:r>
      <w:r w:rsidRPr="00110DEF">
        <w:rPr>
          <w:rFonts w:asciiTheme="majorHAnsi" w:hAnsiTheme="majorHAnsi" w:cs="Arial"/>
          <w:i/>
          <w:sz w:val="20"/>
          <w:szCs w:val="20"/>
        </w:rPr>
        <w:t>.</w:t>
      </w:r>
      <w:r w:rsidR="002007B2" w:rsidRPr="002007B2">
        <w:rPr>
          <w:rFonts w:asciiTheme="majorHAnsi" w:eastAsia="Times New Roman" w:hAnsiTheme="majorHAnsi" w:cs="Times New Roman"/>
          <w:bCs/>
          <w:i/>
          <w:sz w:val="24"/>
          <w:szCs w:val="24"/>
          <w:lang w:eastAsia="pl-PL"/>
        </w:rPr>
        <w:t xml:space="preserve"> </w:t>
      </w:r>
      <w:r w:rsidR="002007B2">
        <w:rPr>
          <w:rFonts w:asciiTheme="majorHAnsi" w:hAnsiTheme="majorHAnsi" w:cs="Arial"/>
          <w:bCs/>
          <w:i/>
          <w:sz w:val="20"/>
          <w:szCs w:val="20"/>
        </w:rPr>
        <w:t>Обяснява се</w:t>
      </w:r>
      <w:r w:rsidR="002007B2" w:rsidRPr="002007B2">
        <w:rPr>
          <w:rFonts w:asciiTheme="majorHAnsi" w:hAnsiTheme="majorHAnsi" w:cs="Arial"/>
          <w:bCs/>
          <w:i/>
          <w:sz w:val="20"/>
          <w:szCs w:val="20"/>
        </w:rPr>
        <w:t xml:space="preserve"> как посоченият управленски екип</w:t>
      </w:r>
      <w:r w:rsidR="002007B2">
        <w:rPr>
          <w:rFonts w:asciiTheme="majorHAnsi" w:hAnsiTheme="majorHAnsi" w:cs="Arial"/>
          <w:bCs/>
          <w:i/>
          <w:sz w:val="20"/>
          <w:szCs w:val="20"/>
        </w:rPr>
        <w:t>, в комбинация с</w:t>
      </w:r>
      <w:r w:rsidR="002007B2" w:rsidRPr="002007B2">
        <w:rPr>
          <w:rFonts w:asciiTheme="majorHAnsi" w:hAnsiTheme="majorHAnsi" w:cs="Arial"/>
          <w:bCs/>
          <w:i/>
          <w:sz w:val="20"/>
          <w:szCs w:val="20"/>
        </w:rPr>
        <w:t xml:space="preserve"> необходими</w:t>
      </w:r>
      <w:r w:rsidR="002007B2">
        <w:rPr>
          <w:rFonts w:asciiTheme="majorHAnsi" w:hAnsiTheme="majorHAnsi" w:cs="Arial"/>
          <w:bCs/>
          <w:i/>
          <w:sz w:val="20"/>
          <w:szCs w:val="20"/>
        </w:rPr>
        <w:t>те</w:t>
      </w:r>
      <w:r w:rsidR="002007B2" w:rsidRPr="002007B2">
        <w:rPr>
          <w:rFonts w:asciiTheme="majorHAnsi" w:hAnsiTheme="majorHAnsi" w:cs="Arial"/>
          <w:bCs/>
          <w:i/>
          <w:sz w:val="20"/>
          <w:szCs w:val="20"/>
        </w:rPr>
        <w:t xml:space="preserve"> финансови и технически ресурси, ще допринесат за постигане на поставените цели в </w:t>
      </w:r>
      <w:r w:rsidR="002007B2" w:rsidRPr="002007B2">
        <w:rPr>
          <w:rFonts w:asciiTheme="majorHAnsi" w:hAnsiTheme="majorHAnsi" w:cs="Arial"/>
          <w:bCs/>
          <w:i/>
          <w:sz w:val="20"/>
          <w:szCs w:val="20"/>
        </w:rPr>
        <w:lastRenderedPageBreak/>
        <w:t xml:space="preserve">Стратегията за </w:t>
      </w:r>
      <w:r w:rsidR="002007B2">
        <w:rPr>
          <w:rFonts w:asciiTheme="majorHAnsi" w:hAnsiTheme="majorHAnsi" w:cs="Arial"/>
          <w:bCs/>
          <w:i/>
          <w:sz w:val="20"/>
          <w:szCs w:val="20"/>
        </w:rPr>
        <w:t xml:space="preserve">развитие, </w:t>
      </w:r>
      <w:r w:rsidR="002007B2" w:rsidRPr="002007B2">
        <w:rPr>
          <w:rFonts w:asciiTheme="majorHAnsi" w:hAnsiTheme="majorHAnsi" w:cs="Arial"/>
          <w:bCs/>
          <w:i/>
          <w:sz w:val="20"/>
          <w:szCs w:val="20"/>
        </w:rPr>
        <w:t>насочени към привличане на инвеститори, в т.ч. и стратегически, както и създаване на нови работни места</w:t>
      </w:r>
      <w:r w:rsidR="0021791E">
        <w:rPr>
          <w:rFonts w:asciiTheme="majorHAnsi" w:hAnsiTheme="majorHAnsi" w:cs="Arial"/>
          <w:bCs/>
          <w:i/>
          <w:sz w:val="20"/>
          <w:szCs w:val="20"/>
        </w:rPr>
        <w:t>.</w:t>
      </w:r>
      <w:r w:rsidR="002007B2" w:rsidRPr="002007B2">
        <w:rPr>
          <w:rFonts w:asciiTheme="majorHAnsi" w:hAnsiTheme="majorHAnsi" w:cs="Arial"/>
          <w:bCs/>
          <w:i/>
          <w:sz w:val="20"/>
          <w:szCs w:val="20"/>
          <w:lang w:val="en-US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202DD0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10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4E5BE8DE" w14:textId="77777777" w:rsidR="00752778" w:rsidRPr="00110DEF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sz w:val="20"/>
          <w:szCs w:val="20"/>
        </w:rPr>
      </w:pPr>
    </w:p>
    <w:p w14:paraId="370169A3" w14:textId="77777777" w:rsidR="00752778" w:rsidRPr="00110DEF" w:rsidRDefault="00752778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07FCBEDC" w14:textId="632F51EF" w:rsidR="00EE57AC" w:rsidRPr="00110DEF" w:rsidRDefault="00BA3389" w:rsidP="00EE57AC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110DEF">
        <w:rPr>
          <w:rFonts w:asciiTheme="majorHAnsi" w:hAnsiTheme="majorHAnsi" w:cs="Arial"/>
          <w:b/>
        </w:rPr>
        <w:t xml:space="preserve">Визия за развитие на </w:t>
      </w:r>
      <w:r w:rsidR="00EE57AC" w:rsidRPr="00110DEF">
        <w:rPr>
          <w:rFonts w:asciiTheme="majorHAnsi" w:hAnsiTheme="majorHAnsi" w:cs="Arial"/>
          <w:b/>
        </w:rPr>
        <w:t>индустриалния парк/зона</w:t>
      </w:r>
    </w:p>
    <w:p w14:paraId="3FF2A13A" w14:textId="0B076DD9" w:rsidR="00E50899" w:rsidRPr="00110DEF" w:rsidRDefault="00BA3389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</w:rPr>
      </w:pPr>
      <w:r w:rsidRPr="00110DEF">
        <w:rPr>
          <w:rFonts w:asciiTheme="majorHAnsi" w:hAnsiTheme="majorHAnsi" w:cs="Arial"/>
          <w:i/>
          <w:sz w:val="20"/>
          <w:szCs w:val="20"/>
        </w:rPr>
        <w:t xml:space="preserve">Представя се визията за развитие на </w:t>
      </w:r>
      <w:r w:rsidR="00EE57AC" w:rsidRPr="00110DEF">
        <w:rPr>
          <w:rFonts w:asciiTheme="majorHAnsi" w:hAnsiTheme="majorHAnsi" w:cs="Arial"/>
          <w:i/>
          <w:sz w:val="20"/>
          <w:szCs w:val="20"/>
        </w:rPr>
        <w:t>индустриалния парк/зона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в краткосрочен, средносрочен и дългосрочен план и резултатите, които се целят да бъдат постигнати</w:t>
      </w:r>
      <w:r w:rsidR="00CD5AD9" w:rsidRPr="00110DEF">
        <w:rPr>
          <w:rFonts w:asciiTheme="majorHAnsi" w:hAnsiTheme="majorHAnsi" w:cs="Arial"/>
          <w:i/>
          <w:sz w:val="20"/>
          <w:szCs w:val="20"/>
        </w:rPr>
        <w:t xml:space="preserve"> (напр. привличане на нови </w:t>
      </w:r>
      <w:r w:rsidR="000F28A4" w:rsidRPr="00110DEF">
        <w:rPr>
          <w:rFonts w:asciiTheme="majorHAnsi" w:hAnsiTheme="majorHAnsi" w:cs="Arial"/>
          <w:i/>
          <w:sz w:val="20"/>
          <w:szCs w:val="20"/>
        </w:rPr>
        <w:t>инвеститори, вкл. и стратегически</w:t>
      </w:r>
      <w:r w:rsidR="00CD5AD9" w:rsidRPr="00110DEF">
        <w:rPr>
          <w:rFonts w:asciiTheme="majorHAnsi" w:hAnsiTheme="majorHAnsi" w:cs="Arial"/>
          <w:i/>
          <w:sz w:val="20"/>
          <w:szCs w:val="20"/>
        </w:rPr>
        <w:t>; изграждане на транснационални връзки</w:t>
      </w:r>
      <w:r w:rsidR="000F28A4" w:rsidRPr="00110DEF">
        <w:rPr>
          <w:rFonts w:asciiTheme="majorHAnsi" w:hAnsiTheme="majorHAnsi" w:cs="Arial"/>
          <w:i/>
          <w:sz w:val="20"/>
          <w:szCs w:val="20"/>
        </w:rPr>
        <w:t>;</w:t>
      </w:r>
      <w:r w:rsidR="00CD5AD9" w:rsidRPr="00110DEF">
        <w:rPr>
          <w:rFonts w:asciiTheme="majorHAnsi" w:hAnsiTheme="majorHAnsi" w:cs="Arial"/>
          <w:i/>
          <w:sz w:val="20"/>
          <w:szCs w:val="20"/>
        </w:rPr>
        <w:t xml:space="preserve"> участие в </w:t>
      </w:r>
      <w:r w:rsidR="00E239CB" w:rsidRPr="00110DEF">
        <w:rPr>
          <w:rFonts w:asciiTheme="majorHAnsi" w:hAnsiTheme="majorHAnsi" w:cs="Arial"/>
          <w:i/>
          <w:sz w:val="20"/>
          <w:szCs w:val="20"/>
        </w:rPr>
        <w:t>регионални и международни мрежи)</w:t>
      </w:r>
      <w:r w:rsidR="00975EF2">
        <w:rPr>
          <w:rFonts w:asciiTheme="majorHAnsi" w:hAnsiTheme="majorHAnsi" w:cs="Arial"/>
          <w:i/>
          <w:sz w:val="20"/>
          <w:szCs w:val="20"/>
        </w:rPr>
        <w:t>, как ще бъдат постигнати тези цели и как постигането им ще допринесе за реализирането на визията</w:t>
      </w:r>
      <w:r w:rsidR="0021791E">
        <w:rPr>
          <w:rFonts w:asciiTheme="majorHAnsi" w:hAnsiTheme="majorHAnsi" w:cs="Arial"/>
          <w:i/>
          <w:sz w:val="20"/>
          <w:szCs w:val="20"/>
        </w:rPr>
        <w:t>.</w:t>
      </w:r>
      <w:r w:rsidRPr="00110DEF">
        <w:rPr>
          <w:rFonts w:asciiTheme="majorHAnsi" w:hAnsiTheme="majorHAnsi" w:cs="Arial"/>
          <w:i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202DD0"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Pr="00110DE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17A89CCD" w14:textId="77777777" w:rsidR="005A0C5E" w:rsidRPr="00110DEF" w:rsidRDefault="005A0C5E" w:rsidP="005A0C5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</w:rPr>
      </w:pPr>
    </w:p>
    <w:p w14:paraId="6423955D" w14:textId="77777777" w:rsidR="00752778" w:rsidRPr="00110DEF" w:rsidRDefault="00752778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sectPr w:rsidR="00752778" w:rsidRPr="00110DEF" w:rsidSect="00782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6AC08" w14:textId="77777777" w:rsidR="00D97069" w:rsidRDefault="00D97069" w:rsidP="00F226FF">
      <w:pPr>
        <w:spacing w:after="0" w:line="240" w:lineRule="auto"/>
      </w:pPr>
      <w:r>
        <w:separator/>
      </w:r>
    </w:p>
  </w:endnote>
  <w:endnote w:type="continuationSeparator" w:id="0">
    <w:p w14:paraId="199EA93E" w14:textId="77777777" w:rsidR="00D97069" w:rsidRDefault="00D97069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AF90" w14:textId="77777777" w:rsidR="00D84385" w:rsidRDefault="00D84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FC8E" w14:textId="68D3B2DE" w:rsidR="00313321" w:rsidRDefault="00313321" w:rsidP="0092775F">
    <w:pPr>
      <w:pStyle w:val="Footer"/>
    </w:pPr>
  </w:p>
  <w:sdt>
    <w:sdtPr>
      <w:rPr>
        <w:rFonts w:ascii="Calibri" w:eastAsia="Calibri" w:hAnsi="Calibri" w:cs="Times New Roman"/>
      </w:rPr>
      <w:id w:val="547963929"/>
      <w:docPartObj>
        <w:docPartGallery w:val="Page Numbers (Bottom of Page)"/>
        <w:docPartUnique/>
      </w:docPartObj>
    </w:sdtPr>
    <w:sdtEndPr/>
    <w:sdtContent>
      <w:p w14:paraId="079E9FC3" w14:textId="417F43E3" w:rsidR="0092775F" w:rsidRPr="0092775F" w:rsidRDefault="0092775F" w:rsidP="0092775F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92775F">
          <w:rPr>
            <w:rFonts w:ascii="Calibri" w:eastAsia="Calibri" w:hAnsi="Calibri" w:cs="Times New Roman"/>
          </w:rPr>
          <w:fldChar w:fldCharType="begin"/>
        </w:r>
        <w:r w:rsidRPr="0092775F">
          <w:rPr>
            <w:rFonts w:ascii="Calibri" w:eastAsia="Calibri" w:hAnsi="Calibri" w:cs="Times New Roman"/>
          </w:rPr>
          <w:instrText xml:space="preserve"> PAGE  \* Arabic  \* MERGEFORMAT </w:instrText>
        </w:r>
        <w:r w:rsidRPr="0092775F">
          <w:rPr>
            <w:rFonts w:ascii="Calibri" w:eastAsia="Calibri" w:hAnsi="Calibri" w:cs="Times New Roman"/>
          </w:rPr>
          <w:fldChar w:fldCharType="separate"/>
        </w:r>
        <w:r w:rsidR="009026F0">
          <w:rPr>
            <w:rFonts w:ascii="Calibri" w:eastAsia="Calibri" w:hAnsi="Calibri" w:cs="Times New Roman"/>
            <w:noProof/>
          </w:rPr>
          <w:t>1</w:t>
        </w:r>
        <w:r w:rsidRPr="0092775F">
          <w:rPr>
            <w:rFonts w:ascii="Calibri" w:eastAsia="Calibri" w:hAnsi="Calibri" w:cs="Times New Roman"/>
          </w:rPr>
          <w:fldChar w:fldCharType="end"/>
        </w:r>
      </w:p>
    </w:sdtContent>
  </w:sdt>
  <w:p w14:paraId="6B63A86B" w14:textId="77777777" w:rsidR="0092775F" w:rsidRPr="0092775F" w:rsidRDefault="0092775F" w:rsidP="0092775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</w:rPr>
    </w:pPr>
    <w:r w:rsidRPr="0092775F">
      <w:rPr>
        <w:rFonts w:ascii="Cambria" w:eastAsia="Calibri" w:hAnsi="Cambria" w:cs="Times New Roman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14:paraId="12C0B60B" w14:textId="77777777" w:rsidR="00313321" w:rsidRDefault="003133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9A9D3" w14:textId="77777777" w:rsidR="00D84385" w:rsidRDefault="00D84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E70CA" w14:textId="77777777" w:rsidR="00D97069" w:rsidRDefault="00D97069" w:rsidP="00F226FF">
      <w:pPr>
        <w:spacing w:after="0" w:line="240" w:lineRule="auto"/>
      </w:pPr>
      <w:r>
        <w:separator/>
      </w:r>
    </w:p>
  </w:footnote>
  <w:footnote w:type="continuationSeparator" w:id="0">
    <w:p w14:paraId="3FF5A624" w14:textId="77777777" w:rsidR="00D97069" w:rsidRDefault="00D97069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8B843" w14:textId="77777777" w:rsidR="00D84385" w:rsidRDefault="00D84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4B1BD" w14:textId="1ACF49CF" w:rsidR="00A70E1C" w:rsidRDefault="00A70E1C" w:rsidP="00A70E1C">
    <w:pPr>
      <w:pStyle w:val="Header"/>
    </w:pPr>
    <w:r>
      <w:rPr>
        <w:noProof/>
        <w:lang w:eastAsia="bg-BG"/>
      </w:rPr>
      <w:drawing>
        <wp:inline distT="0" distB="0" distL="0" distR="0" wp14:anchorId="0A9C9298" wp14:editId="25251625">
          <wp:extent cx="3314065" cy="841375"/>
          <wp:effectExtent l="0" t="0" r="0" b="0"/>
          <wp:docPr id="3" name="Picture 3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</w:t>
    </w:r>
    <w:r>
      <w:rPr>
        <w:noProof/>
        <w:lang w:eastAsia="bg-BG"/>
      </w:rPr>
      <w:drawing>
        <wp:inline distT="0" distB="0" distL="0" distR="0" wp14:anchorId="33B07FD4" wp14:editId="6DA29771">
          <wp:extent cx="2077720" cy="94361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720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C36010" w14:textId="77777777" w:rsidR="00A70E1C" w:rsidRDefault="00A70E1C" w:rsidP="00A70E1C">
    <w:pPr>
      <w:pStyle w:val="Header"/>
    </w:pPr>
  </w:p>
  <w:p w14:paraId="70FF63F1" w14:textId="02FEF8D4" w:rsidR="00D72387" w:rsidRPr="00A70E1C" w:rsidRDefault="00D72387" w:rsidP="00A70E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AF82F" w14:textId="77777777" w:rsidR="00D84385" w:rsidRDefault="00D84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E9F1703"/>
    <w:multiLevelType w:val="hybridMultilevel"/>
    <w:tmpl w:val="BE3A29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16143CD0"/>
    <w:multiLevelType w:val="hybridMultilevel"/>
    <w:tmpl w:val="59D22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975EE4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F013F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5FCC58BB"/>
    <w:multiLevelType w:val="hybridMultilevel"/>
    <w:tmpl w:val="8EA858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85016"/>
    <w:multiLevelType w:val="hybridMultilevel"/>
    <w:tmpl w:val="289C4C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77A54057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8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2"/>
  </w:num>
  <w:num w:numId="11">
    <w:abstractNumId w:val="14"/>
  </w:num>
  <w:num w:numId="12">
    <w:abstractNumId w:val="7"/>
  </w:num>
  <w:num w:numId="13">
    <w:abstractNumId w:val="9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93"/>
    <w:rsid w:val="000017A9"/>
    <w:rsid w:val="00003AAF"/>
    <w:rsid w:val="000317F2"/>
    <w:rsid w:val="00040300"/>
    <w:rsid w:val="00042C38"/>
    <w:rsid w:val="00060D6E"/>
    <w:rsid w:val="0006701A"/>
    <w:rsid w:val="000733B2"/>
    <w:rsid w:val="000A351D"/>
    <w:rsid w:val="000B141C"/>
    <w:rsid w:val="000C5C28"/>
    <w:rsid w:val="000E00DA"/>
    <w:rsid w:val="000E10AA"/>
    <w:rsid w:val="000F28A4"/>
    <w:rsid w:val="000F625E"/>
    <w:rsid w:val="00110DEF"/>
    <w:rsid w:val="00111E7D"/>
    <w:rsid w:val="0013405C"/>
    <w:rsid w:val="00137552"/>
    <w:rsid w:val="00145859"/>
    <w:rsid w:val="001578A6"/>
    <w:rsid w:val="00162502"/>
    <w:rsid w:val="00172AA2"/>
    <w:rsid w:val="00175118"/>
    <w:rsid w:val="00177D30"/>
    <w:rsid w:val="00182D59"/>
    <w:rsid w:val="00185B1D"/>
    <w:rsid w:val="00186152"/>
    <w:rsid w:val="001921A7"/>
    <w:rsid w:val="001A07FA"/>
    <w:rsid w:val="001A5C2D"/>
    <w:rsid w:val="001B4CF5"/>
    <w:rsid w:val="001B6324"/>
    <w:rsid w:val="001D1192"/>
    <w:rsid w:val="001D5A21"/>
    <w:rsid w:val="001E2BD4"/>
    <w:rsid w:val="001E3FC2"/>
    <w:rsid w:val="001E5014"/>
    <w:rsid w:val="001E5C75"/>
    <w:rsid w:val="001F6E6A"/>
    <w:rsid w:val="002007B2"/>
    <w:rsid w:val="00202B57"/>
    <w:rsid w:val="00202DD0"/>
    <w:rsid w:val="00205E89"/>
    <w:rsid w:val="002075CE"/>
    <w:rsid w:val="00210DAB"/>
    <w:rsid w:val="002128DA"/>
    <w:rsid w:val="00212F90"/>
    <w:rsid w:val="0021791E"/>
    <w:rsid w:val="00224871"/>
    <w:rsid w:val="0023396B"/>
    <w:rsid w:val="00242910"/>
    <w:rsid w:val="0024769C"/>
    <w:rsid w:val="00250EEE"/>
    <w:rsid w:val="00282E7A"/>
    <w:rsid w:val="002879FE"/>
    <w:rsid w:val="00291085"/>
    <w:rsid w:val="00297526"/>
    <w:rsid w:val="002A7E43"/>
    <w:rsid w:val="002B765E"/>
    <w:rsid w:val="002C2025"/>
    <w:rsid w:val="002C4364"/>
    <w:rsid w:val="002D0D8C"/>
    <w:rsid w:val="002E2828"/>
    <w:rsid w:val="002E3036"/>
    <w:rsid w:val="002F56DE"/>
    <w:rsid w:val="002F7FBE"/>
    <w:rsid w:val="0030336B"/>
    <w:rsid w:val="0030422C"/>
    <w:rsid w:val="0031200D"/>
    <w:rsid w:val="00313321"/>
    <w:rsid w:val="003258BB"/>
    <w:rsid w:val="00326227"/>
    <w:rsid w:val="00332430"/>
    <w:rsid w:val="003349B3"/>
    <w:rsid w:val="00337C99"/>
    <w:rsid w:val="003452DA"/>
    <w:rsid w:val="0034564B"/>
    <w:rsid w:val="0035396E"/>
    <w:rsid w:val="003700DC"/>
    <w:rsid w:val="00377DAD"/>
    <w:rsid w:val="00393B6B"/>
    <w:rsid w:val="003A19F3"/>
    <w:rsid w:val="003A74EA"/>
    <w:rsid w:val="003C12D3"/>
    <w:rsid w:val="003E15A0"/>
    <w:rsid w:val="0040520A"/>
    <w:rsid w:val="004052B4"/>
    <w:rsid w:val="00440B16"/>
    <w:rsid w:val="00444A06"/>
    <w:rsid w:val="00451BAF"/>
    <w:rsid w:val="004604DB"/>
    <w:rsid w:val="00466493"/>
    <w:rsid w:val="004712CF"/>
    <w:rsid w:val="00471AD7"/>
    <w:rsid w:val="004826B5"/>
    <w:rsid w:val="00497C23"/>
    <w:rsid w:val="004C2A86"/>
    <w:rsid w:val="004C4138"/>
    <w:rsid w:val="004D059B"/>
    <w:rsid w:val="00506514"/>
    <w:rsid w:val="0051763A"/>
    <w:rsid w:val="00517AC4"/>
    <w:rsid w:val="0053709A"/>
    <w:rsid w:val="00542BB2"/>
    <w:rsid w:val="00543769"/>
    <w:rsid w:val="0054686A"/>
    <w:rsid w:val="0054708B"/>
    <w:rsid w:val="00551F45"/>
    <w:rsid w:val="00553C31"/>
    <w:rsid w:val="0056431E"/>
    <w:rsid w:val="00571DCA"/>
    <w:rsid w:val="005768B9"/>
    <w:rsid w:val="0057729E"/>
    <w:rsid w:val="0057751B"/>
    <w:rsid w:val="005979EA"/>
    <w:rsid w:val="005A0C5E"/>
    <w:rsid w:val="005A36CE"/>
    <w:rsid w:val="005C2666"/>
    <w:rsid w:val="005C7067"/>
    <w:rsid w:val="005D29A0"/>
    <w:rsid w:val="005D5F28"/>
    <w:rsid w:val="005D6E41"/>
    <w:rsid w:val="005E6A4C"/>
    <w:rsid w:val="005F0BF4"/>
    <w:rsid w:val="005F4CD8"/>
    <w:rsid w:val="005F4DD9"/>
    <w:rsid w:val="005F593A"/>
    <w:rsid w:val="005F79EA"/>
    <w:rsid w:val="0060288D"/>
    <w:rsid w:val="00603AD7"/>
    <w:rsid w:val="00604904"/>
    <w:rsid w:val="00605CE5"/>
    <w:rsid w:val="00610E61"/>
    <w:rsid w:val="0061196B"/>
    <w:rsid w:val="00623BA5"/>
    <w:rsid w:val="006248AD"/>
    <w:rsid w:val="00625F05"/>
    <w:rsid w:val="00626B24"/>
    <w:rsid w:val="00643302"/>
    <w:rsid w:val="00656C76"/>
    <w:rsid w:val="00665205"/>
    <w:rsid w:val="0068577D"/>
    <w:rsid w:val="006A05A9"/>
    <w:rsid w:val="006C0E9E"/>
    <w:rsid w:val="006C2213"/>
    <w:rsid w:val="006C54C4"/>
    <w:rsid w:val="006C7375"/>
    <w:rsid w:val="006D0EAC"/>
    <w:rsid w:val="006D1141"/>
    <w:rsid w:val="006D7B8B"/>
    <w:rsid w:val="006E319B"/>
    <w:rsid w:val="007031E8"/>
    <w:rsid w:val="00705107"/>
    <w:rsid w:val="007069B8"/>
    <w:rsid w:val="0070709B"/>
    <w:rsid w:val="00711AAE"/>
    <w:rsid w:val="00722C32"/>
    <w:rsid w:val="00726C24"/>
    <w:rsid w:val="00726E66"/>
    <w:rsid w:val="00727249"/>
    <w:rsid w:val="00745E52"/>
    <w:rsid w:val="00752778"/>
    <w:rsid w:val="0075706A"/>
    <w:rsid w:val="0076315B"/>
    <w:rsid w:val="00765F23"/>
    <w:rsid w:val="0076625E"/>
    <w:rsid w:val="0076638B"/>
    <w:rsid w:val="007774EE"/>
    <w:rsid w:val="00782077"/>
    <w:rsid w:val="0078307F"/>
    <w:rsid w:val="00785258"/>
    <w:rsid w:val="00792FA3"/>
    <w:rsid w:val="0079491A"/>
    <w:rsid w:val="007A5BC2"/>
    <w:rsid w:val="007B50E9"/>
    <w:rsid w:val="007C47FC"/>
    <w:rsid w:val="007C5123"/>
    <w:rsid w:val="007E1AAA"/>
    <w:rsid w:val="007E560F"/>
    <w:rsid w:val="007F1353"/>
    <w:rsid w:val="007F325E"/>
    <w:rsid w:val="0080462F"/>
    <w:rsid w:val="008100D8"/>
    <w:rsid w:val="00811C7D"/>
    <w:rsid w:val="00814B63"/>
    <w:rsid w:val="008211D5"/>
    <w:rsid w:val="00835B3A"/>
    <w:rsid w:val="008364FA"/>
    <w:rsid w:val="00847027"/>
    <w:rsid w:val="00883501"/>
    <w:rsid w:val="00892735"/>
    <w:rsid w:val="008C0A53"/>
    <w:rsid w:val="008C54DC"/>
    <w:rsid w:val="008E09DE"/>
    <w:rsid w:val="008E0C59"/>
    <w:rsid w:val="008E2A0C"/>
    <w:rsid w:val="008F4643"/>
    <w:rsid w:val="008F5431"/>
    <w:rsid w:val="008F6E3F"/>
    <w:rsid w:val="00900D45"/>
    <w:rsid w:val="009026F0"/>
    <w:rsid w:val="00914944"/>
    <w:rsid w:val="009158BF"/>
    <w:rsid w:val="00920578"/>
    <w:rsid w:val="00920E4B"/>
    <w:rsid w:val="00921D21"/>
    <w:rsid w:val="0092775F"/>
    <w:rsid w:val="00933BBD"/>
    <w:rsid w:val="00935F3A"/>
    <w:rsid w:val="00944EB1"/>
    <w:rsid w:val="009501CC"/>
    <w:rsid w:val="00950D6D"/>
    <w:rsid w:val="00955999"/>
    <w:rsid w:val="00975EF2"/>
    <w:rsid w:val="00990A83"/>
    <w:rsid w:val="009959BA"/>
    <w:rsid w:val="00996041"/>
    <w:rsid w:val="009B7BC0"/>
    <w:rsid w:val="009C1754"/>
    <w:rsid w:val="009C2F52"/>
    <w:rsid w:val="009C357A"/>
    <w:rsid w:val="009D0E45"/>
    <w:rsid w:val="009D1A8C"/>
    <w:rsid w:val="009D6B1E"/>
    <w:rsid w:val="00A04083"/>
    <w:rsid w:val="00A1594F"/>
    <w:rsid w:val="00A22356"/>
    <w:rsid w:val="00A22B87"/>
    <w:rsid w:val="00A24C99"/>
    <w:rsid w:val="00A505C2"/>
    <w:rsid w:val="00A5456C"/>
    <w:rsid w:val="00A610E9"/>
    <w:rsid w:val="00A70E1C"/>
    <w:rsid w:val="00A74A51"/>
    <w:rsid w:val="00A74D22"/>
    <w:rsid w:val="00A86704"/>
    <w:rsid w:val="00A86FD1"/>
    <w:rsid w:val="00A96F50"/>
    <w:rsid w:val="00AA77FA"/>
    <w:rsid w:val="00AB6ACD"/>
    <w:rsid w:val="00AD4C96"/>
    <w:rsid w:val="00AE1706"/>
    <w:rsid w:val="00AF788B"/>
    <w:rsid w:val="00B10A06"/>
    <w:rsid w:val="00B11B6A"/>
    <w:rsid w:val="00B318B9"/>
    <w:rsid w:val="00B320C9"/>
    <w:rsid w:val="00B32A72"/>
    <w:rsid w:val="00B35AF6"/>
    <w:rsid w:val="00B3783B"/>
    <w:rsid w:val="00B37F64"/>
    <w:rsid w:val="00B473E0"/>
    <w:rsid w:val="00B60768"/>
    <w:rsid w:val="00B61DE8"/>
    <w:rsid w:val="00B62BA4"/>
    <w:rsid w:val="00B67D61"/>
    <w:rsid w:val="00B67E61"/>
    <w:rsid w:val="00B83AA7"/>
    <w:rsid w:val="00B96292"/>
    <w:rsid w:val="00BA3389"/>
    <w:rsid w:val="00BA5827"/>
    <w:rsid w:val="00BA734C"/>
    <w:rsid w:val="00BB4828"/>
    <w:rsid w:val="00BC26AA"/>
    <w:rsid w:val="00BC4AFB"/>
    <w:rsid w:val="00BC71D0"/>
    <w:rsid w:val="00BC7C65"/>
    <w:rsid w:val="00BD2D7F"/>
    <w:rsid w:val="00BE3840"/>
    <w:rsid w:val="00BE7CAD"/>
    <w:rsid w:val="00BF2134"/>
    <w:rsid w:val="00C03145"/>
    <w:rsid w:val="00C03E74"/>
    <w:rsid w:val="00C03F9E"/>
    <w:rsid w:val="00C04F04"/>
    <w:rsid w:val="00C239F6"/>
    <w:rsid w:val="00C27228"/>
    <w:rsid w:val="00C31875"/>
    <w:rsid w:val="00C32782"/>
    <w:rsid w:val="00C35D32"/>
    <w:rsid w:val="00C37458"/>
    <w:rsid w:val="00C62914"/>
    <w:rsid w:val="00C74C11"/>
    <w:rsid w:val="00C82A53"/>
    <w:rsid w:val="00C832B4"/>
    <w:rsid w:val="00C900B3"/>
    <w:rsid w:val="00C97FBE"/>
    <w:rsid w:val="00CB0276"/>
    <w:rsid w:val="00CB678C"/>
    <w:rsid w:val="00CB7A77"/>
    <w:rsid w:val="00CC1F1A"/>
    <w:rsid w:val="00CC6CCC"/>
    <w:rsid w:val="00CC735C"/>
    <w:rsid w:val="00CD3B5C"/>
    <w:rsid w:val="00CD5AD9"/>
    <w:rsid w:val="00CE11FD"/>
    <w:rsid w:val="00CE47B9"/>
    <w:rsid w:val="00CE7A9A"/>
    <w:rsid w:val="00CF3993"/>
    <w:rsid w:val="00CF4005"/>
    <w:rsid w:val="00CF5AA9"/>
    <w:rsid w:val="00CF6BB1"/>
    <w:rsid w:val="00D06507"/>
    <w:rsid w:val="00D10EAB"/>
    <w:rsid w:val="00D23825"/>
    <w:rsid w:val="00D364D7"/>
    <w:rsid w:val="00D40053"/>
    <w:rsid w:val="00D41825"/>
    <w:rsid w:val="00D454C9"/>
    <w:rsid w:val="00D457CF"/>
    <w:rsid w:val="00D52FDD"/>
    <w:rsid w:val="00D56F34"/>
    <w:rsid w:val="00D600A1"/>
    <w:rsid w:val="00D600ED"/>
    <w:rsid w:val="00D67DE3"/>
    <w:rsid w:val="00D72387"/>
    <w:rsid w:val="00D7347D"/>
    <w:rsid w:val="00D829E3"/>
    <w:rsid w:val="00D84385"/>
    <w:rsid w:val="00D873EB"/>
    <w:rsid w:val="00D9253A"/>
    <w:rsid w:val="00D92F74"/>
    <w:rsid w:val="00D94AD1"/>
    <w:rsid w:val="00D97069"/>
    <w:rsid w:val="00DA74C2"/>
    <w:rsid w:val="00DC566C"/>
    <w:rsid w:val="00DE42C9"/>
    <w:rsid w:val="00DE6ABE"/>
    <w:rsid w:val="00DF69CC"/>
    <w:rsid w:val="00E037EB"/>
    <w:rsid w:val="00E15F46"/>
    <w:rsid w:val="00E1602C"/>
    <w:rsid w:val="00E226A3"/>
    <w:rsid w:val="00E239CB"/>
    <w:rsid w:val="00E25CDF"/>
    <w:rsid w:val="00E419D6"/>
    <w:rsid w:val="00E436CA"/>
    <w:rsid w:val="00E44284"/>
    <w:rsid w:val="00E4651D"/>
    <w:rsid w:val="00E50899"/>
    <w:rsid w:val="00E57FE6"/>
    <w:rsid w:val="00E60763"/>
    <w:rsid w:val="00E61F13"/>
    <w:rsid w:val="00E63E40"/>
    <w:rsid w:val="00E93BD4"/>
    <w:rsid w:val="00E94784"/>
    <w:rsid w:val="00EB54BB"/>
    <w:rsid w:val="00EB5ECE"/>
    <w:rsid w:val="00EB7957"/>
    <w:rsid w:val="00ED373E"/>
    <w:rsid w:val="00ED465D"/>
    <w:rsid w:val="00ED6ABA"/>
    <w:rsid w:val="00EE2E60"/>
    <w:rsid w:val="00EE5503"/>
    <w:rsid w:val="00EE57AC"/>
    <w:rsid w:val="00EF0C7F"/>
    <w:rsid w:val="00EF3363"/>
    <w:rsid w:val="00EF70E3"/>
    <w:rsid w:val="00F0217F"/>
    <w:rsid w:val="00F150C9"/>
    <w:rsid w:val="00F168E9"/>
    <w:rsid w:val="00F226FF"/>
    <w:rsid w:val="00F26E58"/>
    <w:rsid w:val="00F411B4"/>
    <w:rsid w:val="00F53EDB"/>
    <w:rsid w:val="00F724A9"/>
    <w:rsid w:val="00F72873"/>
    <w:rsid w:val="00F77656"/>
    <w:rsid w:val="00F900EF"/>
    <w:rsid w:val="00F94E6E"/>
    <w:rsid w:val="00F963D4"/>
    <w:rsid w:val="00F97B1B"/>
    <w:rsid w:val="00FA433C"/>
    <w:rsid w:val="00FB0ED1"/>
    <w:rsid w:val="00FC4830"/>
    <w:rsid w:val="00FC7E09"/>
    <w:rsid w:val="00FD0032"/>
    <w:rsid w:val="00FD42FF"/>
    <w:rsid w:val="00FF1F14"/>
    <w:rsid w:val="00F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C08BA"/>
  <w15:docId w15:val="{42DDFCD9-2694-4017-803E-3586410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8E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3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11D0C-8692-4EFF-99D8-8D78F3A9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Hristo Yordanov</cp:lastModifiedBy>
  <cp:revision>84</cp:revision>
  <dcterms:created xsi:type="dcterms:W3CDTF">2022-11-27T08:43:00Z</dcterms:created>
  <dcterms:modified xsi:type="dcterms:W3CDTF">2023-05-31T07:48:00Z</dcterms:modified>
</cp:coreProperties>
</file>