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4C0EA3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14F5C">
        <w:rPr>
          <w:b/>
          <w:i/>
          <w:lang w:val="bg-BG"/>
        </w:rPr>
        <w:t>Г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8E179F" w:rsidRDefault="0037772B" w:rsidP="008E179F">
      <w:pPr>
        <w:spacing w:after="240"/>
        <w:jc w:val="center"/>
        <w:rPr>
          <w:b/>
          <w:sz w:val="28"/>
          <w:szCs w:val="28"/>
        </w:rPr>
      </w:pPr>
      <w:r w:rsidRPr="00323D14">
        <w:rPr>
          <w:snapToGrid w:val="0"/>
          <w:sz w:val="28"/>
          <w:szCs w:val="28"/>
          <w:lang w:val="bg-BG" w:eastAsia="en-US"/>
        </w:rPr>
        <w:t>П</w:t>
      </w:r>
      <w:r w:rsidR="00433A3F" w:rsidRPr="00323D14">
        <w:rPr>
          <w:snapToGrid w:val="0"/>
          <w:sz w:val="28"/>
          <w:szCs w:val="28"/>
          <w:lang w:val="bg-BG" w:eastAsia="en-US"/>
        </w:rPr>
        <w:t xml:space="preserve">роцедура </w:t>
      </w:r>
      <w:r w:rsidR="00990ADF">
        <w:rPr>
          <w:snapToGrid w:val="0"/>
          <w:sz w:val="28"/>
          <w:szCs w:val="28"/>
          <w:lang w:val="bg-BG" w:eastAsia="en-US"/>
        </w:rPr>
        <w:t>чрез директно пред</w:t>
      </w:r>
      <w:r w:rsidR="00F60E60">
        <w:rPr>
          <w:snapToGrid w:val="0"/>
          <w:sz w:val="28"/>
          <w:szCs w:val="28"/>
          <w:lang w:val="bg-BG" w:eastAsia="en-US"/>
        </w:rPr>
        <w:t xml:space="preserve">оставяне </w:t>
      </w:r>
      <w:r w:rsidR="001B7CA5">
        <w:rPr>
          <w:snapToGrid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01439B">
        <w:rPr>
          <w:snapToGrid w:val="0"/>
          <w:sz w:val="28"/>
          <w:szCs w:val="28"/>
          <w:lang w:val="bg-BG" w:eastAsia="en-US"/>
        </w:rPr>
        <w:t xml:space="preserve">помощ </w:t>
      </w:r>
      <w:r w:rsidR="002C3B81" w:rsidRPr="007B7F4D">
        <w:rPr>
          <w:snapToGrid w:val="0"/>
          <w:sz w:val="28"/>
          <w:szCs w:val="28"/>
          <w:lang w:val="bg-BG" w:eastAsia="en-US"/>
        </w:rPr>
        <w:t>BG16RFOP002-</w:t>
      </w:r>
      <w:r w:rsidR="00765BA9" w:rsidRPr="007B7F4D">
        <w:rPr>
          <w:snapToGrid w:val="0"/>
          <w:sz w:val="28"/>
          <w:szCs w:val="28"/>
          <w:lang w:val="bg-BG" w:eastAsia="en-US"/>
        </w:rPr>
        <w:t>2</w:t>
      </w:r>
      <w:r w:rsidR="002C3B81" w:rsidRPr="007B7F4D">
        <w:rPr>
          <w:snapToGrid w:val="0"/>
          <w:sz w:val="28"/>
          <w:szCs w:val="28"/>
          <w:lang w:val="bg-BG" w:eastAsia="en-US"/>
        </w:rPr>
        <w:t>.0</w:t>
      </w:r>
      <w:r w:rsidR="007B7F4D" w:rsidRPr="007B7F4D">
        <w:rPr>
          <w:snapToGrid w:val="0"/>
          <w:sz w:val="28"/>
          <w:szCs w:val="28"/>
          <w:lang w:val="bg-BG" w:eastAsia="en-US"/>
        </w:rPr>
        <w:t>103</w:t>
      </w:r>
      <w:r w:rsidR="00765BA9">
        <w:rPr>
          <w:snapToGrid w:val="0"/>
          <w:sz w:val="28"/>
          <w:szCs w:val="28"/>
          <w:lang w:val="bg-BG" w:eastAsia="en-US"/>
        </w:rPr>
        <w:t xml:space="preserve"> </w:t>
      </w:r>
      <w:r w:rsidR="00E07CAD">
        <w:rPr>
          <w:snapToGrid w:val="0"/>
          <w:sz w:val="28"/>
          <w:szCs w:val="28"/>
          <w:lang w:val="bg-BG" w:eastAsia="en-US"/>
        </w:rPr>
        <w:t>„</w:t>
      </w:r>
      <w:r w:rsidR="008E179F" w:rsidRPr="00C0798B">
        <w:rPr>
          <w:snapToGrid w:val="0"/>
          <w:sz w:val="28"/>
          <w:szCs w:val="28"/>
          <w:lang w:val="bg-BG" w:eastAsia="en-US"/>
        </w:rPr>
        <w:t xml:space="preserve">Развитие на устойчива бизнес среда чрез осигуряване на ефективен надзор в областта на контрола на качеството на течните и твърдите горива“ </w:t>
      </w:r>
    </w:p>
    <w:p w:rsidR="00236C6F" w:rsidRPr="00D9309F" w:rsidRDefault="00236C6F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765BA9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765BA9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„Предприемачество и капацитет за растеж на МСП“ 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70CB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6C6F" w:rsidRPr="00D9309F" w:rsidRDefault="00236C6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C3B81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Инвестиционен </w:t>
      </w:r>
      <w:r w:rsidR="000975C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 </w:t>
      </w:r>
      <w:r w:rsidR="00765BA9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2.2</w:t>
      </w:r>
      <w:r w:rsidR="000975C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636FA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Капацитет за растеж на МСП“ </w:t>
      </w:r>
      <w:r w:rsidR="00E07CAD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9F3FC4">
        <w:rPr>
          <w:lang w:val="bg-BG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9F3FC4">
        <w:rPr>
          <w:lang w:val="bg-BG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9F3FC4">
        <w:rPr>
          <w:lang w:val="bg-BG"/>
        </w:rPr>
        <w:t>(</w:t>
      </w:r>
      <w:r w:rsidR="00914B17" w:rsidRPr="0078225A">
        <w:rPr>
          <w:lang w:val="bg-BG"/>
        </w:rPr>
        <w:t>неприложимо</w:t>
      </w:r>
      <w:r w:rsidR="00914B17" w:rsidRPr="009F3FC4">
        <w:rPr>
          <w:lang w:val="bg-BG"/>
        </w:rPr>
        <w:t>)</w:t>
      </w:r>
      <w:r w:rsidR="00914B17" w:rsidRPr="0078225A">
        <w:rPr>
          <w:lang w:val="bg-BG"/>
        </w:rPr>
        <w:t xml:space="preserve">. </w:t>
      </w:r>
    </w:p>
    <w:p w:rsidR="004713C1" w:rsidRPr="0078225A" w:rsidRDefault="004713C1" w:rsidP="00502ABC">
      <w:pPr>
        <w:ind w:left="360"/>
        <w:jc w:val="both"/>
        <w:rPr>
          <w:lang w:val="bg-BG"/>
        </w:rPr>
      </w:pPr>
    </w:p>
    <w:p w:rsidR="000D3D06" w:rsidRPr="007A4F36" w:rsidRDefault="00914B17" w:rsidP="008E5262">
      <w:pPr>
        <w:ind w:left="360"/>
        <w:jc w:val="both"/>
        <w:rPr>
          <w:lang w:val="bg-BG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нередовности,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:rsidR="000D3D06" w:rsidRPr="0078225A" w:rsidRDefault="000D3D06" w:rsidP="008E5262">
      <w:pPr>
        <w:ind w:left="360"/>
        <w:jc w:val="both"/>
        <w:rPr>
          <w:lang w:val="bg-BG"/>
        </w:rPr>
      </w:pPr>
    </w:p>
    <w:p w:rsidR="006905B1" w:rsidRPr="003D73BE" w:rsidRDefault="006905B1" w:rsidP="006905B1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="002B2A98">
        <w:rPr>
          <w:lang w:val="bg-BG"/>
        </w:rPr>
        <w:t xml:space="preserve">Управляващият орган </w:t>
      </w:r>
      <w:r w:rsidRPr="003D73BE">
        <w:rPr>
          <w:lang w:val="bg-BG"/>
        </w:rPr>
        <w:t>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r w:rsidR="00673EA1" w:rsidRPr="003D73BE">
        <w:rPr>
          <w:lang w:val="bg-BG"/>
        </w:rPr>
        <w:t xml:space="preserve">нередовности,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>отстраняване на установените нередовности</w:t>
      </w:r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:rsidR="0078225A" w:rsidRDefault="0078225A" w:rsidP="0078225A">
      <w:pPr>
        <w:ind w:left="360"/>
        <w:jc w:val="both"/>
        <w:rPr>
          <w:lang w:val="bg-BG"/>
        </w:rPr>
      </w:pPr>
    </w:p>
    <w:p w:rsidR="0078225A" w:rsidRDefault="0078225A" w:rsidP="0078225A">
      <w:pPr>
        <w:ind w:left="360"/>
        <w:jc w:val="both"/>
        <w:rPr>
          <w:lang w:val="bg-BG"/>
        </w:rPr>
      </w:pPr>
    </w:p>
    <w:p w:rsidR="00CC0092" w:rsidRDefault="00CC009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>I</w:t>
      </w:r>
      <w:r w:rsidRPr="009F3FC4">
        <w:rPr>
          <w:b/>
          <w:lang w:val="bg-BG"/>
        </w:rPr>
        <w:t xml:space="preserve">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:rsidTr="00036D7A">
        <w:tc>
          <w:tcPr>
            <w:tcW w:w="69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9F3FC4">
              <w:rPr>
                <w:lang w:val="bg-BG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3867BC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r w:rsidR="003867BC">
              <w:rPr>
                <w:lang w:val="bg-BG"/>
              </w:rPr>
              <w:t xml:space="preserve">оправомощено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3F0B89" w:rsidRPr="004C0EA3" w:rsidRDefault="00737FE2" w:rsidP="007B7F4D">
            <w:pPr>
              <w:jc w:val="both"/>
              <w:rPr>
                <w:highlight w:val="yellow"/>
                <w:lang w:val="en-US"/>
              </w:rPr>
            </w:pPr>
            <w:r>
              <w:rPr>
                <w:lang w:val="bg-BG"/>
              </w:rPr>
              <w:t xml:space="preserve">Документ за оправомощаване </w:t>
            </w:r>
            <w:r w:rsidR="003F0B89">
              <w:rPr>
                <w:lang w:val="bg-BG"/>
              </w:rPr>
              <w:t xml:space="preserve">за подаване на проектното предложение с </w:t>
            </w:r>
            <w:r w:rsidR="00A560E1" w:rsidRPr="00A03557">
              <w:rPr>
                <w:lang w:val="bg-BG"/>
              </w:rPr>
              <w:t xml:space="preserve">КЕП (в случай че е приложимо) </w:t>
            </w:r>
            <w:r w:rsidR="00380A94">
              <w:rPr>
                <w:b/>
                <w:lang w:val="bg-BG"/>
              </w:rPr>
              <w:t>съгласно документа за създаване/акта за учр</w:t>
            </w:r>
            <w:r w:rsidR="007B7F4D">
              <w:rPr>
                <w:b/>
                <w:lang w:val="bg-BG"/>
              </w:rPr>
              <w:t xml:space="preserve">едяване </w:t>
            </w:r>
            <w:r w:rsidR="007B7F4D">
              <w:rPr>
                <w:b/>
                <w:lang w:val="en-US"/>
              </w:rPr>
              <w:t xml:space="preserve">- </w:t>
            </w:r>
            <w:r w:rsidR="00380A94">
              <w:rPr>
                <w:b/>
                <w:lang w:val="bg-BG"/>
              </w:rPr>
              <w:t xml:space="preserve">прикачен в ИСУН 2020.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116109" w:rsidP="00BF0E57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361E6D"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 w:rsidR="0073190E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="004436FC" w:rsidRPr="009F3FC4">
              <w:rPr>
                <w:lang w:val="bg-BG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</w:t>
            </w:r>
            <w:r w:rsidR="00BA2F48">
              <w:rPr>
                <w:b/>
                <w:lang w:val="bg-BG"/>
              </w:rPr>
              <w:t xml:space="preserve"> </w:t>
            </w:r>
            <w:r w:rsidR="00BA2F48" w:rsidRPr="004C0EA3">
              <w:rPr>
                <w:b/>
                <w:lang w:val="bg-BG"/>
              </w:rPr>
              <w:t>от законния представител на кандидата</w:t>
            </w:r>
            <w:r w:rsidR="00BA2F48">
              <w:rPr>
                <w:b/>
                <w:lang w:val="bg-BG"/>
              </w:rPr>
              <w:t>,</w:t>
            </w:r>
            <w:r w:rsidR="00BA2F48" w:rsidRPr="004C0EA3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 w:rsidR="00BF0E57">
              <w:rPr>
                <w:b/>
                <w:lang w:val="en-US"/>
              </w:rPr>
              <w:t xml:space="preserve"> - </w:t>
            </w:r>
            <w:r w:rsidR="00926B64" w:rsidRPr="00543AB8">
              <w:rPr>
                <w:b/>
                <w:lang w:val="bg-BG"/>
              </w:rPr>
              <w:t xml:space="preserve">  прикачена в ИСУН 2020.</w:t>
            </w:r>
            <w:r w:rsidR="00926B64"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BF0E57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D93DAF"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>подписана</w:t>
            </w:r>
            <w:r w:rsidR="00F1205E">
              <w:rPr>
                <w:b/>
                <w:lang w:val="bg-BG"/>
              </w:rPr>
              <w:t xml:space="preserve"> </w:t>
            </w:r>
            <w:r w:rsidR="00F1205E" w:rsidRPr="00DE3C38">
              <w:rPr>
                <w:b/>
                <w:lang w:val="bg-BG"/>
              </w:rPr>
              <w:t>от законния представител на кандидата</w:t>
            </w:r>
            <w:r w:rsidR="00F1205E">
              <w:rPr>
                <w:b/>
                <w:lang w:val="bg-BG"/>
              </w:rPr>
              <w:t>,</w:t>
            </w:r>
            <w:r w:rsidR="00F1205E" w:rsidRPr="00DE3C38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 w:rsidR="0054637A">
              <w:rPr>
                <w:b/>
                <w:lang w:val="bg-BG"/>
              </w:rPr>
              <w:t xml:space="preserve">, </w:t>
            </w:r>
            <w:r w:rsidR="00BF0E57">
              <w:rPr>
                <w:b/>
                <w:lang w:val="bg-BG"/>
              </w:rPr>
              <w:t xml:space="preserve">и </w:t>
            </w:r>
            <w:r w:rsidRPr="00543AB8">
              <w:rPr>
                <w:b/>
                <w:lang w:val="bg-BG"/>
              </w:rPr>
              <w:t>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07C6B" w:rsidRPr="00907C6B" w:rsidRDefault="0072334E" w:rsidP="00C4511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Техническа спецификация за предвидените за закупуване </w:t>
            </w:r>
            <w:r w:rsidR="00907C6B">
              <w:rPr>
                <w:lang w:val="bg-BG"/>
              </w:rPr>
              <w:t xml:space="preserve">по проекта </w:t>
            </w:r>
            <w:r w:rsidR="004F4C01">
              <w:rPr>
                <w:lang w:val="bg-BG"/>
              </w:rPr>
              <w:t>активи</w:t>
            </w:r>
            <w:r>
              <w:rPr>
                <w:lang w:val="bg-BG"/>
              </w:rPr>
              <w:t xml:space="preserve"> </w:t>
            </w:r>
            <w:r w:rsidR="00487193" w:rsidRPr="00487193">
              <w:rPr>
                <w:lang w:val="bg-BG"/>
              </w:rPr>
              <w:t>(</w:t>
            </w:r>
            <w:r w:rsidR="00487193" w:rsidRPr="00487193">
              <w:rPr>
                <w:b/>
                <w:lang w:val="bg-BG"/>
              </w:rPr>
              <w:t xml:space="preserve">Приложение </w:t>
            </w:r>
            <w:r w:rsidR="007F208B">
              <w:rPr>
                <w:b/>
                <w:lang w:val="bg-BG"/>
              </w:rPr>
              <w:t>Д</w:t>
            </w:r>
            <w:r w:rsidR="00487193" w:rsidRPr="00487193">
              <w:rPr>
                <w:lang w:val="bg-BG"/>
              </w:rPr>
              <w:t xml:space="preserve"> към Условия</w:t>
            </w:r>
            <w:r w:rsidR="00543AB8">
              <w:rPr>
                <w:lang w:val="bg-BG"/>
              </w:rPr>
              <w:t>та</w:t>
            </w:r>
            <w:r w:rsidR="00487193" w:rsidRPr="00487193">
              <w:rPr>
                <w:lang w:val="bg-BG"/>
              </w:rPr>
              <w:t xml:space="preserve"> за кандидатстване</w:t>
            </w:r>
            <w:r w:rsidR="00487193" w:rsidRPr="009F3FC4">
              <w:rPr>
                <w:lang w:val="bg-BG"/>
              </w:rPr>
              <w:t>)</w:t>
            </w:r>
            <w:r w:rsidR="008946B8">
              <w:rPr>
                <w:lang w:val="bg-BG"/>
              </w:rPr>
              <w:t xml:space="preserve"> – </w:t>
            </w:r>
            <w:r w:rsidR="008946B8" w:rsidRPr="00907C6B">
              <w:rPr>
                <w:b/>
                <w:lang w:val="bg-BG"/>
              </w:rPr>
              <w:t>прикачена в ИСУН 2020.</w:t>
            </w:r>
            <w:r w:rsidR="008946B8">
              <w:rPr>
                <w:lang w:val="bg-BG"/>
              </w:rPr>
              <w:t xml:space="preserve"> </w:t>
            </w:r>
            <w:r w:rsidR="00A23EB9">
              <w:rPr>
                <w:lang w:val="en-US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E22F8" w:rsidTr="00AF5B52">
        <w:tc>
          <w:tcPr>
            <w:tcW w:w="697" w:type="dxa"/>
          </w:tcPr>
          <w:p w:rsidR="009E22F8" w:rsidRPr="00ED5E3C" w:rsidRDefault="009E22F8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D42217" w:rsidRDefault="00D42217" w:rsidP="007F208B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Оферта и/или извлечение от каталог на производител/ доставчик  и/или проучване в интернет за </w:t>
            </w:r>
            <w:r w:rsidRPr="0052749A">
              <w:rPr>
                <w:lang w:val="bg-BG"/>
              </w:rPr>
              <w:lastRenderedPageBreak/>
              <w:t xml:space="preserve">активи/услуги – с предложена цена от производителя/доставчика – </w:t>
            </w:r>
            <w:r w:rsidRPr="0052749A">
              <w:rPr>
                <w:b/>
                <w:lang w:val="bg-BG"/>
              </w:rPr>
              <w:t>прикачена в ИСУН 2020</w:t>
            </w:r>
            <w:r>
              <w:rPr>
                <w:b/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E22F8" w:rsidRPr="00D9309F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44903" w:rsidTr="00AF5B52">
        <w:tc>
          <w:tcPr>
            <w:tcW w:w="697" w:type="dxa"/>
          </w:tcPr>
          <w:p w:rsidR="00944903" w:rsidRPr="00ED5E3C" w:rsidRDefault="00944903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44903" w:rsidRPr="008946B8" w:rsidRDefault="00D42217" w:rsidP="0009248B">
            <w:pPr>
              <w:jc w:val="both"/>
              <w:rPr>
                <w:lang w:val="bg-BG"/>
              </w:rPr>
            </w:pPr>
            <w:r w:rsidRPr="004C22AC">
              <w:rPr>
                <w:lang w:val="bg-BG"/>
              </w:rPr>
              <w:t>Средносрочна рамкова програма за подкрепа на дейности по ОПИК</w:t>
            </w:r>
            <w:r>
              <w:rPr>
                <w:lang w:val="bg-BG"/>
              </w:rPr>
              <w:t xml:space="preserve"> 2014-2020 </w:t>
            </w:r>
            <w:r>
              <w:rPr>
                <w:lang w:val="en-US"/>
              </w:rPr>
              <w:t>(</w:t>
            </w:r>
            <w:r w:rsidRPr="00BE1D87">
              <w:rPr>
                <w:b/>
                <w:lang w:val="bg-BG"/>
              </w:rPr>
              <w:t xml:space="preserve">Приложение </w:t>
            </w:r>
            <w:r w:rsidR="009479A3">
              <w:rPr>
                <w:b/>
                <w:lang w:val="bg-BG"/>
              </w:rPr>
              <w:t>Е</w:t>
            </w:r>
            <w:r>
              <w:rPr>
                <w:lang w:val="en-US"/>
              </w:rPr>
              <w:t>)</w:t>
            </w:r>
            <w:r w:rsidR="0009248B">
              <w:rPr>
                <w:lang w:val="bg-BG"/>
              </w:rPr>
              <w:t xml:space="preserve"> - </w:t>
            </w:r>
            <w:r w:rsidR="0009248B" w:rsidRPr="0009248B">
              <w:rPr>
                <w:b/>
                <w:lang w:val="bg-BG"/>
              </w:rPr>
              <w:t>п</w:t>
            </w:r>
            <w:r w:rsidRPr="004409D2">
              <w:rPr>
                <w:b/>
                <w:lang w:val="bg-BG"/>
              </w:rPr>
              <w:t>рикачена в ИСУН 2020</w:t>
            </w:r>
            <w:r>
              <w:rPr>
                <w:b/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44903" w:rsidRPr="00D9309F" w:rsidRDefault="00944903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8E6E54" w:rsidTr="00AF5B52">
        <w:tc>
          <w:tcPr>
            <w:tcW w:w="697" w:type="dxa"/>
          </w:tcPr>
          <w:p w:rsidR="008E6E54" w:rsidRPr="00ED5E3C" w:rsidRDefault="008E6E54" w:rsidP="008E6E54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8E6E54" w:rsidRPr="004C22AC" w:rsidRDefault="008E6E54" w:rsidP="008E6E5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Количествена сметка на предвидените в проектното предложение СМР – </w:t>
            </w:r>
            <w:r w:rsidRPr="007B7F4D">
              <w:rPr>
                <w:b/>
                <w:lang w:val="bg-BG"/>
              </w:rPr>
              <w:t>прикачена в ИСУН 2020.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8E6E54" w:rsidRPr="00323D14" w:rsidRDefault="008E6E54" w:rsidP="008E6E54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8E6E54" w:rsidRPr="00323D14" w:rsidRDefault="008E6E54" w:rsidP="008E6E54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8E6E54" w:rsidRPr="00323D14" w:rsidRDefault="008E6E54" w:rsidP="008E6E54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8E6E54" w:rsidRPr="00D9309F" w:rsidRDefault="008E6E54" w:rsidP="008E6E54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260183" w:rsidRDefault="00260183" w:rsidP="00EE7945">
      <w:pPr>
        <w:ind w:left="360"/>
        <w:rPr>
          <w:b/>
          <w:lang w:val="bg-BG"/>
        </w:rPr>
      </w:pPr>
    </w:p>
    <w:p w:rsidR="00573374" w:rsidRPr="0060288D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  <w:r w:rsidR="0060288D" w:rsidRPr="0060288D">
        <w:rPr>
          <w:b/>
          <w:lang w:val="bg-BG"/>
        </w:rPr>
        <w:t>.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</w:t>
            </w:r>
            <w:r w:rsidR="00C861E4">
              <w:rPr>
                <w:sz w:val="22"/>
                <w:szCs w:val="22"/>
                <w:lang w:val="en-US"/>
              </w:rPr>
              <w:t>2</w:t>
            </w:r>
            <w:r w:rsidR="00C861E4" w:rsidRPr="00752346">
              <w:rPr>
                <w:sz w:val="22"/>
                <w:szCs w:val="22"/>
                <w:lang w:val="bg-BG"/>
              </w:rPr>
              <w:t xml:space="preserve"> </w:t>
            </w:r>
            <w:r w:rsidR="00752346" w:rsidRPr="00752346">
              <w:rPr>
                <w:sz w:val="22"/>
                <w:szCs w:val="22"/>
                <w:lang w:val="bg-BG"/>
              </w:rPr>
              <w:t>„</w:t>
            </w:r>
            <w:r w:rsidR="00690AAB">
              <w:rPr>
                <w:sz w:val="22"/>
                <w:szCs w:val="22"/>
                <w:lang w:val="bg-BG"/>
              </w:rPr>
              <w:t>Данни за кандидата“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0E1480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2339DF" w:rsidRPr="00D9309F" w:rsidTr="00465B02">
        <w:trPr>
          <w:trHeight w:val="313"/>
        </w:trPr>
        <w:tc>
          <w:tcPr>
            <w:tcW w:w="644" w:type="dxa"/>
            <w:vAlign w:val="center"/>
          </w:tcPr>
          <w:p w:rsidR="002339DF" w:rsidRPr="009F3FC4" w:rsidRDefault="002339DF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2.2.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Pr="001825FA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2.3. Оперативен капацитет – конкретният бенефициент има опит в изпълнението на дейности, сходни с дейностите по настоящия проект и/или опит в </w:t>
            </w:r>
            <w:r>
              <w:rPr>
                <w:lang w:val="bg-BG"/>
              </w:rPr>
              <w:lastRenderedPageBreak/>
              <w:t>изпълнението на проекти, финансирани от различни донори.</w:t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D9309F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2339DF" w:rsidRPr="009F3FC4" w:rsidRDefault="002339DF" w:rsidP="002339DF">
            <w:pPr>
              <w:jc w:val="both"/>
              <w:rPr>
                <w:lang w:val="bg-BG"/>
              </w:rPr>
            </w:pPr>
            <w:r w:rsidRPr="002339DF">
              <w:rPr>
                <w:i/>
                <w:lang w:val="bg-BG"/>
              </w:rPr>
              <w:t xml:space="preserve">Източник за проверка: </w:t>
            </w:r>
            <w:r w:rsidRPr="009F3FC4">
              <w:rPr>
                <w:lang w:val="bg-BG"/>
              </w:rPr>
              <w:t>Формуляр за кандидатстване,  т. 7 „План за изпълнение/Дейности п</w:t>
            </w:r>
            <w:r w:rsidR="0046127E">
              <w:rPr>
                <w:lang w:val="bg-BG"/>
              </w:rPr>
              <w:t>о проекта“;</w:t>
            </w:r>
            <w:r w:rsidR="00A80493">
              <w:rPr>
                <w:lang w:val="bg-BG"/>
              </w:rPr>
              <w:t xml:space="preserve"> т. 9 „Екип“; </w:t>
            </w:r>
            <w:r w:rsidR="0046127E">
              <w:rPr>
                <w:lang w:val="bg-BG"/>
              </w:rPr>
              <w:t>Доклад</w:t>
            </w:r>
            <w:r w:rsidRPr="009F3FC4">
              <w:rPr>
                <w:lang w:val="bg-BG"/>
              </w:rPr>
              <w:t xml:space="preserve"> от извършен анализ и оценка на административния, технически и финансов капацитет за изпълнение на дейности по проекти по ОПИК 2014-2020. </w:t>
            </w:r>
          </w:p>
          <w:p w:rsidR="002339DF" w:rsidRDefault="002339DF" w:rsidP="003C2C12">
            <w:pPr>
              <w:jc w:val="both"/>
              <w:rPr>
                <w:i/>
                <w:lang w:val="bg-BG"/>
              </w:rPr>
            </w:pPr>
            <w:r w:rsidRPr="002339DF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2339DF">
              <w:rPr>
                <w:i/>
                <w:lang w:val="bg-BG"/>
              </w:rPr>
              <w:lastRenderedPageBreak/>
              <w:t>отстраняването</w:t>
            </w:r>
            <w:r w:rsidR="003C2C12">
              <w:rPr>
                <w:i/>
                <w:lang w:val="en-US"/>
              </w:rPr>
              <w:t xml:space="preserve"> </w:t>
            </w:r>
            <w:r w:rsidR="003C2C12">
              <w:rPr>
                <w:i/>
                <w:lang w:val="bg-BG"/>
              </w:rPr>
              <w:t>му</w:t>
            </w:r>
            <w:r w:rsidRPr="002339DF">
              <w:rPr>
                <w:i/>
                <w:lang w:val="bg-BG"/>
              </w:rPr>
              <w:t>.</w:t>
            </w:r>
          </w:p>
        </w:tc>
      </w:tr>
      <w:tr w:rsidR="005F31A4" w:rsidRPr="00D9309F" w:rsidTr="00465B02">
        <w:trPr>
          <w:trHeight w:val="313"/>
        </w:trPr>
        <w:tc>
          <w:tcPr>
            <w:tcW w:w="644" w:type="dxa"/>
            <w:vAlign w:val="center"/>
          </w:tcPr>
          <w:p w:rsidR="005F31A4" w:rsidRPr="009F3FC4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D915B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резултатите от изпълнението на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ползват 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BB6EC7" w:rsidRPr="0052749A" w:rsidRDefault="00A86FFE" w:rsidP="00EC3636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bookmarkStart w:id="0" w:name="_GoBack"/>
            <w:r w:rsidR="00EC3636">
              <w:rPr>
                <w:lang w:val="bg-BG"/>
              </w:rPr>
              <w:t xml:space="preserve">26 </w:t>
            </w:r>
            <w:bookmarkEnd w:id="0"/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2C6144" w:rsidRPr="00D9309F" w:rsidTr="00465B02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8505" w:type="dxa"/>
            <w:vAlign w:val="center"/>
          </w:tcPr>
          <w:p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изисквания на кандидата се дават </w:t>
            </w:r>
            <w:r w:rsidRPr="003C1332">
              <w:rPr>
                <w:i/>
                <w:lang w:val="bg-BG"/>
              </w:rPr>
              <w:lastRenderedPageBreak/>
              <w:t>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lastRenderedPageBreak/>
              <w:t>3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A57A28" w:rsidRPr="0052749A" w:rsidRDefault="00BE6745" w:rsidP="0074268A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по проекта НЕ са </w:t>
            </w:r>
            <w:r w:rsidR="001904FA" w:rsidRPr="0052749A">
              <w:rPr>
                <w:lang w:val="bg-BG"/>
              </w:rPr>
              <w:t xml:space="preserve">били </w:t>
            </w:r>
            <w:r w:rsidRPr="0052749A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52749A">
              <w:rPr>
                <w:lang w:val="bg-BG"/>
              </w:rPr>
              <w:t xml:space="preserve">на проектното предложение </w:t>
            </w:r>
            <w:r w:rsidRPr="0052749A">
              <w:rPr>
                <w:lang w:val="bg-BG"/>
              </w:rPr>
              <w:t>за финансиране</w:t>
            </w:r>
            <w:r w:rsidR="001904FA" w:rsidRPr="0052749A">
              <w:rPr>
                <w:lang w:val="bg-BG"/>
              </w:rPr>
              <w:t xml:space="preserve"> по програмата</w:t>
            </w:r>
            <w:r w:rsidRPr="0052749A">
              <w:rPr>
                <w:lang w:val="bg-BG"/>
              </w:rPr>
              <w:t xml:space="preserve">, </w:t>
            </w:r>
            <w:r w:rsidR="004668FB" w:rsidRPr="0052749A">
              <w:rPr>
                <w:lang w:val="bg-BG"/>
              </w:rPr>
              <w:t xml:space="preserve">независимо дали всички </w:t>
            </w:r>
            <w:r w:rsidR="001904FA" w:rsidRPr="0052749A">
              <w:rPr>
                <w:lang w:val="bg-BG"/>
              </w:rPr>
              <w:t>свързани плащания са направени от бенефициента или не</w:t>
            </w:r>
            <w:r w:rsidR="00990C49" w:rsidRPr="0052749A">
              <w:rPr>
                <w:lang w:val="bg-BG"/>
              </w:rPr>
              <w:t xml:space="preserve"> съгласно т.1 , т.7 и  т.10 от Формуляра за кандидатстване</w:t>
            </w:r>
            <w:r w:rsidR="0074268A">
              <w:rPr>
                <w:lang w:val="bg-BG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D915B4" w:rsidRPr="00D9309F" w:rsidTr="00465B02">
        <w:trPr>
          <w:trHeight w:val="313"/>
        </w:trPr>
        <w:tc>
          <w:tcPr>
            <w:tcW w:w="644" w:type="dxa"/>
            <w:vAlign w:val="center"/>
          </w:tcPr>
          <w:p w:rsidR="00D915B4" w:rsidRPr="00D9309F" w:rsidRDefault="00D915B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D915B4" w:rsidRDefault="00D915B4" w:rsidP="003008C0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проектното предложение са присъединени</w:t>
            </w:r>
            <w:r w:rsidR="005A4252">
              <w:rPr>
                <w:lang w:val="bg-BG"/>
              </w:rPr>
              <w:t>/включени</w:t>
            </w:r>
            <w:r>
              <w:rPr>
                <w:lang w:val="bg-BG"/>
              </w:rPr>
              <w:t xml:space="preserve"> всички индикатори за изпълнение, които кандидатът </w:t>
            </w:r>
            <w:r w:rsidRPr="00B92A22">
              <w:rPr>
                <w:lang w:val="bg-BG"/>
              </w:rPr>
              <w:t>предвижда да постиг</w:t>
            </w:r>
            <w:r>
              <w:rPr>
                <w:lang w:val="bg-BG"/>
              </w:rPr>
              <w:t xml:space="preserve">не с изпълнението на </w:t>
            </w:r>
            <w:r w:rsidRPr="00B92A22">
              <w:rPr>
                <w:lang w:val="bg-BG"/>
              </w:rPr>
              <w:t>проект</w:t>
            </w:r>
            <w:r>
              <w:rPr>
                <w:lang w:val="bg-BG"/>
              </w:rPr>
              <w:t>а</w:t>
            </w:r>
            <w:r w:rsidRPr="00B92A22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A81AF6" w:rsidRDefault="005A4252" w:rsidP="00A81AF6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>
              <w:rPr>
                <w:lang w:val="bg-BG"/>
              </w:rPr>
              <w:t>,</w:t>
            </w:r>
            <w:r>
              <w:rPr>
                <w:sz w:val="22"/>
                <w:szCs w:val="22"/>
                <w:lang w:val="bg-BG"/>
              </w:rPr>
              <w:t xml:space="preserve"> т.</w:t>
            </w:r>
            <w:r w:rsidR="00BE6C4D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8</w:t>
            </w:r>
            <w:r w:rsidRPr="004D1F61">
              <w:rPr>
                <w:sz w:val="22"/>
                <w:szCs w:val="22"/>
                <w:lang w:val="bg-BG"/>
              </w:rPr>
              <w:t xml:space="preserve"> „</w:t>
            </w:r>
            <w:r>
              <w:rPr>
                <w:sz w:val="22"/>
                <w:szCs w:val="22"/>
                <w:lang w:val="bg-BG"/>
              </w:rPr>
              <w:t xml:space="preserve">Индикатори“; Средносрочна рамкова програма. </w:t>
            </w:r>
          </w:p>
          <w:p w:rsidR="00D915B4" w:rsidRPr="00A81AF6" w:rsidRDefault="00D915B4" w:rsidP="00A81AF6">
            <w:pPr>
              <w:jc w:val="both"/>
              <w:rPr>
                <w:i/>
                <w:lang w:val="bg-BG"/>
              </w:rPr>
            </w:pPr>
            <w:r w:rsidRPr="00A81AF6">
              <w:rPr>
                <w:i/>
                <w:lang w:val="bg-BG"/>
              </w:rPr>
              <w:t>В случай че във Формуляра за кандидатстване не са присъеди</w:t>
            </w:r>
            <w:r w:rsidR="005A4252" w:rsidRPr="00A81AF6">
              <w:rPr>
                <w:i/>
                <w:lang w:val="bg-BG"/>
              </w:rPr>
              <w:t>нени/</w:t>
            </w:r>
            <w:r w:rsidRPr="00A81AF6">
              <w:rPr>
                <w:i/>
                <w:lang w:val="bg-BG"/>
              </w:rPr>
              <w:t xml:space="preserve">включени </w:t>
            </w:r>
            <w:r w:rsidR="005A4252" w:rsidRPr="00A81AF6">
              <w:rPr>
                <w:i/>
                <w:lang w:val="bg-BG"/>
              </w:rPr>
              <w:t xml:space="preserve">всички </w:t>
            </w:r>
            <w:r w:rsidRPr="00A81AF6">
              <w:rPr>
                <w:i/>
                <w:lang w:val="bg-BG"/>
              </w:rPr>
              <w:t xml:space="preserve">индикатори за изпълнение и/или заложената целева стойност на индикаторите е нула, </w:t>
            </w:r>
            <w:r w:rsidR="00E66044" w:rsidRPr="00A81AF6">
              <w:rPr>
                <w:i/>
                <w:lang w:val="bg-BG"/>
              </w:rPr>
              <w:t>до кандидата ще бъде изпратено искане за отстраняване на нередовности.</w:t>
            </w:r>
          </w:p>
        </w:tc>
      </w:tr>
    </w:tbl>
    <w:p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E419BB">
        <w:rPr>
          <w:b/>
          <w:lang w:val="en-US"/>
        </w:rPr>
        <w:t>II</w:t>
      </w:r>
      <w:r w:rsidR="00E419BB" w:rsidRPr="009F3FC4">
        <w:rPr>
          <w:b/>
          <w:lang w:val="bg-BG"/>
        </w:rPr>
        <w:t xml:space="preserve">. </w:t>
      </w:r>
      <w:r w:rsidR="00215587" w:rsidRPr="00B3571E">
        <w:rPr>
          <w:b/>
          <w:lang w:val="bg-BG"/>
        </w:rPr>
        <w:t>Критерии за техническа</w:t>
      </w:r>
      <w:r w:rsidR="00230E36" w:rsidRPr="009F3FC4">
        <w:rPr>
          <w:b/>
          <w:lang w:val="bg-BG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8617"/>
        <w:gridCol w:w="561"/>
        <w:gridCol w:w="574"/>
        <w:gridCol w:w="574"/>
        <w:gridCol w:w="4021"/>
      </w:tblGrid>
      <w:tr w:rsidR="00AE7AB7" w:rsidRPr="00D9309F" w:rsidTr="00567450">
        <w:trPr>
          <w:trHeight w:val="225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D3D5A" w:rsidRPr="00D9309F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6D3D5A" w:rsidRPr="005C069E" w:rsidRDefault="005C069E" w:rsidP="005C069E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6D3D5A" w:rsidRPr="0052749A" w:rsidRDefault="006D3D5A" w:rsidP="00AF5B52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Цел на проекта, описание на дейностите и организация на изпълнението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6D3D5A" w:rsidRDefault="006D3D5A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D9309F" w:rsidTr="001D34D4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020C8E" w:rsidRPr="0052749A" w:rsidRDefault="00020C8E" w:rsidP="00AF5B52">
            <w:pPr>
              <w:jc w:val="both"/>
              <w:rPr>
                <w:lang w:val="bg-BG"/>
              </w:rPr>
            </w:pPr>
            <w:r w:rsidRPr="00020C8E">
              <w:rPr>
                <w:lang w:val="bg-BG"/>
              </w:rPr>
              <w:t>Проектното предложение допринася за постигане на специфичната цел на инвестиционния приоритет и целта на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D9309F" w:rsidRDefault="00DC4CE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lastRenderedPageBreak/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9F3FC4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D318F9" w:rsidRDefault="00D318F9" w:rsidP="00E75D22">
            <w:pPr>
              <w:jc w:val="both"/>
              <w:rPr>
                <w:lang w:val="bg-BG"/>
              </w:rPr>
            </w:pPr>
            <w:r w:rsidRPr="008E6E54">
              <w:rPr>
                <w:lang w:val="bg-BG"/>
              </w:rPr>
              <w:t>Проектното предложение е в съответствие с приложимите хоризонтални принципи, залегнали в чл.7 и чл.8 на Регламент (ЕС) № 1303/2013 на Европейския парламент и на Съвета, посочени в Условията за кандидатстване:</w:t>
            </w:r>
            <w:r>
              <w:rPr>
                <w:lang w:val="bg-BG"/>
              </w:rPr>
              <w:t xml:space="preserve"> </w:t>
            </w:r>
          </w:p>
          <w:p w:rsidR="00D318F9" w:rsidRDefault="00D318F9" w:rsidP="00E75D22">
            <w:pPr>
              <w:jc w:val="both"/>
              <w:rPr>
                <w:lang w:val="bg-BG"/>
              </w:rPr>
            </w:pPr>
          </w:p>
          <w:p w:rsidR="009F1CBF" w:rsidRDefault="009F1CBF" w:rsidP="00E75D22">
            <w:pP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Насърчаване на равенството между мъжете и жените и на недискриминацията – проектът насърчава равните възможности за всички, независимо от пол и етническа принадлежност, религия или вероизповедание, включително възможностите за достъп за хора с увреждания чрез интегрирането на принципа на недискримин</w:t>
            </w:r>
            <w:r w:rsidR="007D594D">
              <w:rPr>
                <w:lang w:val="bg-BG"/>
              </w:rPr>
              <w:t xml:space="preserve">ация. </w:t>
            </w:r>
          </w:p>
          <w:p w:rsidR="007D594D" w:rsidRPr="007D594D" w:rsidRDefault="007D594D" w:rsidP="00E75D22">
            <w:pPr>
              <w:contextualSpacing/>
              <w:jc w:val="both"/>
              <w:rPr>
                <w:lang w:val="bg-BG"/>
              </w:rPr>
            </w:pPr>
          </w:p>
          <w:p w:rsidR="009F1CBF" w:rsidRPr="007D594D" w:rsidRDefault="009F1CBF" w:rsidP="00E75D22">
            <w:pP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 Устойчиво развитие 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</w:t>
            </w:r>
            <w:r>
              <w:rPr>
                <w:rFonts w:ascii="Calibri" w:eastAsia="Calibri" w:hAnsi="Calibri"/>
              </w:rPr>
              <w:t xml:space="preserve"> </w:t>
            </w:r>
            <w:r w:rsidRPr="007D594D">
              <w:rPr>
                <w:lang w:val="bg-BG"/>
              </w:rPr>
              <w:t>разнообразие, устойчивостта на природни бедствия, както и превенцията и управлението на риска.</w:t>
            </w:r>
          </w:p>
          <w:p w:rsidR="005C069E" w:rsidRPr="0052749A" w:rsidRDefault="005C069E" w:rsidP="0052749A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Pr="009F3FC4" w:rsidRDefault="000A7A7D" w:rsidP="00AF5B52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  <w:r w:rsidR="00760952">
              <w:rPr>
                <w:sz w:val="22"/>
                <w:szCs w:val="22"/>
                <w:lang w:val="bg-BG"/>
              </w:rPr>
              <w:t>.</w:t>
            </w:r>
          </w:p>
          <w:p w:rsidR="00760952" w:rsidRDefault="00760952" w:rsidP="00AF5B52">
            <w:pPr>
              <w:jc w:val="both"/>
              <w:rPr>
                <w:i/>
                <w:lang w:val="bg-BG"/>
              </w:rPr>
            </w:pPr>
          </w:p>
          <w:p w:rsidR="00AE7AB7" w:rsidRPr="00D9309F" w:rsidRDefault="00AE7AB7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BF2FBE" w:rsidRPr="0052749A" w:rsidRDefault="00D318F9" w:rsidP="00AF5B52">
            <w:pPr>
              <w:jc w:val="both"/>
              <w:rPr>
                <w:bCs/>
                <w:lang w:val="bg-BG"/>
              </w:rPr>
            </w:pPr>
            <w:r w:rsidRPr="00D318F9">
              <w:rPr>
                <w:lang w:val="bg-BG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241C11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241C11" w:rsidRPr="00724D71">
              <w:rPr>
                <w:sz w:val="22"/>
                <w:szCs w:val="22"/>
                <w:lang w:val="bg-BG"/>
              </w:rPr>
              <w:t xml:space="preserve">“; </w:t>
            </w:r>
            <w:r w:rsidR="00B26782" w:rsidRPr="00724D71">
              <w:rPr>
                <w:sz w:val="22"/>
                <w:szCs w:val="22"/>
                <w:lang w:val="bg-BG"/>
              </w:rPr>
              <w:t>т. 11 „Допълнителна информация,</w:t>
            </w:r>
            <w:r w:rsidR="00B26782">
              <w:rPr>
                <w:sz w:val="22"/>
                <w:szCs w:val="22"/>
                <w:lang w:val="bg-BG"/>
              </w:rPr>
              <w:t xml:space="preserve"> необходима за оценка на проектното предложение</w:t>
            </w:r>
            <w:r w:rsidR="006B2D91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D9309F" w:rsidRDefault="00C3636E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3C1332">
              <w:rPr>
                <w:i/>
                <w:lang w:val="bg-BG"/>
              </w:rPr>
              <w:lastRenderedPageBreak/>
              <w:t>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152E0D" w:rsidRPr="00E80DC0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152E0D" w:rsidRPr="005C069E" w:rsidRDefault="00152E0D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152E0D" w:rsidRPr="0052749A" w:rsidRDefault="00152E0D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Ефективност на дейностите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4D73CD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152E0D" w:rsidRDefault="00152E0D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E80DC0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152E0D" w:rsidP="00152E0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BF2FBE" w:rsidRPr="00BF2FBE" w:rsidRDefault="00D318F9" w:rsidP="00E65328">
            <w:pPr>
              <w:jc w:val="both"/>
              <w:rPr>
                <w:lang w:val="bg-BG"/>
              </w:rPr>
            </w:pPr>
            <w:r w:rsidRPr="00D318F9">
              <w:rPr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 и нейният принос за постигане на очакваните резултати</w:t>
            </w:r>
            <w:r>
              <w:rPr>
                <w:rFonts w:ascii="Verdana" w:hAnsi="Verdana"/>
              </w:rPr>
              <w:t>.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67143F">
              <w:rPr>
                <w:sz w:val="22"/>
                <w:szCs w:val="22"/>
                <w:lang w:val="bg-BG"/>
              </w:rPr>
              <w:t>, т. 1 „Основни данни“; т. 7 „План за изпълнение/Дейности по проекта“; т. 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E80DC0" w:rsidRDefault="00C3636E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7D3498" w:rsidP="007D349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2</w:t>
            </w:r>
            <w:r w:rsidR="00AE7AB7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vAlign w:val="center"/>
          </w:tcPr>
          <w:p w:rsidR="001E057D" w:rsidRPr="0052749A" w:rsidRDefault="009B4C5A" w:rsidP="009B4C5A">
            <w:pPr>
              <w:jc w:val="both"/>
              <w:rPr>
                <w:lang w:val="bg-BG"/>
              </w:rPr>
            </w:pPr>
            <w:r w:rsidRPr="009B4C5A">
              <w:rPr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</w:t>
            </w:r>
            <w:r>
              <w:rPr>
                <w:lang w:val="bg-BG"/>
              </w:rPr>
              <w:t xml:space="preserve">. </w:t>
            </w:r>
            <w:r w:rsidR="00385FBA">
              <w:rPr>
                <w:lang w:val="bg-BG"/>
              </w:rPr>
              <w:t xml:space="preserve">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>, т. 7</w:t>
            </w:r>
            <w:r w:rsidR="003D2F16" w:rsidRPr="00D7086B">
              <w:rPr>
                <w:sz w:val="22"/>
                <w:szCs w:val="22"/>
                <w:lang w:val="bg-BG"/>
              </w:rPr>
              <w:t xml:space="preserve"> </w:t>
            </w:r>
            <w:r w:rsidR="003D2F16">
              <w:rPr>
                <w:sz w:val="22"/>
                <w:szCs w:val="22"/>
                <w:lang w:val="bg-BG"/>
              </w:rPr>
              <w:t>„</w:t>
            </w:r>
            <w:r w:rsidR="003D2F16" w:rsidRPr="00D7086B">
              <w:rPr>
                <w:sz w:val="22"/>
                <w:szCs w:val="22"/>
                <w:lang w:val="bg-BG"/>
              </w:rPr>
              <w:t>План за изпълнение/Дейности по проекта“</w:t>
            </w:r>
            <w:r w:rsidR="000E1480">
              <w:rPr>
                <w:sz w:val="22"/>
                <w:szCs w:val="22"/>
                <w:lang w:val="bg-BG"/>
              </w:rPr>
              <w:t xml:space="preserve">, </w:t>
            </w:r>
            <w:r w:rsidR="000E1480" w:rsidRPr="000E1480">
              <w:rPr>
                <w:sz w:val="22"/>
                <w:szCs w:val="22"/>
                <w:lang w:val="bg-BG"/>
              </w:rPr>
              <w:t xml:space="preserve">т.10 </w:t>
            </w:r>
            <w:r w:rsidR="0098678C">
              <w:rPr>
                <w:sz w:val="22"/>
                <w:szCs w:val="22"/>
                <w:lang w:val="en-US"/>
              </w:rPr>
              <w:t xml:space="preserve"> </w:t>
            </w:r>
            <w:r w:rsidR="0098678C">
              <w:rPr>
                <w:sz w:val="22"/>
                <w:szCs w:val="22"/>
                <w:lang w:val="bg-BG"/>
              </w:rPr>
              <w:t>„</w:t>
            </w:r>
            <w:r w:rsidR="000E1480" w:rsidRPr="000E1480">
              <w:rPr>
                <w:sz w:val="22"/>
                <w:szCs w:val="22"/>
                <w:lang w:val="bg-BG"/>
              </w:rPr>
              <w:t>План за външно възлагане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3D2F16">
              <w:rPr>
                <w:sz w:val="22"/>
                <w:szCs w:val="22"/>
                <w:lang w:val="bg-BG"/>
              </w:rPr>
              <w:t xml:space="preserve"> 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C3636E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51"/>
        </w:trPr>
        <w:tc>
          <w:tcPr>
            <w:tcW w:w="652" w:type="dxa"/>
            <w:vAlign w:val="center"/>
          </w:tcPr>
          <w:p w:rsidR="00AE7AB7" w:rsidRPr="00D9309F" w:rsidRDefault="00043B3F" w:rsidP="00043B3F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385FBA" w:rsidRPr="0052749A" w:rsidRDefault="00862EEC" w:rsidP="002D262A">
            <w:pPr>
              <w:jc w:val="both"/>
              <w:rPr>
                <w:lang w:val="bg-BG"/>
              </w:rPr>
            </w:pPr>
            <w:r w:rsidRPr="00862EEC">
              <w:rPr>
                <w:lang w:val="bg-BG"/>
              </w:rPr>
              <w:t>Планът за външно възлагане е в съответствие с предвидените дейности, като кандидатът е предвидил механизми, позволяващи мониторинг и текущ контрол на изпълнението на предвидените поръчки  и своевременното предприемане на корективни мерки.</w:t>
            </w: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 xml:space="preserve">, </w:t>
            </w:r>
            <w:r w:rsidR="0000294F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07052F">
              <w:rPr>
                <w:sz w:val="22"/>
                <w:szCs w:val="22"/>
                <w:lang w:val="bg-BG"/>
              </w:rPr>
              <w:t>“</w:t>
            </w:r>
            <w:r w:rsidR="0000294F">
              <w:rPr>
                <w:sz w:val="22"/>
                <w:szCs w:val="22"/>
                <w:lang w:val="bg-BG"/>
              </w:rPr>
              <w:t xml:space="preserve">; </w:t>
            </w:r>
            <w:r w:rsidR="00C57C04">
              <w:rPr>
                <w:sz w:val="22"/>
                <w:szCs w:val="22"/>
                <w:lang w:val="bg-BG"/>
              </w:rPr>
              <w:t>т.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2150D5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vAlign w:val="center"/>
          </w:tcPr>
          <w:p w:rsidR="006B3FCC" w:rsidRPr="00D9309F" w:rsidRDefault="006B3FCC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6B3FCC" w:rsidRPr="0052749A" w:rsidRDefault="006B3FCC" w:rsidP="006B3FCC">
            <w:pPr>
              <w:jc w:val="both"/>
              <w:rPr>
                <w:lang w:val="bg-BG"/>
              </w:rPr>
            </w:pPr>
            <w:r w:rsidRPr="006B3FCC">
              <w:rPr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561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6B3FCC" w:rsidRPr="004D73CD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6B3FCC" w:rsidRPr="009F3FC4" w:rsidRDefault="006B3FCC" w:rsidP="007A4F36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7552F4" w:rsidRPr="007552F4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7552F4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11 „Допълнителна информация, необходима за оценка на проектното предложение“; Средносрочна рамкова програма.</w:t>
            </w:r>
          </w:p>
          <w:p w:rsidR="006B3FCC" w:rsidRPr="00D9309F" w:rsidRDefault="006B3FCC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vAlign w:val="center"/>
          </w:tcPr>
          <w:p w:rsidR="006B3FCC" w:rsidRPr="00D9309F" w:rsidRDefault="006B3FCC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6B3FCC" w:rsidRPr="0052749A" w:rsidRDefault="00B21E8D" w:rsidP="00B21E8D">
            <w:pPr>
              <w:jc w:val="both"/>
              <w:rPr>
                <w:lang w:val="bg-BG"/>
              </w:rPr>
            </w:pPr>
            <w:r w:rsidRPr="00B21E8D">
              <w:rPr>
                <w:lang w:val="bg-BG"/>
              </w:rPr>
              <w:t>Конкретният бенефициент е предложил екип с подходяща квалификация и опит за изпълнението на дейностите по проекта. Предложено е ясно разделение на отговорностите и функциите между отделните членове на екипа.</w:t>
            </w:r>
          </w:p>
        </w:tc>
        <w:tc>
          <w:tcPr>
            <w:tcW w:w="561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D9309F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6B3FCC" w:rsidRDefault="006B3FCC" w:rsidP="000A7A7D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7552F4" w:rsidRPr="007552F4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7552F4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9 „Екип“; Средносрочна рамкова програма. </w:t>
            </w:r>
          </w:p>
          <w:p w:rsidR="006B3FCC" w:rsidRPr="00D9309F" w:rsidRDefault="006B3FCC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shd w:val="pct5" w:color="auto" w:fill="auto"/>
            <w:vAlign w:val="center"/>
          </w:tcPr>
          <w:p w:rsidR="006B3FCC" w:rsidRPr="005C069E" w:rsidRDefault="006B3FCC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6B3FCC" w:rsidRPr="0052749A" w:rsidRDefault="006B3FCC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Бюджет и ефективност на разходите</w:t>
            </w:r>
            <w:r w:rsidRPr="0052749A">
              <w:rPr>
                <w:b/>
              </w:rPr>
              <w:t xml:space="preserve">  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B3FCC" w:rsidRPr="004D73CD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6B3FCC" w:rsidRDefault="006B3FCC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vAlign w:val="center"/>
          </w:tcPr>
          <w:p w:rsidR="006B3FCC" w:rsidRDefault="006B3FCC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6B3FCC" w:rsidRPr="008A35FE" w:rsidRDefault="00B21E8D" w:rsidP="00B21E8D">
            <w:pPr>
              <w:jc w:val="both"/>
              <w:rPr>
                <w:lang w:val="bg-BG"/>
              </w:rPr>
            </w:pPr>
            <w:r w:rsidRPr="00B21E8D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финансирането, на които кандидатства по настоящата процедура.</w:t>
            </w:r>
            <w:r w:rsidR="008011A3">
              <w:rPr>
                <w:rStyle w:val="FootnoteReference"/>
                <w:lang w:val="bg-BG"/>
              </w:rPr>
              <w:footnoteReference w:id="3"/>
            </w:r>
          </w:p>
        </w:tc>
        <w:tc>
          <w:tcPr>
            <w:tcW w:w="561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6B3FCC" w:rsidRPr="004D73CD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6B3FCC" w:rsidRDefault="006B3FCC" w:rsidP="007A4F36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7552F4" w:rsidRPr="007552F4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7552F4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Приложение Б; </w:t>
            </w:r>
            <w:r w:rsidRPr="00953DA5">
              <w:rPr>
                <w:sz w:val="22"/>
                <w:szCs w:val="22"/>
                <w:lang w:val="bg-BG"/>
              </w:rPr>
              <w:t xml:space="preserve">Бюджет на проекта (т. 5 </w:t>
            </w:r>
            <w:r w:rsidR="00033C7E">
              <w:rPr>
                <w:sz w:val="22"/>
                <w:szCs w:val="22"/>
                <w:lang w:val="bg-BG"/>
              </w:rPr>
              <w:t>„Бюджет“</w:t>
            </w:r>
            <w:r w:rsidRPr="00953DA5">
              <w:rPr>
                <w:sz w:val="22"/>
                <w:szCs w:val="22"/>
                <w:lang w:val="bg-BG"/>
              </w:rPr>
              <w:t>от Формуляра за кандидатстване);</w:t>
            </w:r>
            <w:r>
              <w:rPr>
                <w:sz w:val="22"/>
                <w:szCs w:val="22"/>
                <w:lang w:val="bg-BG"/>
              </w:rPr>
              <w:t xml:space="preserve"> т. 6 „Финансова информация – източници на финансиране“; Средносрочна рамкова програма</w:t>
            </w:r>
            <w:r w:rsidR="000D7B80">
              <w:rPr>
                <w:sz w:val="22"/>
                <w:szCs w:val="22"/>
                <w:lang w:val="bg-BG"/>
              </w:rPr>
              <w:t xml:space="preserve">; </w:t>
            </w:r>
            <w:r w:rsidR="00DA660C">
              <w:rPr>
                <w:sz w:val="22"/>
                <w:szCs w:val="22"/>
                <w:lang w:val="bg-BG"/>
              </w:rPr>
              <w:t xml:space="preserve">Приложение Б - </w:t>
            </w:r>
            <w:r w:rsidR="00DA660C" w:rsidRPr="00DA660C">
              <w:rPr>
                <w:sz w:val="22"/>
                <w:szCs w:val="22"/>
                <w:lang w:val="bg-BG"/>
              </w:rPr>
              <w:t xml:space="preserve">Декларация, че кандидатът е запознат с условията за кандидатстване и условията за </w:t>
            </w:r>
            <w:r w:rsidR="00DA660C" w:rsidRPr="00DA660C">
              <w:rPr>
                <w:sz w:val="22"/>
                <w:szCs w:val="22"/>
                <w:lang w:val="bg-BG"/>
              </w:rPr>
              <w:lastRenderedPageBreak/>
              <w:t>изпълнение</w:t>
            </w:r>
            <w:r w:rsidR="00DA660C">
              <w:rPr>
                <w:sz w:val="22"/>
                <w:szCs w:val="22"/>
                <w:lang w:val="bg-BG"/>
              </w:rPr>
              <w:t xml:space="preserve">. </w:t>
            </w:r>
          </w:p>
          <w:p w:rsidR="006B3FCC" w:rsidRPr="00D9309F" w:rsidRDefault="006B3FCC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vAlign w:val="center"/>
          </w:tcPr>
          <w:p w:rsidR="006B3FCC" w:rsidRPr="00D9309F" w:rsidRDefault="006B3FCC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2. </w:t>
            </w:r>
          </w:p>
        </w:tc>
        <w:tc>
          <w:tcPr>
            <w:tcW w:w="8617" w:type="dxa"/>
            <w:vAlign w:val="center"/>
          </w:tcPr>
          <w:p w:rsidR="006B3FCC" w:rsidRPr="0052749A" w:rsidRDefault="00B21E8D" w:rsidP="00AF5B52">
            <w:pPr>
              <w:spacing w:before="60" w:after="60"/>
              <w:jc w:val="both"/>
              <w:rPr>
                <w:lang w:val="bg-BG"/>
              </w:rPr>
            </w:pPr>
            <w:r w:rsidRPr="00B21E8D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изпълнение.</w:t>
            </w:r>
          </w:p>
        </w:tc>
        <w:tc>
          <w:tcPr>
            <w:tcW w:w="561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D9309F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6B3FCC" w:rsidRDefault="006B3FCC" w:rsidP="000A7A7D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7552F4" w:rsidRPr="007552F4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7552F4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0E1480">
              <w:rPr>
                <w:sz w:val="22"/>
                <w:szCs w:val="22"/>
                <w:lang w:val="bg-BG"/>
              </w:rPr>
              <w:t>и т. 7 „План за изпълнение/Дейности по проекта“</w:t>
            </w:r>
          </w:p>
          <w:p w:rsidR="006B3FCC" w:rsidRPr="00D9309F" w:rsidRDefault="006B3FCC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vAlign w:val="center"/>
          </w:tcPr>
          <w:p w:rsidR="006B3FCC" w:rsidRPr="00D9309F" w:rsidRDefault="006B3FCC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6B3FCC" w:rsidRPr="006866E8" w:rsidRDefault="008E7DFC" w:rsidP="00AF5B52">
            <w:pPr>
              <w:spacing w:before="60" w:after="60"/>
              <w:jc w:val="both"/>
              <w:rPr>
                <w:lang w:val="bg-BG"/>
              </w:rPr>
            </w:pPr>
            <w:r w:rsidRPr="008E7DFC">
              <w:rPr>
                <w:lang w:val="bg-BG"/>
              </w:rPr>
              <w:t>Всички разходи са ефективни, обосновани и допустими съгласно Условията за кандидатстване, като заложените стойности в бюджета са съпоставими с пазарните цени.</w:t>
            </w:r>
          </w:p>
        </w:tc>
        <w:tc>
          <w:tcPr>
            <w:tcW w:w="561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D9309F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6B3FCC" w:rsidRDefault="006B3FCC" w:rsidP="001E3D33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7552F4" w:rsidRPr="007552F4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7552F4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  <w:r>
              <w:rPr>
                <w:sz w:val="22"/>
                <w:szCs w:val="22"/>
                <w:lang w:val="bg-BG"/>
              </w:rPr>
              <w:t xml:space="preserve">; </w:t>
            </w:r>
            <w:r w:rsidRPr="00D62CE6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проекта“, 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1E3D33">
              <w:rPr>
                <w:sz w:val="22"/>
                <w:szCs w:val="22"/>
                <w:lang w:val="bg-BG"/>
              </w:rPr>
              <w:t>Техническа спецификация на предвидените за закупуване активи/услуги</w:t>
            </w:r>
            <w:r>
              <w:rPr>
                <w:sz w:val="22"/>
                <w:szCs w:val="22"/>
                <w:lang w:val="bg-BG"/>
              </w:rPr>
              <w:t xml:space="preserve">; </w:t>
            </w:r>
            <w:r w:rsidRPr="0052749A">
              <w:rPr>
                <w:lang w:val="bg-BG"/>
              </w:rPr>
              <w:t>Оферта и/или извлечение от каталог на производител/ доставчик  и/или проучване в интернет за активи/услуги</w:t>
            </w:r>
            <w:r>
              <w:rPr>
                <w:lang w:val="bg-BG"/>
              </w:rPr>
              <w:t xml:space="preserve">. </w:t>
            </w:r>
          </w:p>
          <w:p w:rsidR="006B3FCC" w:rsidRPr="00D9309F" w:rsidRDefault="006B3FCC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6B3FCC" w:rsidRPr="00D9309F" w:rsidTr="00567450">
        <w:trPr>
          <w:trHeight w:val="351"/>
        </w:trPr>
        <w:tc>
          <w:tcPr>
            <w:tcW w:w="652" w:type="dxa"/>
            <w:vAlign w:val="center"/>
          </w:tcPr>
          <w:p w:rsidR="006B3FCC" w:rsidRPr="00D9309F" w:rsidRDefault="006B3FCC" w:rsidP="00B920A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4. </w:t>
            </w:r>
          </w:p>
        </w:tc>
        <w:tc>
          <w:tcPr>
            <w:tcW w:w="8617" w:type="dxa"/>
            <w:vAlign w:val="center"/>
          </w:tcPr>
          <w:p w:rsidR="006B3FCC" w:rsidRPr="0052749A" w:rsidRDefault="008E7DFC" w:rsidP="00AF5B52">
            <w:pPr>
              <w:spacing w:before="60" w:after="60"/>
              <w:jc w:val="both"/>
              <w:rPr>
                <w:lang w:val="bg-BG"/>
              </w:rPr>
            </w:pPr>
            <w:r w:rsidRPr="008E7DFC">
              <w:rPr>
                <w:lang w:val="bg-BG"/>
              </w:rPr>
              <w:t>Размерът на исканата безвъзмездна финансова помощ е в съответствие с максималния размер, указан в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D9309F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6B3FCC" w:rsidRPr="00323D14" w:rsidRDefault="006B3FC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97FE5">
              <w:rPr>
                <w:sz w:val="22"/>
                <w:szCs w:val="22"/>
                <w:lang w:val="bg-BG"/>
              </w:rPr>
            </w:r>
            <w:r w:rsidR="00797FE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6B3FCC" w:rsidRDefault="006B3FCC" w:rsidP="000A7A7D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7552F4" w:rsidRPr="007552F4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7552F4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Бюджет на проекта (т. 5 от Формуляра за кандидатстване)</w:t>
            </w:r>
          </w:p>
          <w:p w:rsidR="006B3FCC" w:rsidRPr="00D9309F" w:rsidRDefault="006B3FCC" w:rsidP="0002287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lastRenderedPageBreak/>
              <w:t>При несъответствие с посочените изисквания на кандидата се дават указания и му се предоставя срок за от</w:t>
            </w:r>
            <w:r>
              <w:rPr>
                <w:i/>
                <w:lang w:val="bg-BG"/>
              </w:rPr>
              <w:t xml:space="preserve">страняването му </w:t>
            </w:r>
            <w:r w:rsidRPr="00022870">
              <w:rPr>
                <w:i/>
                <w:lang w:val="bg-BG"/>
              </w:rPr>
              <w:t>или оценителната комисия извършва служебна корекция..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A3135E" w:rsidRPr="007A2B61" w:rsidRDefault="00A3135E" w:rsidP="00A66560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  <w:r w:rsidRPr="00A3135E">
        <w:rPr>
          <w:bCs/>
          <w:sz w:val="22"/>
          <w:szCs w:val="22"/>
          <w:lang w:val="bg-BG"/>
        </w:rPr>
        <w:t xml:space="preserve">В случай че по време на оценката се установи наличие на недопустими или необосновани разходи,  съответните разходи от бюджета на проекта ще бъдат служебно премахвани/коригирани или на кандидата ще бъдат предоставяни указания и срок за отстраняване на установените нередовности, непълноти и/или несъответствия. Служебна корекция в бюджета ще бъде извършвана и при установено несъответствие в заложения в бюджета конкретен процент на единната ставка за разходите за организация и управление.  </w:t>
      </w:r>
    </w:p>
    <w:sectPr w:rsidR="00A3135E" w:rsidRPr="007A2B61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E5" w:rsidRDefault="00797FE5">
      <w:r>
        <w:separator/>
      </w:r>
    </w:p>
  </w:endnote>
  <w:endnote w:type="continuationSeparator" w:id="0">
    <w:p w:rsidR="00797FE5" w:rsidRDefault="00797FE5">
      <w:r>
        <w:continuationSeparator/>
      </w:r>
    </w:p>
  </w:endnote>
  <w:endnote w:type="continuationNotice" w:id="1">
    <w:p w:rsidR="00797FE5" w:rsidRDefault="00797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6FAF">
      <w:rPr>
        <w:rStyle w:val="PageNumber"/>
        <w:noProof/>
      </w:rPr>
      <w:t>2</w:t>
    </w:r>
    <w:r>
      <w:rPr>
        <w:rStyle w:val="PageNumber"/>
      </w:rPr>
      <w:fldChar w:fldCharType="end"/>
    </w:r>
  </w:p>
  <w:p w:rsidR="00033C7E" w:rsidRDefault="00033C7E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C2A">
      <w:rPr>
        <w:rStyle w:val="PageNumber"/>
        <w:noProof/>
      </w:rPr>
      <w:t>1</w:t>
    </w:r>
    <w:r>
      <w:rPr>
        <w:rStyle w:val="PageNumber"/>
      </w:rPr>
      <w:fldChar w:fldCharType="end"/>
    </w:r>
  </w:p>
  <w:p w:rsidR="00033C7E" w:rsidRDefault="00033C7E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C2A">
      <w:rPr>
        <w:rStyle w:val="PageNumber"/>
        <w:noProof/>
      </w:rPr>
      <w:t>6</w:t>
    </w:r>
    <w:r>
      <w:rPr>
        <w:rStyle w:val="PageNumber"/>
      </w:rPr>
      <w:fldChar w:fldCharType="end"/>
    </w:r>
  </w:p>
  <w:p w:rsidR="00033C7E" w:rsidRDefault="00033C7E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C2A">
      <w:rPr>
        <w:rStyle w:val="PageNumber"/>
        <w:noProof/>
      </w:rPr>
      <w:t>5</w:t>
    </w:r>
    <w:r>
      <w:rPr>
        <w:rStyle w:val="PageNumber"/>
      </w:rPr>
      <w:fldChar w:fldCharType="end"/>
    </w:r>
  </w:p>
  <w:p w:rsidR="00033C7E" w:rsidRDefault="00033C7E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E5" w:rsidRDefault="00797FE5">
      <w:r>
        <w:separator/>
      </w:r>
    </w:p>
  </w:footnote>
  <w:footnote w:type="continuationSeparator" w:id="0">
    <w:p w:rsidR="00797FE5" w:rsidRDefault="00797FE5">
      <w:r>
        <w:continuationSeparator/>
      </w:r>
    </w:p>
  </w:footnote>
  <w:footnote w:type="continuationNotice" w:id="1">
    <w:p w:rsidR="00797FE5" w:rsidRDefault="00797FE5"/>
  </w:footnote>
  <w:footnote w:id="2">
    <w:p w:rsidR="00033C7E" w:rsidRPr="005B0367" w:rsidRDefault="00033C7E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  <w:footnote w:id="3">
    <w:p w:rsidR="008011A3" w:rsidRPr="005D29F9" w:rsidRDefault="008011A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011A3">
        <w:t>Проверката по този критерий се извършва при спазване на разпоредбите на чл. 65, параграф 11 от Регламент (ЕС) № 1303/2013 на Европейския парламент и на Съвета от 17.12.2013 г.: „Дадена операция може да получава подкрепа от един или няколко европейски структурни и инвестиционни фонда или от една или няколко програми, както и от други инструменти на Съюза,  при условие че разходите, декларирани в заявлението за плащане за един от европейските структурни и инвестиционни фондове,  не са декларирани за подкрепа от друг фонд или инструмент на Съюза или подкрепа от същия фонд по друга програма.“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033C7E" w:rsidRPr="001919FD" w:rsidTr="00A57C8C">
      <w:trPr>
        <w:trHeight w:val="684"/>
      </w:trPr>
      <w:tc>
        <w:tcPr>
          <w:tcW w:w="2586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41DD024B" wp14:editId="56ADC33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3274296" wp14:editId="74326F5F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3C7E" w:rsidRPr="00BB0E44" w:rsidRDefault="00033C7E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:rsidTr="00FE01D8">
      <w:trPr>
        <w:trHeight w:val="684"/>
      </w:trPr>
      <w:tc>
        <w:tcPr>
          <w:tcW w:w="2621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589C207B" wp14:editId="7896EA78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0ADEAFD" wp14:editId="3B1CCD3E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3C7E" w:rsidRPr="00914B88" w:rsidRDefault="00033C7E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:rsidTr="00A57C8C">
      <w:trPr>
        <w:trHeight w:val="684"/>
      </w:trPr>
      <w:tc>
        <w:tcPr>
          <w:tcW w:w="2621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8A74357" wp14:editId="43CF62D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60F5388" wp14:editId="15044D32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3C7E" w:rsidRPr="00BE2130" w:rsidRDefault="00033C7E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870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3C7E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5EE7"/>
    <w:rsid w:val="000562A4"/>
    <w:rsid w:val="00056491"/>
    <w:rsid w:val="00056A7B"/>
    <w:rsid w:val="00056DB6"/>
    <w:rsid w:val="000575F7"/>
    <w:rsid w:val="000577FD"/>
    <w:rsid w:val="00057EF0"/>
    <w:rsid w:val="000602F3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3A95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48B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5C7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735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B80"/>
    <w:rsid w:val="000D7DE9"/>
    <w:rsid w:val="000D7EA1"/>
    <w:rsid w:val="000E0004"/>
    <w:rsid w:val="000E0076"/>
    <w:rsid w:val="000E0648"/>
    <w:rsid w:val="000E0772"/>
    <w:rsid w:val="000E0AF2"/>
    <w:rsid w:val="000E0F7A"/>
    <w:rsid w:val="000E1480"/>
    <w:rsid w:val="000E1518"/>
    <w:rsid w:val="000E1943"/>
    <w:rsid w:val="000E1D3C"/>
    <w:rsid w:val="000E3DE9"/>
    <w:rsid w:val="000E437C"/>
    <w:rsid w:val="000E4A91"/>
    <w:rsid w:val="000E5732"/>
    <w:rsid w:val="000E5CD5"/>
    <w:rsid w:val="000E6876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C2A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0AC3"/>
    <w:rsid w:val="00122823"/>
    <w:rsid w:val="00122CCD"/>
    <w:rsid w:val="001236CE"/>
    <w:rsid w:val="001237DD"/>
    <w:rsid w:val="00123D60"/>
    <w:rsid w:val="00123D92"/>
    <w:rsid w:val="00123F72"/>
    <w:rsid w:val="001241D6"/>
    <w:rsid w:val="001241ED"/>
    <w:rsid w:val="00124D18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470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99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67ED7"/>
    <w:rsid w:val="001700A1"/>
    <w:rsid w:val="001702C1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200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2EC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4D4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EF7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65C1"/>
    <w:rsid w:val="0020726D"/>
    <w:rsid w:val="0020730B"/>
    <w:rsid w:val="00207567"/>
    <w:rsid w:val="00207EE0"/>
    <w:rsid w:val="00207F21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681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0FE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2FA"/>
    <w:rsid w:val="002365D8"/>
    <w:rsid w:val="00236844"/>
    <w:rsid w:val="00236888"/>
    <w:rsid w:val="0023689F"/>
    <w:rsid w:val="00236900"/>
    <w:rsid w:val="00236C6F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2E8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9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1B1B"/>
    <w:rsid w:val="002C2071"/>
    <w:rsid w:val="002C2221"/>
    <w:rsid w:val="002C24D6"/>
    <w:rsid w:val="002C2B27"/>
    <w:rsid w:val="002C3503"/>
    <w:rsid w:val="002C3797"/>
    <w:rsid w:val="002C3B81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8C0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0743F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853"/>
    <w:rsid w:val="0033092D"/>
    <w:rsid w:val="00330BF8"/>
    <w:rsid w:val="00330CA4"/>
    <w:rsid w:val="00330EDE"/>
    <w:rsid w:val="00331125"/>
    <w:rsid w:val="0033134A"/>
    <w:rsid w:val="0033155B"/>
    <w:rsid w:val="0033197A"/>
    <w:rsid w:val="00331FA0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1E55"/>
    <w:rsid w:val="0035213B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AAD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C13"/>
    <w:rsid w:val="00377FEF"/>
    <w:rsid w:val="00380177"/>
    <w:rsid w:val="00380235"/>
    <w:rsid w:val="003802FA"/>
    <w:rsid w:val="003809A4"/>
    <w:rsid w:val="00380A9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6E4F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92A"/>
    <w:rsid w:val="003C2A02"/>
    <w:rsid w:val="003C2C1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3FEA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B89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590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27E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38A"/>
    <w:rsid w:val="00463C38"/>
    <w:rsid w:val="00463DEC"/>
    <w:rsid w:val="00463E91"/>
    <w:rsid w:val="00463EB9"/>
    <w:rsid w:val="00464267"/>
    <w:rsid w:val="00464C02"/>
    <w:rsid w:val="00465490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9D1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0EA3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2F4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08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A0C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23D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82A"/>
    <w:rsid w:val="00543A63"/>
    <w:rsid w:val="00543AB8"/>
    <w:rsid w:val="00543BCD"/>
    <w:rsid w:val="00543BEF"/>
    <w:rsid w:val="00543CDA"/>
    <w:rsid w:val="00543D69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7A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6DF8"/>
    <w:rsid w:val="00557033"/>
    <w:rsid w:val="00557783"/>
    <w:rsid w:val="00557B82"/>
    <w:rsid w:val="005602C3"/>
    <w:rsid w:val="0056056E"/>
    <w:rsid w:val="00560795"/>
    <w:rsid w:val="0056167F"/>
    <w:rsid w:val="00561AB1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3C9E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3A14"/>
    <w:rsid w:val="005A4252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9F9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352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B5B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48B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2CAF"/>
    <w:rsid w:val="006331F9"/>
    <w:rsid w:val="00633274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6FAF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0AAB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97F7E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07C"/>
    <w:rsid w:val="006B2387"/>
    <w:rsid w:val="006B2D91"/>
    <w:rsid w:val="006B3059"/>
    <w:rsid w:val="006B3CDD"/>
    <w:rsid w:val="006B3FCC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5B4D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4D71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68A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2F4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897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BA9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1ECE"/>
    <w:rsid w:val="0078225A"/>
    <w:rsid w:val="0078273D"/>
    <w:rsid w:val="00782F64"/>
    <w:rsid w:val="00782FF9"/>
    <w:rsid w:val="007839B4"/>
    <w:rsid w:val="007841AF"/>
    <w:rsid w:val="007841C5"/>
    <w:rsid w:val="00784904"/>
    <w:rsid w:val="007852F6"/>
    <w:rsid w:val="00785BA6"/>
    <w:rsid w:val="007864BE"/>
    <w:rsid w:val="0078665C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97FE5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0AA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1FDE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B7F4D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689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13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08B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1A3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020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3C"/>
    <w:rsid w:val="00837891"/>
    <w:rsid w:val="008401B4"/>
    <w:rsid w:val="008407DD"/>
    <w:rsid w:val="00840AF0"/>
    <w:rsid w:val="00840BEA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EEC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33F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B8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1E8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E54"/>
    <w:rsid w:val="008E6EF9"/>
    <w:rsid w:val="008E7021"/>
    <w:rsid w:val="008E719A"/>
    <w:rsid w:val="008E7DFC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C6B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683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1BD0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4F1F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93F"/>
    <w:rsid w:val="00943B0F"/>
    <w:rsid w:val="00943B3C"/>
    <w:rsid w:val="00943EBA"/>
    <w:rsid w:val="00944903"/>
    <w:rsid w:val="00944AD1"/>
    <w:rsid w:val="00944B32"/>
    <w:rsid w:val="00944BBD"/>
    <w:rsid w:val="009450B4"/>
    <w:rsid w:val="009457BE"/>
    <w:rsid w:val="00946266"/>
    <w:rsid w:val="009462D0"/>
    <w:rsid w:val="00946C19"/>
    <w:rsid w:val="009471DD"/>
    <w:rsid w:val="00947587"/>
    <w:rsid w:val="009479A3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5F61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55F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78C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A0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4C5A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6CA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EA6"/>
    <w:rsid w:val="009E1F5C"/>
    <w:rsid w:val="009E22F8"/>
    <w:rsid w:val="009E2556"/>
    <w:rsid w:val="009E3963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EB9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5E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1B9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24E"/>
    <w:rsid w:val="00A57397"/>
    <w:rsid w:val="00A57727"/>
    <w:rsid w:val="00A57A28"/>
    <w:rsid w:val="00A57C8C"/>
    <w:rsid w:val="00A6041F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560"/>
    <w:rsid w:val="00A668D3"/>
    <w:rsid w:val="00A66BB7"/>
    <w:rsid w:val="00A7016D"/>
    <w:rsid w:val="00A70D5C"/>
    <w:rsid w:val="00A70ECE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720"/>
    <w:rsid w:val="00A76F8F"/>
    <w:rsid w:val="00A77558"/>
    <w:rsid w:val="00A779D6"/>
    <w:rsid w:val="00A77DDA"/>
    <w:rsid w:val="00A80493"/>
    <w:rsid w:val="00A804BF"/>
    <w:rsid w:val="00A80780"/>
    <w:rsid w:val="00A80821"/>
    <w:rsid w:val="00A80D77"/>
    <w:rsid w:val="00A80DDE"/>
    <w:rsid w:val="00A817A3"/>
    <w:rsid w:val="00A81AF6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178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2DB"/>
    <w:rsid w:val="00A9640B"/>
    <w:rsid w:val="00A96596"/>
    <w:rsid w:val="00A96AF6"/>
    <w:rsid w:val="00A96C10"/>
    <w:rsid w:val="00A96E29"/>
    <w:rsid w:val="00A97059"/>
    <w:rsid w:val="00A97218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55A8"/>
    <w:rsid w:val="00AB566C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EE2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707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3FA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1E8D"/>
    <w:rsid w:val="00B222F3"/>
    <w:rsid w:val="00B227B5"/>
    <w:rsid w:val="00B229E4"/>
    <w:rsid w:val="00B22E86"/>
    <w:rsid w:val="00B234F6"/>
    <w:rsid w:val="00B2354E"/>
    <w:rsid w:val="00B238BD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0A9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1CE"/>
    <w:rsid w:val="00B51612"/>
    <w:rsid w:val="00B51901"/>
    <w:rsid w:val="00B523A6"/>
    <w:rsid w:val="00B52A2C"/>
    <w:rsid w:val="00B52F6B"/>
    <w:rsid w:val="00B52F84"/>
    <w:rsid w:val="00B53618"/>
    <w:rsid w:val="00B536E9"/>
    <w:rsid w:val="00B53B5E"/>
    <w:rsid w:val="00B53C12"/>
    <w:rsid w:val="00B53CC5"/>
    <w:rsid w:val="00B54507"/>
    <w:rsid w:val="00B54CE2"/>
    <w:rsid w:val="00B555B6"/>
    <w:rsid w:val="00B55825"/>
    <w:rsid w:val="00B55F3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2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D08"/>
    <w:rsid w:val="00B90FFD"/>
    <w:rsid w:val="00B9143E"/>
    <w:rsid w:val="00B91587"/>
    <w:rsid w:val="00B91826"/>
    <w:rsid w:val="00B91C86"/>
    <w:rsid w:val="00B920A8"/>
    <w:rsid w:val="00B92411"/>
    <w:rsid w:val="00B92A22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2F48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B0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299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6C4D"/>
    <w:rsid w:val="00BE737E"/>
    <w:rsid w:val="00BE79CC"/>
    <w:rsid w:val="00BE7F84"/>
    <w:rsid w:val="00BF0091"/>
    <w:rsid w:val="00BF051C"/>
    <w:rsid w:val="00BF0D83"/>
    <w:rsid w:val="00BF0E57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5DD"/>
    <w:rsid w:val="00C066BB"/>
    <w:rsid w:val="00C06C12"/>
    <w:rsid w:val="00C06E03"/>
    <w:rsid w:val="00C070E2"/>
    <w:rsid w:val="00C07653"/>
    <w:rsid w:val="00C07846"/>
    <w:rsid w:val="00C0787C"/>
    <w:rsid w:val="00C0798B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64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119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3F2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1E4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5C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18F9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217"/>
    <w:rsid w:val="00D42D59"/>
    <w:rsid w:val="00D43749"/>
    <w:rsid w:val="00D4430E"/>
    <w:rsid w:val="00D4480E"/>
    <w:rsid w:val="00D44990"/>
    <w:rsid w:val="00D4499D"/>
    <w:rsid w:val="00D44E9D"/>
    <w:rsid w:val="00D455B8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2CE6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67F0B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1BE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15B4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20"/>
    <w:rsid w:val="00DA3FD5"/>
    <w:rsid w:val="00DA4068"/>
    <w:rsid w:val="00DA4A2E"/>
    <w:rsid w:val="00DA54FF"/>
    <w:rsid w:val="00DA6393"/>
    <w:rsid w:val="00DA660C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02E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CAD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A1C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A43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044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5D22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636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95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20F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915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068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295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05E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B4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980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1FA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6FE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4B"/>
    <w:rsid w:val="00FB29F8"/>
    <w:rsid w:val="00FB2B7A"/>
    <w:rsid w:val="00FB2FD6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4B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27D2A30-28E0-4999-909C-33809091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B7B03-1068-4DB4-B9D0-F53491F2C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676E7-D4DD-433D-934F-AAF27373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2618</Words>
  <Characters>14925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AIgnatova</cp:lastModifiedBy>
  <cp:revision>19</cp:revision>
  <cp:lastPrinted>2016-01-25T10:20:00Z</cp:lastPrinted>
  <dcterms:created xsi:type="dcterms:W3CDTF">2019-04-23T13:07:00Z</dcterms:created>
  <dcterms:modified xsi:type="dcterms:W3CDTF">2023-06-29T08:37:00Z</dcterms:modified>
</cp:coreProperties>
</file>