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11158" w14:textId="1E8155B5" w:rsidR="001775F8" w:rsidRDefault="001775F8" w:rsidP="00153909">
      <w:pPr>
        <w:jc w:val="right"/>
        <w:rPr>
          <w:rFonts w:ascii="Times New Roman" w:hAnsi="Times New Roman"/>
          <w:b/>
          <w:sz w:val="24"/>
          <w:szCs w:val="24"/>
        </w:rPr>
      </w:pPr>
    </w:p>
    <w:p w14:paraId="62C1C8E8" w14:textId="6589A480" w:rsidR="009212FC" w:rsidRDefault="009212FC" w:rsidP="00153909">
      <w:pPr>
        <w:jc w:val="right"/>
        <w:rPr>
          <w:rFonts w:ascii="Times New Roman" w:hAnsi="Times New Roman"/>
          <w:b/>
          <w:sz w:val="24"/>
          <w:szCs w:val="24"/>
        </w:rPr>
      </w:pPr>
    </w:p>
    <w:p w14:paraId="6C789EE2" w14:textId="77777777" w:rsidR="009212FC" w:rsidRDefault="009212FC" w:rsidP="00153909">
      <w:pPr>
        <w:jc w:val="right"/>
        <w:rPr>
          <w:rFonts w:ascii="Times New Roman" w:hAnsi="Times New Roman"/>
          <w:b/>
          <w:sz w:val="24"/>
          <w:szCs w:val="24"/>
        </w:rPr>
      </w:pPr>
    </w:p>
    <w:p w14:paraId="546769C2" w14:textId="2DB5BCF8" w:rsidR="00153909" w:rsidRPr="003D36D4" w:rsidRDefault="003D36D4" w:rsidP="00153909">
      <w:pPr>
        <w:jc w:val="right"/>
        <w:rPr>
          <w:rFonts w:ascii="Times New Roman" w:hAnsi="Times New Roman"/>
          <w:b/>
          <w:sz w:val="24"/>
          <w:szCs w:val="24"/>
          <w:lang w:val="en-US"/>
        </w:rPr>
      </w:pPr>
      <w:r w:rsidRPr="003D36D4">
        <w:rPr>
          <w:rFonts w:ascii="Times New Roman" w:hAnsi="Times New Roman"/>
          <w:b/>
          <w:sz w:val="24"/>
          <w:szCs w:val="24"/>
        </w:rPr>
        <w:t xml:space="preserve">Приложение </w:t>
      </w:r>
      <w:r w:rsidR="009212FC">
        <w:rPr>
          <w:rFonts w:ascii="Times New Roman" w:hAnsi="Times New Roman"/>
          <w:b/>
          <w:sz w:val="24"/>
          <w:szCs w:val="24"/>
        </w:rPr>
        <w:t>4</w:t>
      </w:r>
      <w:r w:rsidR="00F42203">
        <w:rPr>
          <w:rFonts w:ascii="Times New Roman" w:hAnsi="Times New Roman"/>
          <w:b/>
          <w:sz w:val="24"/>
          <w:szCs w:val="24"/>
        </w:rPr>
        <w:t>.</w:t>
      </w:r>
      <w:r w:rsidRPr="003D36D4">
        <w:rPr>
          <w:rFonts w:ascii="Times New Roman" w:hAnsi="Times New Roman"/>
          <w:b/>
          <w:sz w:val="24"/>
          <w:szCs w:val="24"/>
          <w:lang w:val="en-US"/>
        </w:rPr>
        <w:t>A</w:t>
      </w:r>
    </w:p>
    <w:p w14:paraId="313DFCF8" w14:textId="77777777" w:rsidR="00F01863" w:rsidRDefault="00F01863" w:rsidP="00153909">
      <w:pPr>
        <w:jc w:val="center"/>
        <w:rPr>
          <w:rFonts w:ascii="Times New Roman" w:hAnsi="Times New Roman"/>
          <w:b/>
          <w:sz w:val="24"/>
          <w:szCs w:val="24"/>
        </w:rPr>
      </w:pPr>
    </w:p>
    <w:p w14:paraId="1E510D92" w14:textId="07793E8A" w:rsidR="00153909" w:rsidRPr="00153909" w:rsidRDefault="00153909" w:rsidP="00153909">
      <w:pPr>
        <w:jc w:val="center"/>
        <w:rPr>
          <w:rFonts w:ascii="Times New Roman" w:hAnsi="Times New Roman"/>
          <w:b/>
          <w:sz w:val="24"/>
          <w:szCs w:val="24"/>
        </w:rPr>
      </w:pPr>
      <w:r w:rsidRPr="00153909">
        <w:rPr>
          <w:rFonts w:ascii="Times New Roman" w:hAnsi="Times New Roman"/>
          <w:b/>
          <w:sz w:val="24"/>
          <w:szCs w:val="24"/>
        </w:rPr>
        <w:t xml:space="preserve">Изисквания, свързани с правилата за </w:t>
      </w:r>
      <w:r w:rsidR="0093490C">
        <w:rPr>
          <w:rFonts w:ascii="Times New Roman" w:hAnsi="Times New Roman"/>
          <w:b/>
          <w:sz w:val="24"/>
          <w:szCs w:val="24"/>
        </w:rPr>
        <w:t>„</w:t>
      </w:r>
      <w:r w:rsidR="009212FC" w:rsidRPr="009212FC">
        <w:rPr>
          <w:rFonts w:ascii="Times New Roman" w:hAnsi="Times New Roman"/>
          <w:b/>
          <w:sz w:val="24"/>
          <w:szCs w:val="24"/>
        </w:rPr>
        <w:t>Помощи за проекти за научноизследователска и развойна дейност</w:t>
      </w:r>
      <w:r w:rsidR="0093490C" w:rsidRPr="00153909">
        <w:rPr>
          <w:rFonts w:ascii="Times New Roman" w:hAnsi="Times New Roman"/>
          <w:b/>
          <w:sz w:val="24"/>
          <w:szCs w:val="24"/>
        </w:rPr>
        <w:t xml:space="preserve">“ съгласно чл. </w:t>
      </w:r>
      <w:r w:rsidR="009212FC">
        <w:rPr>
          <w:rFonts w:ascii="Times New Roman" w:hAnsi="Times New Roman"/>
          <w:b/>
          <w:sz w:val="24"/>
          <w:szCs w:val="24"/>
        </w:rPr>
        <w:t>25</w:t>
      </w:r>
      <w:r w:rsidR="0093490C" w:rsidRPr="00153909">
        <w:rPr>
          <w:rFonts w:ascii="Times New Roman" w:hAnsi="Times New Roman"/>
          <w:b/>
          <w:sz w:val="24"/>
          <w:szCs w:val="24"/>
        </w:rPr>
        <w:t xml:space="preserve"> от Регламент (ЕС) № 651/2014</w:t>
      </w:r>
    </w:p>
    <w:p w14:paraId="42640A63" w14:textId="77777777" w:rsidR="00181616" w:rsidRDefault="00181616" w:rsidP="00954589">
      <w:pPr>
        <w:jc w:val="both"/>
        <w:rPr>
          <w:rFonts w:ascii="Times New Roman" w:hAnsi="Times New Roman"/>
          <w:b/>
          <w:sz w:val="24"/>
          <w:szCs w:val="24"/>
          <w:lang w:val="en-US"/>
        </w:rPr>
      </w:pPr>
    </w:p>
    <w:p w14:paraId="26826891" w14:textId="072BFF3C" w:rsidR="007D773B" w:rsidRPr="00153909" w:rsidRDefault="00F35E4C" w:rsidP="00954589">
      <w:pPr>
        <w:jc w:val="both"/>
        <w:rPr>
          <w:rFonts w:ascii="Times New Roman" w:hAnsi="Times New Roman"/>
          <w:bCs/>
          <w:sz w:val="24"/>
          <w:szCs w:val="24"/>
        </w:rPr>
      </w:pPr>
      <w:r>
        <w:rPr>
          <w:rFonts w:ascii="Times New Roman" w:hAnsi="Times New Roman"/>
          <w:b/>
          <w:sz w:val="24"/>
          <w:szCs w:val="24"/>
        </w:rPr>
        <w:t>П</w:t>
      </w:r>
      <w:r w:rsidR="00153909" w:rsidRPr="00153909">
        <w:rPr>
          <w:rFonts w:ascii="Times New Roman" w:hAnsi="Times New Roman"/>
          <w:b/>
          <w:sz w:val="24"/>
          <w:szCs w:val="24"/>
        </w:rPr>
        <w:t>ри условията на режим „</w:t>
      </w:r>
      <w:r w:rsidR="001A3325" w:rsidRPr="001A3325">
        <w:rPr>
          <w:rFonts w:ascii="Times New Roman" w:hAnsi="Times New Roman"/>
          <w:b/>
          <w:sz w:val="24"/>
          <w:szCs w:val="24"/>
        </w:rPr>
        <w:t>Помощи за проекти за научноизследователска и развойна дейност</w:t>
      </w:r>
      <w:r w:rsidR="00153909" w:rsidRPr="00153909">
        <w:rPr>
          <w:rFonts w:ascii="Times New Roman" w:hAnsi="Times New Roman"/>
          <w:b/>
          <w:sz w:val="24"/>
          <w:szCs w:val="24"/>
        </w:rPr>
        <w:t xml:space="preserve">“ съгласно чл. </w:t>
      </w:r>
      <w:r w:rsidR="001A3325">
        <w:rPr>
          <w:rFonts w:ascii="Times New Roman" w:hAnsi="Times New Roman"/>
          <w:b/>
          <w:sz w:val="24"/>
          <w:szCs w:val="24"/>
        </w:rPr>
        <w:t>25</w:t>
      </w:r>
      <w:r w:rsidR="00153909" w:rsidRPr="00153909">
        <w:rPr>
          <w:rFonts w:ascii="Times New Roman" w:hAnsi="Times New Roman"/>
          <w:b/>
          <w:sz w:val="24"/>
          <w:szCs w:val="24"/>
        </w:rPr>
        <w:t xml:space="preserve"> от Регламент (ЕС) № 651/2014 на Комисията от 17 юни 2014 година</w:t>
      </w:r>
      <w:r w:rsidR="00153909">
        <w:rPr>
          <w:rFonts w:ascii="Times New Roman" w:hAnsi="Times New Roman"/>
          <w:b/>
          <w:sz w:val="24"/>
          <w:szCs w:val="24"/>
        </w:rPr>
        <w:t>, е необходимо да се спазват следните изисквания</w:t>
      </w:r>
      <w:r w:rsidR="007D773B" w:rsidRPr="00153909">
        <w:rPr>
          <w:rFonts w:ascii="Times New Roman" w:hAnsi="Times New Roman"/>
          <w:b/>
          <w:sz w:val="24"/>
          <w:szCs w:val="24"/>
        </w:rPr>
        <w:t>:</w:t>
      </w:r>
    </w:p>
    <w:p w14:paraId="4EA34973" w14:textId="7568E10D" w:rsidR="002A7526" w:rsidRPr="00091101" w:rsidRDefault="00091101" w:rsidP="00954589">
      <w:pPr>
        <w:jc w:val="both"/>
        <w:rPr>
          <w:rFonts w:ascii="Times New Roman" w:hAnsi="Times New Roman"/>
          <w:b/>
          <w:sz w:val="24"/>
          <w:szCs w:val="24"/>
        </w:rPr>
      </w:pPr>
      <w:r w:rsidRPr="00091101">
        <w:rPr>
          <w:rFonts w:ascii="Times New Roman" w:hAnsi="Times New Roman"/>
          <w:b/>
          <w:sz w:val="24"/>
          <w:szCs w:val="24"/>
        </w:rPr>
        <w:t>Н</w:t>
      </w:r>
      <w:r w:rsidR="002A7526" w:rsidRPr="00091101">
        <w:rPr>
          <w:rFonts w:ascii="Times New Roman" w:hAnsi="Times New Roman"/>
          <w:b/>
          <w:sz w:val="24"/>
          <w:szCs w:val="24"/>
        </w:rPr>
        <w:t>едопустим</w:t>
      </w:r>
      <w:r w:rsidRPr="00091101">
        <w:rPr>
          <w:rFonts w:ascii="Times New Roman" w:hAnsi="Times New Roman"/>
          <w:b/>
          <w:sz w:val="24"/>
          <w:szCs w:val="24"/>
        </w:rPr>
        <w:t>и</w:t>
      </w:r>
      <w:r w:rsidR="002A7526" w:rsidRPr="00091101">
        <w:rPr>
          <w:rFonts w:ascii="Times New Roman" w:hAnsi="Times New Roman"/>
          <w:b/>
          <w:sz w:val="24"/>
          <w:szCs w:val="24"/>
        </w:rPr>
        <w:t xml:space="preserve"> </w:t>
      </w:r>
      <w:r>
        <w:rPr>
          <w:rFonts w:ascii="Times New Roman" w:hAnsi="Times New Roman"/>
          <w:b/>
          <w:sz w:val="24"/>
          <w:szCs w:val="24"/>
        </w:rPr>
        <w:t>кандидати</w:t>
      </w:r>
      <w:r w:rsidR="00FC1A7F">
        <w:rPr>
          <w:rFonts w:ascii="Times New Roman" w:hAnsi="Times New Roman"/>
          <w:b/>
          <w:sz w:val="24"/>
          <w:szCs w:val="24"/>
        </w:rPr>
        <w:t>/партньори</w:t>
      </w:r>
      <w:r w:rsidRPr="00091101">
        <w:rPr>
          <w:rFonts w:ascii="Times New Roman" w:hAnsi="Times New Roman"/>
          <w:b/>
          <w:sz w:val="24"/>
          <w:szCs w:val="24"/>
        </w:rPr>
        <w:t xml:space="preserve"> при режим „</w:t>
      </w:r>
      <w:r w:rsidR="001A3325" w:rsidRPr="001A3325">
        <w:rPr>
          <w:rFonts w:ascii="Times New Roman" w:hAnsi="Times New Roman"/>
          <w:b/>
          <w:sz w:val="24"/>
          <w:szCs w:val="24"/>
        </w:rPr>
        <w:t>Помощи за проекти за научноизследователска и развойна дейност</w:t>
      </w:r>
      <w:r>
        <w:rPr>
          <w:rFonts w:ascii="Times New Roman" w:hAnsi="Times New Roman"/>
          <w:b/>
          <w:sz w:val="24"/>
          <w:szCs w:val="24"/>
        </w:rPr>
        <w:t>“:</w:t>
      </w:r>
    </w:p>
    <w:p w14:paraId="6945A51B" w14:textId="13E59A1C" w:rsidR="002A7526" w:rsidRPr="00153909" w:rsidRDefault="00091101" w:rsidP="00954589">
      <w:pPr>
        <w:jc w:val="both"/>
        <w:rPr>
          <w:rFonts w:ascii="Times New Roman" w:hAnsi="Times New Roman"/>
          <w:sz w:val="24"/>
          <w:szCs w:val="24"/>
        </w:rPr>
      </w:pPr>
      <w:r w:rsidRPr="00153909">
        <w:rPr>
          <w:rFonts w:ascii="Times New Roman" w:hAnsi="Times New Roman"/>
          <w:b/>
          <w:sz w:val="24"/>
          <w:szCs w:val="24"/>
        </w:rPr>
        <w:t>К</w:t>
      </w:r>
      <w:r w:rsidR="002A7526" w:rsidRPr="00153909">
        <w:rPr>
          <w:rFonts w:ascii="Times New Roman" w:hAnsi="Times New Roman"/>
          <w:b/>
          <w:sz w:val="24"/>
          <w:szCs w:val="24"/>
        </w:rPr>
        <w:t>андидатите</w:t>
      </w:r>
      <w:r w:rsidR="00FC1A7F">
        <w:rPr>
          <w:rFonts w:ascii="Times New Roman" w:hAnsi="Times New Roman"/>
          <w:b/>
          <w:sz w:val="24"/>
          <w:szCs w:val="24"/>
        </w:rPr>
        <w:t>/партньорите</w:t>
      </w:r>
      <w:r>
        <w:rPr>
          <w:rFonts w:ascii="Times New Roman" w:hAnsi="Times New Roman"/>
          <w:b/>
          <w:sz w:val="24"/>
          <w:szCs w:val="24"/>
        </w:rPr>
        <w:t xml:space="preserve"> </w:t>
      </w:r>
      <w:r w:rsidR="002A7526" w:rsidRPr="00153909">
        <w:rPr>
          <w:rFonts w:ascii="Times New Roman" w:hAnsi="Times New Roman"/>
          <w:b/>
          <w:sz w:val="24"/>
          <w:szCs w:val="24"/>
        </w:rPr>
        <w:t xml:space="preserve">не могат да участват </w:t>
      </w:r>
      <w:r w:rsidR="002A7526" w:rsidRPr="00153909">
        <w:rPr>
          <w:rFonts w:ascii="Times New Roman" w:hAnsi="Times New Roman"/>
          <w:sz w:val="24"/>
          <w:szCs w:val="24"/>
        </w:rPr>
        <w:t xml:space="preserve">в процедурата и да получат безвъзмездно финансиране, в случай че попадат в </w:t>
      </w:r>
      <w:r w:rsidR="002A7526" w:rsidRPr="00153909">
        <w:rPr>
          <w:rFonts w:ascii="Times New Roman" w:hAnsi="Times New Roman"/>
          <w:b/>
          <w:sz w:val="24"/>
          <w:szCs w:val="24"/>
        </w:rPr>
        <w:t>забранителните режими</w:t>
      </w:r>
      <w:r w:rsidR="002A7526" w:rsidRPr="00153909">
        <w:rPr>
          <w:rFonts w:ascii="Times New Roman" w:hAnsi="Times New Roman"/>
          <w:sz w:val="24"/>
          <w:szCs w:val="24"/>
        </w:rPr>
        <w:t xml:space="preserve"> съгласно чл. 1, пар. 3 на </w:t>
      </w:r>
      <w:r w:rsidR="002A7526" w:rsidRPr="00153909">
        <w:rPr>
          <w:rFonts w:ascii="Times New Roman" w:hAnsi="Times New Roman"/>
          <w:bCs/>
          <w:sz w:val="24"/>
          <w:szCs w:val="24"/>
        </w:rPr>
        <w:t xml:space="preserve">Регламент на Комисията (ЕС) № 651/2014 </w:t>
      </w:r>
      <w:r w:rsidR="002A7526" w:rsidRPr="00153909">
        <w:rPr>
          <w:rFonts w:ascii="Times New Roman" w:hAnsi="Times New Roman"/>
          <w:sz w:val="24"/>
          <w:szCs w:val="24"/>
        </w:rPr>
        <w:t>и по-конкретно, ако:</w:t>
      </w:r>
    </w:p>
    <w:p w14:paraId="2FDBDEF7"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А)</w:t>
      </w:r>
      <w:r w:rsidRPr="00153909">
        <w:rPr>
          <w:rFonts w:ascii="Times New Roman" w:hAnsi="Times New Roman"/>
          <w:sz w:val="24"/>
          <w:szCs w:val="24"/>
        </w:rPr>
        <w:t xml:space="preserve"> </w:t>
      </w:r>
      <w:r w:rsidRPr="00153909">
        <w:rPr>
          <w:rFonts w:ascii="Times New Roman" w:hAnsi="Times New Roman"/>
          <w:b/>
          <w:sz w:val="24"/>
          <w:szCs w:val="24"/>
        </w:rPr>
        <w:t>Икономическата дейността</w:t>
      </w:r>
      <w:r w:rsidRPr="00153909">
        <w:rPr>
          <w:rFonts w:ascii="Times New Roman" w:hAnsi="Times New Roman"/>
          <w:sz w:val="24"/>
          <w:szCs w:val="24"/>
        </w:rPr>
        <w:t>,</w:t>
      </w:r>
      <w:r w:rsidRPr="00153909">
        <w:rPr>
          <w:rFonts w:ascii="Times New Roman" w:hAnsi="Times New Roman"/>
          <w:b/>
          <w:sz w:val="24"/>
          <w:szCs w:val="24"/>
        </w:rPr>
        <w:t xml:space="preserve"> за която кандидатстват се отнася до</w:t>
      </w:r>
      <w:r w:rsidRPr="00153909">
        <w:rPr>
          <w:rFonts w:ascii="Times New Roman" w:hAnsi="Times New Roman"/>
          <w:b/>
          <w:sz w:val="24"/>
          <w:szCs w:val="24"/>
          <w:vertAlign w:val="superscript"/>
        </w:rPr>
        <w:footnoteReference w:id="1"/>
      </w:r>
      <w:r w:rsidRPr="00153909">
        <w:rPr>
          <w:rFonts w:ascii="Times New Roman" w:hAnsi="Times New Roman"/>
          <w:b/>
          <w:sz w:val="24"/>
          <w:szCs w:val="24"/>
        </w:rPr>
        <w:t>:</w:t>
      </w:r>
    </w:p>
    <w:p w14:paraId="2612E35A"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сектора на преработка и продажба на селскостопански продукти, в следните случаи:</w:t>
      </w:r>
    </w:p>
    <w:p w14:paraId="3DA8B841"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0CB1772C"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когато помощта е обвързана със задължението да бъде прехвърлена частично или изцяло на първичните производи</w:t>
      </w:r>
      <w:r w:rsidRPr="00153909">
        <w:rPr>
          <w:rFonts w:ascii="Times New Roman" w:hAnsi="Times New Roman"/>
          <w:sz w:val="24"/>
          <w:szCs w:val="24"/>
        </w:rPr>
        <w:softHyphen/>
        <w:t>тели;</w:t>
      </w:r>
    </w:p>
    <w:p w14:paraId="2731B101" w14:textId="7AD148A2" w:rsidR="002A7526" w:rsidRPr="00153909" w:rsidRDefault="002A7526" w:rsidP="00954589">
      <w:pPr>
        <w:jc w:val="both"/>
        <w:rPr>
          <w:rFonts w:ascii="Times New Roman" w:hAnsi="Times New Roman"/>
          <w:sz w:val="24"/>
          <w:szCs w:val="24"/>
        </w:rPr>
      </w:pPr>
      <w:r w:rsidRPr="00153909">
        <w:rPr>
          <w:rFonts w:ascii="Times New Roman" w:hAnsi="Times New Roman"/>
          <w:b/>
          <w:sz w:val="24"/>
          <w:szCs w:val="24"/>
        </w:rPr>
        <w:t xml:space="preserve">А1) </w:t>
      </w:r>
      <w:r w:rsidR="00DB3983">
        <w:rPr>
          <w:rFonts w:ascii="Times New Roman" w:hAnsi="Times New Roman"/>
          <w:b/>
          <w:sz w:val="24"/>
          <w:szCs w:val="24"/>
        </w:rPr>
        <w:t>Проектното предложение</w:t>
      </w:r>
      <w:r w:rsidRPr="00153909">
        <w:rPr>
          <w:rFonts w:ascii="Times New Roman" w:hAnsi="Times New Roman"/>
          <w:sz w:val="24"/>
          <w:szCs w:val="24"/>
        </w:rPr>
        <w:t xml:space="preserve"> не съдържа дейности за улесняване на закриването на неконкурентоспособни въглищни мини в съответствие с Решение 2010/787/ЕС на Съвета.</w:t>
      </w:r>
    </w:p>
    <w:p w14:paraId="386031A1"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Б) Са предприятия, които:</w:t>
      </w:r>
    </w:p>
    <w:p w14:paraId="618D7093"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153909">
        <w:rPr>
          <w:rFonts w:ascii="Times New Roman" w:hAnsi="Times New Roman"/>
          <w:sz w:val="24"/>
          <w:szCs w:val="24"/>
          <w:vertAlign w:val="superscript"/>
        </w:rPr>
        <w:footnoteReference w:id="2"/>
      </w:r>
      <w:r w:rsidRPr="00153909">
        <w:rPr>
          <w:rFonts w:ascii="Times New Roman" w:hAnsi="Times New Roman"/>
          <w:sz w:val="24"/>
          <w:szCs w:val="24"/>
        </w:rPr>
        <w:t>;</w:t>
      </w:r>
    </w:p>
    <w:p w14:paraId="0A24A507"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lastRenderedPageBreak/>
        <w:t>• са „предприятия в затруднено положение“, по отношение на които е изпълнено поне едно от следните обстоятелства</w:t>
      </w:r>
      <w:r w:rsidRPr="00153909">
        <w:rPr>
          <w:rFonts w:ascii="Times New Roman" w:hAnsi="Times New Roman"/>
          <w:sz w:val="24"/>
          <w:szCs w:val="24"/>
          <w:vertAlign w:val="superscript"/>
        </w:rPr>
        <w:footnoteReference w:id="3"/>
      </w:r>
      <w:r w:rsidRPr="00153909">
        <w:rPr>
          <w:rFonts w:ascii="Times New Roman" w:hAnsi="Times New Roman"/>
          <w:sz w:val="24"/>
          <w:szCs w:val="24"/>
        </w:rPr>
        <w:t>:</w:t>
      </w:r>
    </w:p>
    <w:p w14:paraId="3ADBA70E"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17A48FB1"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1F293758"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xml:space="preserve">Едно предприятие ще бъде считано за </w:t>
      </w:r>
      <w:r w:rsidRPr="00153909">
        <w:rPr>
          <w:rFonts w:ascii="Times New Roman" w:hAnsi="Times New Roman"/>
          <w:sz w:val="24"/>
          <w:szCs w:val="24"/>
          <w:lang w:val="en-US"/>
        </w:rPr>
        <w:t>“</w:t>
      </w:r>
      <w:r w:rsidRPr="00153909">
        <w:rPr>
          <w:rFonts w:ascii="Times New Roman" w:hAnsi="Times New Roman"/>
          <w:sz w:val="24"/>
          <w:szCs w:val="24"/>
        </w:rPr>
        <w:t xml:space="preserve">предприятие в затруднено положение“, когато сумата на т. </w:t>
      </w:r>
      <w:r w:rsidRPr="00153909">
        <w:rPr>
          <w:rFonts w:ascii="Times New Roman" w:hAnsi="Times New Roman"/>
          <w:sz w:val="24"/>
          <w:szCs w:val="24"/>
          <w:lang w:val="en-US"/>
        </w:rPr>
        <w:t>III</w:t>
      </w:r>
      <w:r w:rsidRPr="00153909">
        <w:rPr>
          <w:rFonts w:ascii="Times New Roman" w:hAnsi="Times New Roman"/>
          <w:sz w:val="24"/>
          <w:szCs w:val="24"/>
        </w:rPr>
        <w:t xml:space="preserve"> „Резерв от последващи оценки“, т. </w:t>
      </w:r>
      <w:r w:rsidRPr="00153909">
        <w:rPr>
          <w:rFonts w:ascii="Times New Roman" w:hAnsi="Times New Roman"/>
          <w:sz w:val="24"/>
          <w:szCs w:val="24"/>
          <w:lang w:val="en-US"/>
        </w:rPr>
        <w:t>IV</w:t>
      </w:r>
      <w:r w:rsidRPr="00153909">
        <w:rPr>
          <w:rFonts w:ascii="Times New Roman" w:hAnsi="Times New Roman"/>
          <w:sz w:val="24"/>
          <w:szCs w:val="24"/>
        </w:rPr>
        <w:t xml:space="preserve"> „Резерви“, т. </w:t>
      </w:r>
      <w:r w:rsidRPr="00153909">
        <w:rPr>
          <w:rFonts w:ascii="Times New Roman" w:hAnsi="Times New Roman"/>
          <w:sz w:val="24"/>
          <w:szCs w:val="24"/>
          <w:lang w:val="en-US"/>
        </w:rPr>
        <w:t>V</w:t>
      </w:r>
      <w:r w:rsidRPr="00153909">
        <w:rPr>
          <w:rFonts w:ascii="Times New Roman" w:hAnsi="Times New Roman"/>
          <w:sz w:val="24"/>
          <w:szCs w:val="24"/>
        </w:rPr>
        <w:t xml:space="preserve"> „Натрупана печалба (загуба) от минали години“ и т. </w:t>
      </w:r>
      <w:r w:rsidRPr="00153909">
        <w:rPr>
          <w:rFonts w:ascii="Times New Roman" w:hAnsi="Times New Roman"/>
          <w:sz w:val="24"/>
          <w:szCs w:val="24"/>
          <w:lang w:val="en-US"/>
        </w:rPr>
        <w:t>VI</w:t>
      </w:r>
      <w:r w:rsidRPr="00153909">
        <w:rPr>
          <w:rFonts w:ascii="Times New Roman" w:hAnsi="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153909">
        <w:rPr>
          <w:rFonts w:ascii="Times New Roman" w:hAnsi="Times New Roman"/>
          <w:b/>
          <w:sz w:val="24"/>
          <w:szCs w:val="24"/>
        </w:rPr>
        <w:t>е отрицателна стойност</w:t>
      </w:r>
      <w:r w:rsidRPr="00153909">
        <w:rPr>
          <w:rFonts w:ascii="Times New Roman" w:hAnsi="Times New Roman"/>
          <w:sz w:val="24"/>
          <w:szCs w:val="24"/>
        </w:rPr>
        <w:t xml:space="preserve">, която надвишава 50% от сумата на т. </w:t>
      </w:r>
      <w:r w:rsidRPr="00153909">
        <w:rPr>
          <w:rFonts w:ascii="Times New Roman" w:hAnsi="Times New Roman"/>
          <w:sz w:val="24"/>
          <w:szCs w:val="24"/>
          <w:lang w:val="en-US"/>
        </w:rPr>
        <w:t>I</w:t>
      </w:r>
      <w:r w:rsidRPr="00153909">
        <w:rPr>
          <w:rFonts w:ascii="Times New Roman" w:hAnsi="Times New Roman"/>
          <w:sz w:val="24"/>
          <w:szCs w:val="24"/>
        </w:rPr>
        <w:t xml:space="preserve"> „Записан капитал“ и т. </w:t>
      </w:r>
      <w:r w:rsidRPr="00153909">
        <w:rPr>
          <w:rFonts w:ascii="Times New Roman" w:hAnsi="Times New Roman"/>
          <w:sz w:val="24"/>
          <w:szCs w:val="24"/>
          <w:lang w:val="en-US"/>
        </w:rPr>
        <w:t>II</w:t>
      </w:r>
      <w:r w:rsidRPr="00153909">
        <w:rPr>
          <w:rFonts w:ascii="Times New Roman" w:hAnsi="Times New Roman"/>
          <w:sz w:val="24"/>
          <w:szCs w:val="24"/>
        </w:rPr>
        <w:t xml:space="preserve"> „Премии от емисии“ от раздел А „Собствен капитал“ на пасивите, описани в Счетоводния баланс</w:t>
      </w:r>
      <w:r w:rsidRPr="00153909">
        <w:rPr>
          <w:rFonts w:ascii="Times New Roman" w:hAnsi="Times New Roman"/>
          <w:sz w:val="24"/>
          <w:szCs w:val="24"/>
          <w:vertAlign w:val="superscript"/>
        </w:rPr>
        <w:footnoteReference w:id="4"/>
      </w:r>
      <w:r w:rsidRPr="00153909">
        <w:rPr>
          <w:rFonts w:ascii="Times New Roman" w:hAnsi="Times New Roman"/>
          <w:sz w:val="24"/>
          <w:szCs w:val="24"/>
        </w:rPr>
        <w:t>.</w:t>
      </w:r>
    </w:p>
    <w:p w14:paraId="0B3CEDBC"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3B78F2B4"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2A03C014" w14:textId="1EAFE95C" w:rsidR="002A7526" w:rsidRDefault="002A7526" w:rsidP="00954589">
      <w:pPr>
        <w:jc w:val="both"/>
        <w:rPr>
          <w:rFonts w:ascii="Times New Roman" w:hAnsi="Times New Roman"/>
          <w:sz w:val="24"/>
          <w:szCs w:val="24"/>
        </w:rPr>
      </w:pPr>
      <w:r w:rsidRPr="00153909">
        <w:rPr>
          <w:rFonts w:ascii="Times New Roman" w:hAnsi="Times New Roman"/>
          <w:sz w:val="24"/>
          <w:szCs w:val="24"/>
        </w:rPr>
        <w:lastRenderedPageBreak/>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512D9A4" w14:textId="77777777" w:rsidR="005F7216" w:rsidRPr="005F7216" w:rsidRDefault="005F7216" w:rsidP="005F7216">
      <w:pPr>
        <w:jc w:val="both"/>
        <w:rPr>
          <w:rFonts w:ascii="Times New Roman" w:hAnsi="Times New Roman"/>
          <w:sz w:val="24"/>
          <w:szCs w:val="24"/>
        </w:rPr>
      </w:pPr>
      <w:r w:rsidRPr="005F7216">
        <w:rPr>
          <w:rFonts w:ascii="Times New Roman" w:hAnsi="Times New Roman"/>
          <w:sz w:val="24"/>
          <w:szCs w:val="24"/>
          <w:lang w:val="en-US"/>
        </w:rPr>
        <w:t>5</w:t>
      </w:r>
      <w:r w:rsidRPr="005F7216">
        <w:rPr>
          <w:rFonts w:ascii="Times New Roman" w:hAnsi="Times New Roman"/>
          <w:sz w:val="24"/>
          <w:szCs w:val="24"/>
        </w:rPr>
        <w:t>. Когато предприятието не е МСП и през последните две години:</w:t>
      </w:r>
    </w:p>
    <w:p w14:paraId="6F344E37" w14:textId="77777777" w:rsidR="005F7216" w:rsidRPr="005F7216" w:rsidRDefault="005F7216" w:rsidP="005F7216">
      <w:pPr>
        <w:jc w:val="both"/>
        <w:rPr>
          <w:rFonts w:ascii="Times New Roman" w:hAnsi="Times New Roman"/>
          <w:sz w:val="24"/>
          <w:szCs w:val="24"/>
        </w:rPr>
      </w:pPr>
      <w:r w:rsidRPr="005F7216">
        <w:rPr>
          <w:rFonts w:ascii="Times New Roman" w:hAnsi="Times New Roman"/>
          <w:sz w:val="24"/>
          <w:szCs w:val="24"/>
        </w:rPr>
        <w:t>- съотношението задължения/собствен капитал на предприятието е било по-голямо от 7,5; и</w:t>
      </w:r>
    </w:p>
    <w:p w14:paraId="5D983291" w14:textId="79EF1FB6" w:rsidR="005F7216" w:rsidRPr="00153909" w:rsidRDefault="005F7216" w:rsidP="00954589">
      <w:pPr>
        <w:jc w:val="both"/>
        <w:rPr>
          <w:rFonts w:ascii="Times New Roman" w:hAnsi="Times New Roman"/>
          <w:sz w:val="24"/>
          <w:szCs w:val="24"/>
        </w:rPr>
      </w:pPr>
      <w:r w:rsidRPr="005F7216">
        <w:rPr>
          <w:rFonts w:ascii="Times New Roman" w:hAnsi="Times New Roman"/>
          <w:sz w:val="24"/>
          <w:szCs w:val="24"/>
        </w:rPr>
        <w:t xml:space="preserve">- съотношението за лихвено покритие на предприятието, изчислено на основата на </w:t>
      </w:r>
      <w:r w:rsidRPr="005F7216">
        <w:rPr>
          <w:rFonts w:ascii="Times New Roman" w:hAnsi="Times New Roman"/>
          <w:sz w:val="24"/>
          <w:szCs w:val="24"/>
          <w:lang w:val="en-US"/>
        </w:rPr>
        <w:t>EBITDA</w:t>
      </w:r>
      <w:r w:rsidRPr="005F7216">
        <w:rPr>
          <w:rFonts w:ascii="Times New Roman" w:hAnsi="Times New Roman"/>
          <w:sz w:val="24"/>
          <w:szCs w:val="24"/>
        </w:rPr>
        <w:t>, е било под 1,0.</w:t>
      </w:r>
    </w:p>
    <w:p w14:paraId="6CEC8D30" w14:textId="662B6E55" w:rsidR="002A7526" w:rsidRPr="00091101" w:rsidRDefault="002A7526" w:rsidP="00954589">
      <w:pPr>
        <w:jc w:val="both"/>
        <w:rPr>
          <w:rFonts w:ascii="Times New Roman" w:hAnsi="Times New Roman"/>
          <w:sz w:val="24"/>
          <w:szCs w:val="24"/>
        </w:rPr>
      </w:pPr>
      <w:r w:rsidRPr="00091101">
        <w:rPr>
          <w:rFonts w:ascii="Times New Roman" w:hAnsi="Times New Roman"/>
          <w:sz w:val="24"/>
          <w:szCs w:val="24"/>
        </w:rPr>
        <w:t>Изискванията по т. Б) се прилагат и на равнище група – както за предприятието-кандидат</w:t>
      </w:r>
      <w:r w:rsidR="00FC1A7F">
        <w:rPr>
          <w:rFonts w:ascii="Times New Roman" w:hAnsi="Times New Roman"/>
          <w:sz w:val="24"/>
          <w:szCs w:val="24"/>
        </w:rPr>
        <w:t>/партньор</w:t>
      </w:r>
      <w:r w:rsidRPr="00091101">
        <w:rPr>
          <w:rFonts w:ascii="Times New Roman" w:hAnsi="Times New Roman"/>
          <w:sz w:val="24"/>
          <w:szCs w:val="24"/>
        </w:rPr>
        <w:t>, така и за предприятията, с които кандидатът</w:t>
      </w:r>
      <w:r w:rsidR="00FC1A7F">
        <w:rPr>
          <w:rFonts w:ascii="Times New Roman" w:hAnsi="Times New Roman"/>
          <w:sz w:val="24"/>
          <w:szCs w:val="24"/>
        </w:rPr>
        <w:t>/партньорът</w:t>
      </w:r>
      <w:r w:rsidRPr="00091101">
        <w:rPr>
          <w:rFonts w:ascii="Times New Roman" w:hAnsi="Times New Roman"/>
          <w:sz w:val="24"/>
          <w:szCs w:val="24"/>
        </w:rPr>
        <w:t xml:space="preserve"> формира група предприятия (разгледани в цялост). Преди сключване на договор за финансиране се извършва проверка (включително за наличие на „предприятие в затруднено положение“ по смисъла на чл. 2, пар. 18 от Регламент (ЕС) № 651/2014) на кандидата</w:t>
      </w:r>
      <w:r w:rsidR="00FC1A7F">
        <w:rPr>
          <w:rFonts w:ascii="Times New Roman" w:hAnsi="Times New Roman"/>
          <w:sz w:val="24"/>
          <w:szCs w:val="24"/>
        </w:rPr>
        <w:t>/партньора</w:t>
      </w:r>
      <w:r w:rsidRPr="00091101">
        <w:rPr>
          <w:rFonts w:ascii="Times New Roman" w:hAnsi="Times New Roman"/>
          <w:sz w:val="24"/>
          <w:szCs w:val="24"/>
        </w:rPr>
        <w:t xml:space="preserve">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w:t>
      </w:r>
      <w:r w:rsidR="00FC1A7F">
        <w:rPr>
          <w:rFonts w:ascii="Times New Roman" w:hAnsi="Times New Roman"/>
          <w:sz w:val="24"/>
          <w:szCs w:val="24"/>
        </w:rPr>
        <w:t>/партньор</w:t>
      </w:r>
      <w:r w:rsidRPr="00091101">
        <w:rPr>
          <w:rFonts w:ascii="Times New Roman" w:hAnsi="Times New Roman"/>
          <w:sz w:val="24"/>
          <w:szCs w:val="24"/>
        </w:rPr>
        <w:t>),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49F1670B"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В) Финансирането представлява:</w:t>
      </w:r>
    </w:p>
    <w:p w14:paraId="4D0AED88"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153909">
        <w:rPr>
          <w:rFonts w:ascii="Times New Roman" w:hAnsi="Times New Roman"/>
          <w:sz w:val="24"/>
          <w:szCs w:val="24"/>
          <w:vertAlign w:val="superscript"/>
        </w:rPr>
        <w:footnoteReference w:id="5"/>
      </w:r>
      <w:r w:rsidRPr="00153909">
        <w:rPr>
          <w:rFonts w:ascii="Times New Roman" w:hAnsi="Times New Roman"/>
          <w:sz w:val="24"/>
          <w:szCs w:val="24"/>
        </w:rPr>
        <w:t>;</w:t>
      </w:r>
    </w:p>
    <w:p w14:paraId="7C4B2E30" w14:textId="5D2A9AE8" w:rsidR="003B1AA6" w:rsidRDefault="002A7526" w:rsidP="00954589">
      <w:pPr>
        <w:jc w:val="both"/>
        <w:rPr>
          <w:rFonts w:ascii="Times New Roman" w:hAnsi="Times New Roman"/>
          <w:sz w:val="24"/>
          <w:szCs w:val="24"/>
        </w:rPr>
      </w:pPr>
      <w:r w:rsidRPr="00153909">
        <w:rPr>
          <w:rFonts w:ascii="Times New Roman" w:hAnsi="Times New Roman"/>
          <w:sz w:val="24"/>
          <w:szCs w:val="24"/>
        </w:rPr>
        <w:t>• помощ, поставена в зависимост от използване на местни (национално произведени стоки и услуги) за сметка на вносни стоки</w:t>
      </w:r>
      <w:r w:rsidRPr="00153909">
        <w:rPr>
          <w:rFonts w:ascii="Times New Roman" w:hAnsi="Times New Roman"/>
          <w:sz w:val="24"/>
          <w:szCs w:val="24"/>
          <w:vertAlign w:val="superscript"/>
        </w:rPr>
        <w:footnoteReference w:id="6"/>
      </w:r>
      <w:r w:rsidR="00BC696D">
        <w:rPr>
          <w:rFonts w:ascii="Times New Roman" w:hAnsi="Times New Roman"/>
          <w:sz w:val="24"/>
          <w:szCs w:val="24"/>
        </w:rPr>
        <w:t>.</w:t>
      </w:r>
    </w:p>
    <w:p w14:paraId="468595D1" w14:textId="6F0A26FE" w:rsidR="00FE1F4F" w:rsidRDefault="00FE1F4F" w:rsidP="00954589">
      <w:pPr>
        <w:jc w:val="both"/>
        <w:rPr>
          <w:rFonts w:ascii="Times New Roman" w:hAnsi="Times New Roman"/>
          <w:sz w:val="24"/>
          <w:szCs w:val="24"/>
        </w:rPr>
      </w:pPr>
    </w:p>
    <w:p w14:paraId="6D41BC42" w14:textId="77777777" w:rsidR="00FE1F4F" w:rsidRPr="00153909" w:rsidRDefault="00FE1F4F" w:rsidP="00FE1F4F">
      <w:pPr>
        <w:jc w:val="both"/>
        <w:rPr>
          <w:rFonts w:ascii="Times New Roman" w:hAnsi="Times New Roman"/>
          <w:bCs/>
          <w:sz w:val="24"/>
          <w:szCs w:val="24"/>
        </w:rPr>
      </w:pPr>
      <w:r>
        <w:rPr>
          <w:rFonts w:ascii="Times New Roman" w:hAnsi="Times New Roman"/>
          <w:b/>
          <w:sz w:val="24"/>
          <w:szCs w:val="24"/>
          <w:lang w:val="en-US"/>
        </w:rPr>
        <w:t>I</w:t>
      </w:r>
      <w:r w:rsidRPr="00153909">
        <w:rPr>
          <w:rFonts w:ascii="Times New Roman" w:hAnsi="Times New Roman"/>
          <w:b/>
          <w:sz w:val="24"/>
          <w:szCs w:val="24"/>
          <w:lang w:val="en-US"/>
        </w:rPr>
        <w:t>I</w:t>
      </w:r>
      <w:r w:rsidRPr="00153909">
        <w:rPr>
          <w:rFonts w:ascii="Times New Roman" w:hAnsi="Times New Roman"/>
          <w:b/>
          <w:sz w:val="24"/>
          <w:szCs w:val="24"/>
        </w:rPr>
        <w:t xml:space="preserve">. В случай че </w:t>
      </w:r>
      <w:proofErr w:type="spellStart"/>
      <w:r w:rsidRPr="00153909">
        <w:rPr>
          <w:rFonts w:ascii="Times New Roman" w:hAnsi="Times New Roman"/>
          <w:b/>
          <w:sz w:val="24"/>
          <w:szCs w:val="24"/>
          <w:lang w:val="en-US"/>
        </w:rPr>
        <w:t>проектът</w:t>
      </w:r>
      <w:proofErr w:type="spellEnd"/>
      <w:r w:rsidRPr="00153909">
        <w:rPr>
          <w:rFonts w:ascii="Times New Roman" w:hAnsi="Times New Roman"/>
          <w:b/>
          <w:sz w:val="24"/>
          <w:szCs w:val="24"/>
          <w:lang w:val="en-US"/>
        </w:rPr>
        <w:t xml:space="preserve"> </w:t>
      </w:r>
      <w:proofErr w:type="spellStart"/>
      <w:r w:rsidRPr="00153909">
        <w:rPr>
          <w:rFonts w:ascii="Times New Roman" w:hAnsi="Times New Roman"/>
          <w:b/>
          <w:sz w:val="24"/>
          <w:szCs w:val="24"/>
          <w:lang w:val="en-US"/>
        </w:rPr>
        <w:t>ще</w:t>
      </w:r>
      <w:proofErr w:type="spellEnd"/>
      <w:r w:rsidRPr="00153909">
        <w:rPr>
          <w:rFonts w:ascii="Times New Roman" w:hAnsi="Times New Roman"/>
          <w:b/>
          <w:sz w:val="24"/>
          <w:szCs w:val="24"/>
          <w:lang w:val="en-US"/>
        </w:rPr>
        <w:t xml:space="preserve"> </w:t>
      </w:r>
      <w:proofErr w:type="spellStart"/>
      <w:r w:rsidRPr="00153909">
        <w:rPr>
          <w:rFonts w:ascii="Times New Roman" w:hAnsi="Times New Roman"/>
          <w:b/>
          <w:sz w:val="24"/>
          <w:szCs w:val="24"/>
          <w:lang w:val="en-US"/>
        </w:rPr>
        <w:t>се</w:t>
      </w:r>
      <w:proofErr w:type="spellEnd"/>
      <w:r w:rsidRPr="00153909">
        <w:rPr>
          <w:rFonts w:ascii="Times New Roman" w:hAnsi="Times New Roman"/>
          <w:b/>
          <w:sz w:val="24"/>
          <w:szCs w:val="24"/>
          <w:lang w:val="en-US"/>
        </w:rPr>
        <w:t xml:space="preserve"> </w:t>
      </w:r>
      <w:r w:rsidRPr="00153909">
        <w:rPr>
          <w:rFonts w:ascii="Times New Roman" w:hAnsi="Times New Roman"/>
          <w:b/>
          <w:sz w:val="24"/>
          <w:szCs w:val="24"/>
        </w:rPr>
        <w:t xml:space="preserve">изпълнява при условията на режим </w:t>
      </w:r>
      <w:r w:rsidRPr="00153909">
        <w:rPr>
          <w:rFonts w:ascii="Times New Roman" w:hAnsi="Times New Roman"/>
          <w:b/>
          <w:bCs/>
          <w:sz w:val="24"/>
          <w:szCs w:val="24"/>
        </w:rPr>
        <w:t>„минимална помощ</w:t>
      </w:r>
      <w:proofErr w:type="gramStart"/>
      <w:r w:rsidRPr="00153909">
        <w:rPr>
          <w:rFonts w:ascii="Times New Roman" w:hAnsi="Times New Roman"/>
          <w:b/>
          <w:bCs/>
          <w:sz w:val="24"/>
          <w:szCs w:val="24"/>
        </w:rPr>
        <w:t>“ (</w:t>
      </w:r>
      <w:proofErr w:type="gramEnd"/>
      <w:r w:rsidRPr="00153909">
        <w:rPr>
          <w:rFonts w:ascii="Times New Roman" w:hAnsi="Times New Roman"/>
          <w:b/>
          <w:bCs/>
          <w:sz w:val="24"/>
          <w:szCs w:val="24"/>
        </w:rPr>
        <w:t>de minimis) съгласно Регламент (ЕС) № 1407/2013</w:t>
      </w:r>
      <w:r>
        <w:rPr>
          <w:rFonts w:ascii="Times New Roman" w:hAnsi="Times New Roman"/>
          <w:b/>
          <w:sz w:val="24"/>
          <w:szCs w:val="24"/>
        </w:rPr>
        <w:t>, е необходимо да се спазват следните изисквания</w:t>
      </w:r>
      <w:r w:rsidRPr="00153909">
        <w:rPr>
          <w:rFonts w:ascii="Times New Roman" w:hAnsi="Times New Roman"/>
          <w:b/>
          <w:sz w:val="24"/>
          <w:szCs w:val="24"/>
        </w:rPr>
        <w:t>:</w:t>
      </w:r>
    </w:p>
    <w:p w14:paraId="0DE026D1" w14:textId="77777777" w:rsidR="00FE1F4F" w:rsidRPr="00091101" w:rsidRDefault="00FE1F4F" w:rsidP="00FE1F4F">
      <w:pPr>
        <w:jc w:val="both"/>
        <w:rPr>
          <w:rFonts w:ascii="Times New Roman" w:hAnsi="Times New Roman"/>
          <w:b/>
          <w:sz w:val="24"/>
          <w:szCs w:val="24"/>
        </w:rPr>
      </w:pPr>
      <w:r>
        <w:rPr>
          <w:rFonts w:ascii="Times New Roman" w:hAnsi="Times New Roman"/>
          <w:b/>
          <w:sz w:val="24"/>
          <w:szCs w:val="24"/>
        </w:rPr>
        <w:lastRenderedPageBreak/>
        <w:t>1</w:t>
      </w:r>
      <w:r w:rsidRPr="00091101">
        <w:rPr>
          <w:rFonts w:ascii="Times New Roman" w:hAnsi="Times New Roman"/>
          <w:b/>
          <w:sz w:val="24"/>
          <w:szCs w:val="24"/>
        </w:rPr>
        <w:t xml:space="preserve">. Ограничения </w:t>
      </w:r>
      <w:r>
        <w:rPr>
          <w:rFonts w:ascii="Times New Roman" w:hAnsi="Times New Roman"/>
          <w:b/>
          <w:sz w:val="24"/>
          <w:szCs w:val="24"/>
        </w:rPr>
        <w:t xml:space="preserve">в размера на помощта: </w:t>
      </w:r>
    </w:p>
    <w:p w14:paraId="6B3DD6B2" w14:textId="77777777" w:rsidR="00FE1F4F" w:rsidRPr="00153909" w:rsidRDefault="00FE1F4F" w:rsidP="00FE1F4F">
      <w:pPr>
        <w:jc w:val="both"/>
        <w:rPr>
          <w:rFonts w:ascii="Times New Roman" w:hAnsi="Times New Roman"/>
          <w:sz w:val="24"/>
          <w:szCs w:val="24"/>
        </w:rPr>
      </w:pPr>
      <w:r>
        <w:rPr>
          <w:rFonts w:ascii="Times New Roman" w:hAnsi="Times New Roman"/>
          <w:b/>
          <w:bCs/>
          <w:sz w:val="24"/>
          <w:szCs w:val="24"/>
        </w:rPr>
        <w:t xml:space="preserve">В допълнение към минималния и максималния размер на помощта, посочени в т. 9 от Условията за кандидатстване, кандидатите следва да имат предвид и следните ограничения, произтичащи от заявения </w:t>
      </w:r>
      <w:r w:rsidRPr="00153909">
        <w:rPr>
          <w:rFonts w:ascii="Times New Roman" w:hAnsi="Times New Roman"/>
          <w:b/>
          <w:sz w:val="24"/>
          <w:szCs w:val="24"/>
        </w:rPr>
        <w:t xml:space="preserve">режим </w:t>
      </w:r>
      <w:r w:rsidRPr="00153909">
        <w:rPr>
          <w:rFonts w:ascii="Times New Roman" w:hAnsi="Times New Roman"/>
          <w:b/>
          <w:bCs/>
          <w:sz w:val="24"/>
          <w:szCs w:val="24"/>
        </w:rPr>
        <w:t>„минимална помощ“ (de minimis)</w:t>
      </w:r>
      <w:r>
        <w:rPr>
          <w:rFonts w:ascii="Times New Roman" w:hAnsi="Times New Roman"/>
          <w:sz w:val="24"/>
          <w:szCs w:val="24"/>
        </w:rPr>
        <w:t>:</w:t>
      </w:r>
    </w:p>
    <w:p w14:paraId="3E626266" w14:textId="77777777" w:rsidR="00FE1F4F" w:rsidRPr="00153909" w:rsidRDefault="00FE1F4F" w:rsidP="00FE1F4F">
      <w:pPr>
        <w:jc w:val="both"/>
        <w:rPr>
          <w:rFonts w:ascii="Times New Roman" w:hAnsi="Times New Roman"/>
          <w:bCs/>
          <w:sz w:val="24"/>
          <w:szCs w:val="24"/>
        </w:rPr>
      </w:pPr>
      <w:r w:rsidRPr="00153909">
        <w:rPr>
          <w:rFonts w:ascii="Times New Roman" w:hAnsi="Times New Roman"/>
          <w:b/>
          <w:bCs/>
          <w:sz w:val="24"/>
          <w:szCs w:val="24"/>
        </w:rPr>
        <w:t>Максималният размер на помощта по режим „минимална помощ“ (</w:t>
      </w:r>
      <w:r w:rsidRPr="00153909">
        <w:rPr>
          <w:rFonts w:ascii="Times New Roman" w:hAnsi="Times New Roman"/>
          <w:bCs/>
          <w:sz w:val="24"/>
          <w:szCs w:val="24"/>
          <w:lang w:val="en-US"/>
        </w:rPr>
        <w:t>de</w:t>
      </w:r>
      <w:r w:rsidRPr="00153909">
        <w:rPr>
          <w:rFonts w:ascii="Times New Roman" w:hAnsi="Times New Roman"/>
          <w:bCs/>
          <w:sz w:val="24"/>
          <w:szCs w:val="24"/>
        </w:rPr>
        <w:t xml:space="preserve"> </w:t>
      </w:r>
      <w:r w:rsidRPr="00153909">
        <w:rPr>
          <w:rFonts w:ascii="Times New Roman" w:hAnsi="Times New Roman"/>
          <w:bCs/>
          <w:sz w:val="24"/>
          <w:szCs w:val="24"/>
          <w:lang w:val="en-US"/>
        </w:rPr>
        <w:t>minimis</w:t>
      </w:r>
      <w:r w:rsidRPr="00153909">
        <w:rPr>
          <w:rFonts w:ascii="Times New Roman" w:hAnsi="Times New Roman"/>
          <w:bCs/>
          <w:sz w:val="24"/>
          <w:szCs w:val="24"/>
        </w:rPr>
        <w:t>), за която се кандидатства, заедно с другите получени минимални помощи от кандидата, не може да надхвърля левовата равностойност на 200 000 евро и съответно левовата равностойност на 100 000 евро, в случай на едно и също предприятие</w:t>
      </w:r>
      <w:r>
        <w:rPr>
          <w:rStyle w:val="FootnoteReference"/>
          <w:rFonts w:ascii="Times New Roman" w:hAnsi="Times New Roman"/>
          <w:bCs/>
          <w:sz w:val="24"/>
          <w:szCs w:val="24"/>
        </w:rPr>
        <w:footnoteReference w:id="7"/>
      </w:r>
      <w:r w:rsidRPr="00153909">
        <w:rPr>
          <w:rFonts w:ascii="Times New Roman" w:hAnsi="Times New Roman"/>
          <w:bCs/>
          <w:sz w:val="24"/>
          <w:szCs w:val="24"/>
        </w:rPr>
        <w:t xml:space="preserve">, което осъществява автомобилни товарни превози за чужда сметка за период от три бюджетни години </w:t>
      </w:r>
      <w:r w:rsidRPr="00153909">
        <w:rPr>
          <w:rFonts w:ascii="Times New Roman" w:hAnsi="Times New Roman"/>
          <w:sz w:val="24"/>
          <w:szCs w:val="24"/>
        </w:rPr>
        <w:t>(двете предходни плюс текущата година)</w:t>
      </w:r>
      <w:r w:rsidRPr="00153909">
        <w:rPr>
          <w:rFonts w:ascii="Times New Roman" w:hAnsi="Times New Roman"/>
          <w:bCs/>
          <w:sz w:val="24"/>
          <w:szCs w:val="24"/>
        </w:rPr>
        <w:t>.</w:t>
      </w:r>
    </w:p>
    <w:p w14:paraId="5F65C715" w14:textId="77777777" w:rsidR="00FE1F4F" w:rsidRPr="00153909" w:rsidRDefault="00FE1F4F" w:rsidP="00FE1F4F">
      <w:pPr>
        <w:jc w:val="both"/>
        <w:rPr>
          <w:rFonts w:ascii="Times New Roman" w:hAnsi="Times New Roman"/>
          <w:bCs/>
          <w:sz w:val="24"/>
          <w:szCs w:val="24"/>
        </w:rPr>
      </w:pPr>
      <w:r w:rsidRPr="00153909">
        <w:rPr>
          <w:rFonts w:ascii="Times New Roman" w:hAnsi="Times New Roman"/>
          <w:bCs/>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5E935D46" w14:textId="77777777" w:rsidR="00FE1F4F" w:rsidRPr="00153909" w:rsidRDefault="00FE1F4F" w:rsidP="00FE1F4F">
      <w:pPr>
        <w:jc w:val="both"/>
        <w:rPr>
          <w:rFonts w:ascii="Times New Roman" w:hAnsi="Times New Roman"/>
          <w:bCs/>
          <w:sz w:val="24"/>
          <w:szCs w:val="24"/>
        </w:rPr>
      </w:pPr>
      <w:r w:rsidRPr="00153909">
        <w:rPr>
          <w:rFonts w:ascii="Times New Roman" w:hAnsi="Times New Roman"/>
          <w:bCs/>
          <w:sz w:val="24"/>
          <w:szCs w:val="24"/>
        </w:rPr>
        <w:t>• предприятието-кандидат;</w:t>
      </w:r>
    </w:p>
    <w:p w14:paraId="566E2ECE" w14:textId="482C82B8" w:rsidR="00FE1F4F" w:rsidRPr="00153909" w:rsidRDefault="00FE1F4F" w:rsidP="00FE1F4F">
      <w:pPr>
        <w:jc w:val="both"/>
        <w:rPr>
          <w:rFonts w:ascii="Times New Roman" w:hAnsi="Times New Roman"/>
          <w:bCs/>
          <w:sz w:val="24"/>
          <w:szCs w:val="24"/>
        </w:rPr>
      </w:pPr>
      <w:r w:rsidRPr="00153909">
        <w:rPr>
          <w:rFonts w:ascii="Times New Roman" w:hAnsi="Times New Roman"/>
          <w:bCs/>
          <w:sz w:val="24"/>
          <w:szCs w:val="24"/>
        </w:rPr>
        <w:t>• предприятията, с които предприятието кандидат образува „едно и също предприятие“ по смисъла на чл. 2, пар. 2 на Регламент (ЕС) № 1407/2013 и Приложение 1</w:t>
      </w:r>
      <w:r w:rsidR="007E32EF">
        <w:rPr>
          <w:rFonts w:ascii="Times New Roman" w:hAnsi="Times New Roman"/>
          <w:bCs/>
          <w:sz w:val="24"/>
          <w:szCs w:val="24"/>
        </w:rPr>
        <w:t>4</w:t>
      </w:r>
      <w:r w:rsidRPr="00153909">
        <w:rPr>
          <w:rFonts w:ascii="Times New Roman" w:hAnsi="Times New Roman"/>
          <w:bCs/>
          <w:sz w:val="24"/>
          <w:szCs w:val="24"/>
        </w:rPr>
        <w:t xml:space="preserve"> към настоящите Условия за кандидатстване;</w:t>
      </w:r>
    </w:p>
    <w:p w14:paraId="5C066FA6" w14:textId="77777777" w:rsidR="00FE1F4F" w:rsidRPr="00153909" w:rsidRDefault="00FE1F4F" w:rsidP="00FE1F4F">
      <w:pPr>
        <w:jc w:val="both"/>
        <w:rPr>
          <w:rFonts w:ascii="Times New Roman" w:hAnsi="Times New Roman"/>
          <w:bCs/>
          <w:sz w:val="24"/>
          <w:szCs w:val="24"/>
        </w:rPr>
      </w:pPr>
      <w:r w:rsidRPr="00153909">
        <w:rPr>
          <w:rFonts w:ascii="Times New Roman" w:hAnsi="Times New Roman"/>
          <w:bCs/>
          <w:sz w:val="24"/>
          <w:szCs w:val="24"/>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14:paraId="7DF612D6" w14:textId="77777777" w:rsidR="00FE1F4F" w:rsidRPr="00153909" w:rsidRDefault="00FE1F4F" w:rsidP="00FE1F4F">
      <w:pPr>
        <w:jc w:val="both"/>
        <w:rPr>
          <w:rFonts w:ascii="Times New Roman" w:hAnsi="Times New Roman"/>
          <w:bCs/>
          <w:sz w:val="24"/>
          <w:szCs w:val="24"/>
        </w:rPr>
      </w:pPr>
      <w:r w:rsidRPr="00153909">
        <w:rPr>
          <w:rFonts w:ascii="Times New Roman" w:hAnsi="Times New Roman"/>
          <w:bCs/>
          <w:sz w:val="24"/>
          <w:szCs w:val="24"/>
        </w:rPr>
        <w:t>• предприятията, образуващи „едно и също предприятие“ с предприятието кандидат, които са се</w:t>
      </w:r>
      <w:r w:rsidRPr="00153909">
        <w:rPr>
          <w:rFonts w:ascii="Times New Roman" w:hAnsi="Times New Roman"/>
          <w:sz w:val="24"/>
          <w:szCs w:val="24"/>
        </w:rPr>
        <w:t xml:space="preserve"> </w:t>
      </w:r>
      <w:r w:rsidRPr="00153909">
        <w:rPr>
          <w:rFonts w:ascii="Times New Roman" w:hAnsi="Times New Roman"/>
          <w:bCs/>
          <w:sz w:val="24"/>
          <w:szCs w:val="24"/>
        </w:rPr>
        <w:t>възползвали от помощ de minimis, получена преди разделяне или отделяне, съгласно чл. 3, пар. 9 от Регламент (ЕС) № 1407/2013.</w:t>
      </w:r>
    </w:p>
    <w:p w14:paraId="643D8C48" w14:textId="6E9FB7D7" w:rsidR="00FE1F4F" w:rsidRPr="00153909" w:rsidRDefault="00FE1F4F" w:rsidP="00FE1F4F">
      <w:pPr>
        <w:jc w:val="both"/>
        <w:rPr>
          <w:rFonts w:ascii="Times New Roman" w:hAnsi="Times New Roman"/>
          <w:sz w:val="24"/>
          <w:szCs w:val="24"/>
        </w:rPr>
      </w:pPr>
      <w:r w:rsidRPr="00153909">
        <w:rPr>
          <w:rFonts w:ascii="Times New Roman" w:hAnsi="Times New Roman"/>
          <w:bCs/>
          <w:sz w:val="24"/>
          <w:szCs w:val="24"/>
        </w:rPr>
        <w:t xml:space="preserve">Спазването на посочените прагове </w:t>
      </w:r>
      <w:r w:rsidRPr="00153909">
        <w:rPr>
          <w:rFonts w:ascii="Times New Roman" w:hAnsi="Times New Roman"/>
          <w:sz w:val="24"/>
          <w:szCs w:val="24"/>
        </w:rPr>
        <w:t xml:space="preserve">ще бъде проверявано </w:t>
      </w:r>
      <w:r w:rsidRPr="00153909">
        <w:rPr>
          <w:rFonts w:ascii="Times New Roman" w:hAnsi="Times New Roman"/>
          <w:bCs/>
          <w:sz w:val="24"/>
          <w:szCs w:val="24"/>
        </w:rPr>
        <w:t xml:space="preserve">чрез Декларацията </w:t>
      </w:r>
      <w:r w:rsidRPr="00153909">
        <w:rPr>
          <w:rFonts w:ascii="Times New Roman" w:hAnsi="Times New Roman"/>
          <w:sz w:val="24"/>
          <w:szCs w:val="24"/>
        </w:rPr>
        <w:t xml:space="preserve">за държавни/минимални помощи (Приложение </w:t>
      </w:r>
      <w:r w:rsidR="007E32EF">
        <w:rPr>
          <w:rFonts w:ascii="Times New Roman" w:hAnsi="Times New Roman"/>
          <w:sz w:val="24"/>
          <w:szCs w:val="24"/>
        </w:rPr>
        <w:t>4</w:t>
      </w:r>
      <w:r w:rsidRPr="00153909">
        <w:rPr>
          <w:rFonts w:ascii="Times New Roman" w:hAnsi="Times New Roman"/>
          <w:sz w:val="24"/>
          <w:szCs w:val="24"/>
        </w:rPr>
        <w:t>)</w:t>
      </w:r>
      <w:r w:rsidRPr="00153909">
        <w:rPr>
          <w:rFonts w:ascii="Times New Roman" w:hAnsi="Times New Roman"/>
          <w:sz w:val="24"/>
          <w:szCs w:val="24"/>
          <w:lang w:val="en-US"/>
        </w:rPr>
        <w:t xml:space="preserve">, </w:t>
      </w:r>
      <w:r w:rsidRPr="00153909">
        <w:rPr>
          <w:rFonts w:ascii="Times New Roman" w:hAnsi="Times New Roman"/>
          <w:sz w:val="24"/>
          <w:szCs w:val="24"/>
        </w:rPr>
        <w:t>като кандидатите носят отговорност за декларираните данни. Допълнително ще бъде извършвана проверка и в Информационната система "Регистър на минималните помощи"</w:t>
      </w:r>
      <w:r w:rsidRPr="00153909">
        <w:rPr>
          <w:rFonts w:ascii="Times New Roman" w:hAnsi="Times New Roman"/>
          <w:bCs/>
          <w:sz w:val="24"/>
          <w:szCs w:val="24"/>
        </w:rPr>
        <w:t>.</w:t>
      </w:r>
    </w:p>
    <w:p w14:paraId="283B9FC4" w14:textId="005C9BA2" w:rsidR="00FE1F4F" w:rsidRPr="00153909" w:rsidRDefault="00FE1F4F" w:rsidP="00FE1F4F">
      <w:pPr>
        <w:jc w:val="both"/>
        <w:rPr>
          <w:rFonts w:ascii="Times New Roman" w:hAnsi="Times New Roman"/>
          <w:bCs/>
          <w:sz w:val="24"/>
          <w:szCs w:val="24"/>
        </w:rPr>
      </w:pPr>
      <w:r w:rsidRPr="00153909">
        <w:rPr>
          <w:rFonts w:ascii="Times New Roman" w:hAnsi="Times New Roman"/>
          <w:b/>
          <w:bCs/>
          <w:sz w:val="24"/>
          <w:szCs w:val="24"/>
        </w:rPr>
        <w:t xml:space="preserve">ВАЖНО: </w:t>
      </w:r>
      <w:r w:rsidRPr="00153909">
        <w:rPr>
          <w:rFonts w:ascii="Times New Roman" w:hAnsi="Times New Roman"/>
          <w:sz w:val="24"/>
          <w:szCs w:val="24"/>
        </w:rPr>
        <w:t xml:space="preserve">Преди сключване на договор за финансиране с </w:t>
      </w:r>
      <w:r w:rsidR="00DB3983">
        <w:rPr>
          <w:rFonts w:ascii="Times New Roman" w:hAnsi="Times New Roman"/>
          <w:sz w:val="24"/>
          <w:szCs w:val="24"/>
        </w:rPr>
        <w:t>кандидата</w:t>
      </w:r>
      <w:r w:rsidRPr="00153909">
        <w:rPr>
          <w:rFonts w:ascii="Times New Roman" w:hAnsi="Times New Roman"/>
          <w:sz w:val="24"/>
          <w:szCs w:val="24"/>
        </w:rPr>
        <w:t xml:space="preserve">, ще бъде извършена документална проверка на декларираните данни от одобрените кандидати в Декларацията за държавни/минимални помощи </w:t>
      </w:r>
      <w:r>
        <w:rPr>
          <w:rFonts w:ascii="Times New Roman" w:hAnsi="Times New Roman"/>
          <w:sz w:val="24"/>
          <w:szCs w:val="24"/>
        </w:rPr>
        <w:t>(</w:t>
      </w:r>
      <w:r w:rsidRPr="00153909">
        <w:rPr>
          <w:rFonts w:ascii="Times New Roman" w:hAnsi="Times New Roman"/>
          <w:sz w:val="24"/>
          <w:szCs w:val="24"/>
        </w:rPr>
        <w:t xml:space="preserve">Приложение </w:t>
      </w:r>
      <w:r w:rsidR="007E32EF">
        <w:rPr>
          <w:rFonts w:ascii="Times New Roman" w:hAnsi="Times New Roman"/>
          <w:sz w:val="24"/>
          <w:szCs w:val="24"/>
        </w:rPr>
        <w:t>4</w:t>
      </w:r>
      <w:r>
        <w:rPr>
          <w:rFonts w:ascii="Times New Roman" w:hAnsi="Times New Roman"/>
          <w:sz w:val="24"/>
          <w:szCs w:val="24"/>
        </w:rPr>
        <w:t>)</w:t>
      </w:r>
      <w:r w:rsidRPr="00153909">
        <w:rPr>
          <w:rFonts w:ascii="Times New Roman" w:hAnsi="Times New Roman"/>
          <w:sz w:val="24"/>
          <w:szCs w:val="24"/>
          <w:lang w:val="en-US"/>
        </w:rPr>
        <w:t>,</w:t>
      </w:r>
      <w:r w:rsidRPr="00153909">
        <w:rPr>
          <w:rFonts w:ascii="Times New Roman" w:hAnsi="Times New Roman"/>
          <w:sz w:val="24"/>
          <w:szCs w:val="24"/>
        </w:rPr>
        <w:t xml:space="preserve"> </w:t>
      </w:r>
      <w:proofErr w:type="spellStart"/>
      <w:r w:rsidRPr="00153909">
        <w:rPr>
          <w:rFonts w:ascii="Times New Roman" w:hAnsi="Times New Roman"/>
          <w:sz w:val="24"/>
          <w:szCs w:val="24"/>
          <w:lang w:val="en-US"/>
        </w:rPr>
        <w:t>която</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се</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попълва</w:t>
      </w:r>
      <w:proofErr w:type="spellEnd"/>
      <w:r w:rsidRPr="00153909">
        <w:rPr>
          <w:rFonts w:ascii="Times New Roman" w:hAnsi="Times New Roman"/>
          <w:sz w:val="24"/>
          <w:szCs w:val="24"/>
          <w:lang w:val="en-US"/>
        </w:rPr>
        <w:t xml:space="preserve"> на </w:t>
      </w:r>
      <w:proofErr w:type="spellStart"/>
      <w:r w:rsidRPr="00153909">
        <w:rPr>
          <w:rFonts w:ascii="Times New Roman" w:hAnsi="Times New Roman"/>
          <w:sz w:val="24"/>
          <w:szCs w:val="24"/>
          <w:lang w:val="en-US"/>
        </w:rPr>
        <w:t>етап</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кандидатстване</w:t>
      </w:r>
      <w:proofErr w:type="spellEnd"/>
      <w:r w:rsidRPr="00153909">
        <w:rPr>
          <w:rFonts w:ascii="Times New Roman" w:hAnsi="Times New Roman"/>
          <w:sz w:val="24"/>
          <w:szCs w:val="24"/>
          <w:lang w:val="en-US"/>
        </w:rPr>
        <w:t xml:space="preserve">, а </w:t>
      </w:r>
      <w:proofErr w:type="spellStart"/>
      <w:r w:rsidRPr="00153909">
        <w:rPr>
          <w:rFonts w:ascii="Times New Roman" w:hAnsi="Times New Roman"/>
          <w:sz w:val="24"/>
          <w:szCs w:val="24"/>
          <w:lang w:val="en-US"/>
        </w:rPr>
        <w:t>при</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настъпване</w:t>
      </w:r>
      <w:proofErr w:type="spellEnd"/>
      <w:r w:rsidRPr="00153909">
        <w:rPr>
          <w:rFonts w:ascii="Times New Roman" w:hAnsi="Times New Roman"/>
          <w:sz w:val="24"/>
          <w:szCs w:val="24"/>
          <w:lang w:val="en-US"/>
        </w:rPr>
        <w:t xml:space="preserve"> на </w:t>
      </w:r>
      <w:proofErr w:type="spellStart"/>
      <w:r w:rsidRPr="00153909">
        <w:rPr>
          <w:rFonts w:ascii="Times New Roman" w:hAnsi="Times New Roman"/>
          <w:sz w:val="24"/>
          <w:szCs w:val="24"/>
          <w:lang w:val="en-US"/>
        </w:rPr>
        <w:t>нови</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обстоятелства</w:t>
      </w:r>
      <w:proofErr w:type="spellEnd"/>
      <w:r w:rsidRPr="00153909">
        <w:rPr>
          <w:rFonts w:ascii="Times New Roman" w:hAnsi="Times New Roman"/>
          <w:sz w:val="24"/>
          <w:szCs w:val="24"/>
          <w:lang w:val="en-US"/>
        </w:rPr>
        <w:t xml:space="preserve"> и </w:t>
      </w:r>
      <w:proofErr w:type="spellStart"/>
      <w:r w:rsidRPr="00153909">
        <w:rPr>
          <w:rFonts w:ascii="Times New Roman" w:hAnsi="Times New Roman"/>
          <w:sz w:val="24"/>
          <w:szCs w:val="24"/>
          <w:lang w:val="en-US"/>
        </w:rPr>
        <w:t>преди</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сключване</w:t>
      </w:r>
      <w:proofErr w:type="spellEnd"/>
      <w:r w:rsidRPr="00153909">
        <w:rPr>
          <w:rFonts w:ascii="Times New Roman" w:hAnsi="Times New Roman"/>
          <w:sz w:val="24"/>
          <w:szCs w:val="24"/>
          <w:lang w:val="en-US"/>
        </w:rPr>
        <w:t xml:space="preserve"> на </w:t>
      </w:r>
      <w:proofErr w:type="spellStart"/>
      <w:r w:rsidRPr="00153909">
        <w:rPr>
          <w:rFonts w:ascii="Times New Roman" w:hAnsi="Times New Roman"/>
          <w:sz w:val="24"/>
          <w:szCs w:val="24"/>
          <w:lang w:val="en-US"/>
        </w:rPr>
        <w:t>договор</w:t>
      </w:r>
      <w:proofErr w:type="spellEnd"/>
      <w:r w:rsidRPr="00153909">
        <w:rPr>
          <w:rFonts w:ascii="Times New Roman" w:hAnsi="Times New Roman"/>
          <w:sz w:val="24"/>
          <w:szCs w:val="24"/>
          <w:lang w:val="en-US"/>
        </w:rPr>
        <w:t>.</w:t>
      </w:r>
      <w:r w:rsidRPr="00153909" w:rsidDel="00C473A5">
        <w:rPr>
          <w:rFonts w:ascii="Times New Roman" w:hAnsi="Times New Roman"/>
          <w:sz w:val="24"/>
          <w:szCs w:val="24"/>
        </w:rPr>
        <w:t xml:space="preserve"> </w:t>
      </w:r>
    </w:p>
    <w:p w14:paraId="126CF47A" w14:textId="77777777" w:rsidR="00FE1F4F" w:rsidRPr="00091101" w:rsidRDefault="00FE1F4F" w:rsidP="00FE1F4F">
      <w:pPr>
        <w:jc w:val="both"/>
        <w:rPr>
          <w:rFonts w:ascii="Times New Roman" w:hAnsi="Times New Roman"/>
          <w:b/>
          <w:sz w:val="24"/>
          <w:szCs w:val="24"/>
        </w:rPr>
      </w:pPr>
      <w:r w:rsidRPr="0093490C">
        <w:rPr>
          <w:rFonts w:ascii="Times New Roman" w:hAnsi="Times New Roman"/>
          <w:b/>
          <w:sz w:val="24"/>
          <w:szCs w:val="24"/>
        </w:rPr>
        <w:t>2.</w:t>
      </w:r>
      <w:r w:rsidRPr="0093490C">
        <w:rPr>
          <w:rFonts w:ascii="Times New Roman" w:hAnsi="Times New Roman"/>
          <w:b/>
          <w:sz w:val="24"/>
          <w:szCs w:val="24"/>
          <w:lang w:val="en-US"/>
        </w:rPr>
        <w:t xml:space="preserve"> </w:t>
      </w:r>
      <w:r w:rsidRPr="00091101">
        <w:rPr>
          <w:rFonts w:ascii="Times New Roman" w:hAnsi="Times New Roman"/>
          <w:b/>
          <w:sz w:val="24"/>
          <w:szCs w:val="24"/>
        </w:rPr>
        <w:t xml:space="preserve">Недопустими </w:t>
      </w:r>
      <w:bookmarkStart w:id="0" w:name="_GoBack"/>
      <w:r>
        <w:rPr>
          <w:rFonts w:ascii="Times New Roman" w:hAnsi="Times New Roman"/>
          <w:b/>
          <w:sz w:val="24"/>
          <w:szCs w:val="24"/>
        </w:rPr>
        <w:t>кандидат</w:t>
      </w:r>
      <w:bookmarkEnd w:id="0"/>
      <w:r>
        <w:rPr>
          <w:rFonts w:ascii="Times New Roman" w:hAnsi="Times New Roman"/>
          <w:b/>
          <w:sz w:val="24"/>
          <w:szCs w:val="24"/>
        </w:rPr>
        <w:t>и</w:t>
      </w:r>
      <w:r w:rsidRPr="00091101">
        <w:rPr>
          <w:rFonts w:ascii="Times New Roman" w:hAnsi="Times New Roman"/>
          <w:b/>
          <w:sz w:val="24"/>
          <w:szCs w:val="24"/>
        </w:rPr>
        <w:t xml:space="preserve"> при избран режим </w:t>
      </w:r>
      <w:r>
        <w:rPr>
          <w:rFonts w:ascii="Times New Roman" w:hAnsi="Times New Roman"/>
          <w:b/>
          <w:sz w:val="24"/>
          <w:szCs w:val="24"/>
        </w:rPr>
        <w:t>“минимална помощ“ (de minimis):</w:t>
      </w:r>
    </w:p>
    <w:p w14:paraId="78EBB0BA" w14:textId="77777777" w:rsidR="00FE1F4F" w:rsidRPr="00153909" w:rsidRDefault="00FE1F4F" w:rsidP="00FE1F4F">
      <w:pPr>
        <w:jc w:val="both"/>
        <w:rPr>
          <w:rFonts w:ascii="Times New Roman" w:hAnsi="Times New Roman"/>
          <w:sz w:val="24"/>
          <w:szCs w:val="24"/>
        </w:rPr>
      </w:pPr>
      <w:r w:rsidRPr="00153909">
        <w:rPr>
          <w:rFonts w:ascii="Times New Roman" w:hAnsi="Times New Roman"/>
          <w:b/>
          <w:sz w:val="24"/>
          <w:szCs w:val="24"/>
        </w:rPr>
        <w:t>Кандидатите</w:t>
      </w:r>
      <w:r>
        <w:rPr>
          <w:rFonts w:ascii="Times New Roman" w:hAnsi="Times New Roman"/>
          <w:b/>
          <w:sz w:val="24"/>
          <w:szCs w:val="24"/>
        </w:rPr>
        <w:t xml:space="preserve"> </w:t>
      </w:r>
      <w:r w:rsidRPr="00153909">
        <w:rPr>
          <w:rFonts w:ascii="Times New Roman" w:hAnsi="Times New Roman"/>
          <w:b/>
          <w:sz w:val="24"/>
          <w:szCs w:val="24"/>
        </w:rPr>
        <w:t xml:space="preserve">не могат да участват </w:t>
      </w:r>
      <w:r w:rsidRPr="00153909">
        <w:rPr>
          <w:rFonts w:ascii="Times New Roman" w:hAnsi="Times New Roman"/>
          <w:sz w:val="24"/>
          <w:szCs w:val="24"/>
        </w:rPr>
        <w:t xml:space="preserve">в процедурата и да получат безвъзмездно финансиране , в случай че попадат в </w:t>
      </w:r>
      <w:r w:rsidRPr="00153909">
        <w:rPr>
          <w:rFonts w:ascii="Times New Roman" w:hAnsi="Times New Roman"/>
          <w:b/>
          <w:sz w:val="24"/>
          <w:szCs w:val="24"/>
        </w:rPr>
        <w:t>забранителните режими</w:t>
      </w:r>
      <w:r w:rsidRPr="00153909">
        <w:rPr>
          <w:rFonts w:ascii="Times New Roman" w:hAnsi="Times New Roman"/>
          <w:sz w:val="24"/>
          <w:szCs w:val="24"/>
        </w:rPr>
        <w:t xml:space="preserve"> на </w:t>
      </w:r>
      <w:r w:rsidRPr="00153909">
        <w:rPr>
          <w:rFonts w:ascii="Times New Roman" w:hAnsi="Times New Roman"/>
          <w:bCs/>
          <w:sz w:val="24"/>
          <w:szCs w:val="24"/>
        </w:rPr>
        <w:t xml:space="preserve">Регламент (ЕС) № 1407/2013 </w:t>
      </w:r>
      <w:r w:rsidRPr="00153909">
        <w:rPr>
          <w:rFonts w:ascii="Times New Roman" w:hAnsi="Times New Roman"/>
          <w:sz w:val="24"/>
          <w:szCs w:val="24"/>
        </w:rPr>
        <w:t>и по-конкретно, ако:</w:t>
      </w:r>
    </w:p>
    <w:p w14:paraId="04E7C98F" w14:textId="77777777" w:rsidR="00FE1F4F" w:rsidRPr="00153909" w:rsidRDefault="00FE1F4F" w:rsidP="00FE1F4F">
      <w:pPr>
        <w:jc w:val="both"/>
        <w:rPr>
          <w:rFonts w:ascii="Times New Roman" w:hAnsi="Times New Roman"/>
          <w:b/>
          <w:sz w:val="24"/>
          <w:szCs w:val="24"/>
        </w:rPr>
      </w:pPr>
      <w:r w:rsidRPr="00153909">
        <w:rPr>
          <w:rFonts w:ascii="Times New Roman" w:hAnsi="Times New Roman"/>
          <w:b/>
          <w:sz w:val="24"/>
          <w:szCs w:val="24"/>
        </w:rPr>
        <w:lastRenderedPageBreak/>
        <w:t>А)</w:t>
      </w:r>
      <w:r w:rsidRPr="00153909">
        <w:rPr>
          <w:rFonts w:ascii="Times New Roman" w:hAnsi="Times New Roman"/>
          <w:sz w:val="24"/>
          <w:szCs w:val="24"/>
        </w:rPr>
        <w:t xml:space="preserve"> Икономическата </w:t>
      </w:r>
      <w:r w:rsidRPr="00153909">
        <w:rPr>
          <w:rFonts w:ascii="Times New Roman" w:hAnsi="Times New Roman"/>
          <w:b/>
          <w:sz w:val="24"/>
          <w:szCs w:val="24"/>
        </w:rPr>
        <w:t>дейност</w:t>
      </w:r>
      <w:r w:rsidRPr="00153909">
        <w:rPr>
          <w:rFonts w:ascii="Times New Roman" w:hAnsi="Times New Roman"/>
          <w:sz w:val="24"/>
          <w:szCs w:val="24"/>
        </w:rPr>
        <w:t>,</w:t>
      </w:r>
      <w:r w:rsidRPr="00153909">
        <w:rPr>
          <w:rFonts w:ascii="Times New Roman" w:hAnsi="Times New Roman"/>
          <w:b/>
          <w:sz w:val="24"/>
          <w:szCs w:val="24"/>
        </w:rPr>
        <w:t xml:space="preserve"> за която кандидатстват се отнася до</w:t>
      </w:r>
      <w:r w:rsidRPr="00153909">
        <w:rPr>
          <w:rFonts w:ascii="Times New Roman" w:hAnsi="Times New Roman"/>
          <w:b/>
          <w:sz w:val="24"/>
          <w:szCs w:val="24"/>
          <w:vertAlign w:val="superscript"/>
        </w:rPr>
        <w:footnoteReference w:id="8"/>
      </w:r>
      <w:r w:rsidRPr="00153909">
        <w:rPr>
          <w:rFonts w:ascii="Times New Roman" w:hAnsi="Times New Roman"/>
          <w:b/>
          <w:sz w:val="24"/>
          <w:szCs w:val="24"/>
        </w:rPr>
        <w:t>:</w:t>
      </w:r>
    </w:p>
    <w:p w14:paraId="4B2C1B56" w14:textId="77777777" w:rsidR="00FE1F4F" w:rsidRPr="00153909" w:rsidRDefault="00FE1F4F" w:rsidP="00FE1F4F">
      <w:pPr>
        <w:jc w:val="both"/>
        <w:rPr>
          <w:rFonts w:ascii="Times New Roman" w:hAnsi="Times New Roman"/>
          <w:sz w:val="24"/>
          <w:szCs w:val="24"/>
        </w:rPr>
      </w:pPr>
      <w:r w:rsidRPr="00153909">
        <w:rPr>
          <w:rFonts w:ascii="Times New Roman" w:hAnsi="Times New Roman"/>
          <w:sz w:val="24"/>
          <w:szCs w:val="24"/>
        </w:rPr>
        <w:t>• сектора на рибарството и аквакултурите, уредени с Регламент (ЕС) № 1379/2013 (недопустими са предприятия, които кандидатстват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14:paraId="76218868" w14:textId="77777777" w:rsidR="00FE1F4F" w:rsidRPr="00153909" w:rsidRDefault="00FE1F4F" w:rsidP="00FE1F4F">
      <w:pPr>
        <w:jc w:val="both"/>
        <w:rPr>
          <w:rFonts w:ascii="Times New Roman" w:hAnsi="Times New Roman"/>
          <w:sz w:val="24"/>
          <w:szCs w:val="24"/>
        </w:rPr>
      </w:pPr>
      <w:r w:rsidRPr="00153909">
        <w:rPr>
          <w:rFonts w:ascii="Times New Roman" w:hAnsi="Times New Roman"/>
          <w:sz w:val="24"/>
          <w:szCs w:val="24"/>
        </w:rPr>
        <w:t>• сектора на първично производство на селскостопански продукти;</w:t>
      </w:r>
    </w:p>
    <w:p w14:paraId="7F7AF9A2" w14:textId="77777777" w:rsidR="00FE1F4F" w:rsidRPr="00153909" w:rsidRDefault="00FE1F4F" w:rsidP="00FE1F4F">
      <w:pPr>
        <w:jc w:val="both"/>
        <w:rPr>
          <w:rFonts w:ascii="Times New Roman" w:hAnsi="Times New Roman"/>
          <w:sz w:val="24"/>
          <w:szCs w:val="24"/>
        </w:rPr>
      </w:pPr>
      <w:r w:rsidRPr="00153909">
        <w:rPr>
          <w:rFonts w:ascii="Times New Roman" w:hAnsi="Times New Roman"/>
          <w:sz w:val="24"/>
          <w:szCs w:val="24"/>
        </w:rPr>
        <w:t>• сектора на преработката и търговията със селскостопански продукти, в следните случаи:</w:t>
      </w:r>
    </w:p>
    <w:p w14:paraId="2BC7C5CC" w14:textId="77777777" w:rsidR="00FE1F4F" w:rsidRPr="00153909" w:rsidRDefault="00FE1F4F" w:rsidP="00FE1F4F">
      <w:pPr>
        <w:jc w:val="both"/>
        <w:rPr>
          <w:rFonts w:ascii="Times New Roman" w:hAnsi="Times New Roman"/>
          <w:sz w:val="24"/>
          <w:szCs w:val="24"/>
        </w:rPr>
      </w:pPr>
      <w:r w:rsidRPr="00153909">
        <w:rPr>
          <w:rFonts w:ascii="Times New Roman" w:hAnsi="Times New Roman"/>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29FBE606" w14:textId="77777777" w:rsidR="00FE1F4F" w:rsidRPr="00153909" w:rsidRDefault="00FE1F4F" w:rsidP="00FE1F4F">
      <w:pPr>
        <w:jc w:val="both"/>
        <w:rPr>
          <w:rFonts w:ascii="Times New Roman" w:hAnsi="Times New Roman"/>
          <w:sz w:val="24"/>
          <w:szCs w:val="24"/>
        </w:rPr>
      </w:pPr>
      <w:r w:rsidRPr="00153909">
        <w:rPr>
          <w:rFonts w:ascii="Times New Roman" w:hAnsi="Times New Roman"/>
          <w:sz w:val="24"/>
          <w:szCs w:val="24"/>
        </w:rPr>
        <w:t>- когато помощта е свързана със задължението да бъде прехвърлена частично или изцяло на първичните производи</w:t>
      </w:r>
      <w:r w:rsidRPr="00153909">
        <w:rPr>
          <w:rFonts w:ascii="Times New Roman" w:hAnsi="Times New Roman"/>
          <w:sz w:val="24"/>
          <w:szCs w:val="24"/>
        </w:rPr>
        <w:softHyphen/>
        <w:t>тели.</w:t>
      </w:r>
    </w:p>
    <w:p w14:paraId="3FB42F86" w14:textId="77777777" w:rsidR="00FE1F4F" w:rsidRPr="00153909" w:rsidRDefault="00FE1F4F" w:rsidP="00FE1F4F">
      <w:pPr>
        <w:jc w:val="both"/>
        <w:rPr>
          <w:rFonts w:ascii="Times New Roman" w:hAnsi="Times New Roman"/>
          <w:b/>
          <w:sz w:val="24"/>
          <w:szCs w:val="24"/>
        </w:rPr>
      </w:pPr>
      <w:r w:rsidRPr="00153909">
        <w:rPr>
          <w:rFonts w:ascii="Times New Roman" w:hAnsi="Times New Roman"/>
          <w:b/>
          <w:sz w:val="24"/>
          <w:szCs w:val="24"/>
        </w:rPr>
        <w:t>Б) Финансирането представлява:</w:t>
      </w:r>
    </w:p>
    <w:p w14:paraId="7E8FFC1F" w14:textId="77777777" w:rsidR="00FE1F4F" w:rsidRPr="00153909" w:rsidRDefault="00FE1F4F" w:rsidP="00FE1F4F">
      <w:pPr>
        <w:jc w:val="both"/>
        <w:rPr>
          <w:rFonts w:ascii="Times New Roman" w:hAnsi="Times New Roman"/>
          <w:sz w:val="24"/>
          <w:szCs w:val="24"/>
        </w:rPr>
      </w:pPr>
      <w:r w:rsidRPr="00153909">
        <w:rPr>
          <w:rFonts w:ascii="Times New Roman" w:hAnsi="Times New Roman"/>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74C8264C" w14:textId="77777777" w:rsidR="00FE1F4F" w:rsidRPr="00153909" w:rsidRDefault="00FE1F4F" w:rsidP="00FE1F4F">
      <w:pPr>
        <w:jc w:val="both"/>
        <w:rPr>
          <w:rFonts w:ascii="Times New Roman" w:hAnsi="Times New Roman"/>
          <w:sz w:val="24"/>
          <w:szCs w:val="24"/>
        </w:rPr>
      </w:pPr>
      <w:r w:rsidRPr="00153909">
        <w:rPr>
          <w:rFonts w:ascii="Times New Roman" w:hAnsi="Times New Roman"/>
          <w:sz w:val="24"/>
          <w:szCs w:val="24"/>
        </w:rPr>
        <w:t>• помощ, поставена в зависимост от преференциално използване на национални продукти спрямо вносни такива;</w:t>
      </w:r>
    </w:p>
    <w:p w14:paraId="3D722752" w14:textId="77777777" w:rsidR="00FE1F4F" w:rsidRDefault="00FE1F4F" w:rsidP="00FE1F4F">
      <w:pPr>
        <w:jc w:val="both"/>
        <w:rPr>
          <w:rFonts w:ascii="Times New Roman" w:hAnsi="Times New Roman"/>
          <w:sz w:val="24"/>
          <w:szCs w:val="24"/>
        </w:rPr>
      </w:pPr>
      <w:r w:rsidRPr="00153909">
        <w:rPr>
          <w:rFonts w:ascii="Times New Roman" w:hAnsi="Times New Roman"/>
          <w:sz w:val="24"/>
          <w:szCs w:val="24"/>
        </w:rPr>
        <w:t>• помощ, която ще се използва за придобиването на товарни автомобили от предприятия, които осъществяват автомобилни товарни превози за чужда сметка или срещу възнаграждение.</w:t>
      </w:r>
    </w:p>
    <w:p w14:paraId="5F5B5C6A" w14:textId="77777777" w:rsidR="00FE1F4F" w:rsidRPr="00153909" w:rsidRDefault="00FE1F4F" w:rsidP="00FE1F4F">
      <w:pPr>
        <w:jc w:val="both"/>
        <w:rPr>
          <w:rFonts w:ascii="Times New Roman" w:hAnsi="Times New Roman"/>
          <w:sz w:val="24"/>
          <w:szCs w:val="24"/>
        </w:rPr>
      </w:pPr>
    </w:p>
    <w:p w14:paraId="7386D5C8" w14:textId="77777777" w:rsidR="00FE1F4F" w:rsidRPr="00153909" w:rsidRDefault="00FE1F4F" w:rsidP="00954589">
      <w:pPr>
        <w:jc w:val="both"/>
        <w:rPr>
          <w:rFonts w:ascii="Times New Roman" w:hAnsi="Times New Roman"/>
          <w:sz w:val="24"/>
          <w:szCs w:val="24"/>
        </w:rPr>
      </w:pPr>
    </w:p>
    <w:sectPr w:rsidR="00FE1F4F" w:rsidRPr="00153909" w:rsidSect="00F01863">
      <w:headerReference w:type="even" r:id="rId7"/>
      <w:headerReference w:type="default" r:id="rId8"/>
      <w:footerReference w:type="even" r:id="rId9"/>
      <w:footerReference w:type="default" r:id="rId10"/>
      <w:headerReference w:type="first" r:id="rId11"/>
      <w:footerReference w:type="first" r:id="rId12"/>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D35FA" w14:textId="77777777" w:rsidR="00762BD8" w:rsidRDefault="00762BD8" w:rsidP="007D773B">
      <w:pPr>
        <w:spacing w:after="0" w:line="240" w:lineRule="auto"/>
      </w:pPr>
      <w:r>
        <w:separator/>
      </w:r>
    </w:p>
  </w:endnote>
  <w:endnote w:type="continuationSeparator" w:id="0">
    <w:p w14:paraId="1FCACA00" w14:textId="77777777" w:rsidR="00762BD8" w:rsidRDefault="00762BD8" w:rsidP="007D7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EF6AE" w14:textId="77777777" w:rsidR="00F75137" w:rsidRDefault="00F751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08340"/>
      <w:docPartObj>
        <w:docPartGallery w:val="Page Numbers (Bottom of Page)"/>
        <w:docPartUnique/>
      </w:docPartObj>
    </w:sdtPr>
    <w:sdtEndPr>
      <w:rPr>
        <w:rFonts w:ascii="Times New Roman" w:hAnsi="Times New Roman"/>
        <w:noProof/>
      </w:rPr>
    </w:sdtEndPr>
    <w:sdtContent>
      <w:p w14:paraId="4E828273" w14:textId="378250F3" w:rsidR="00BA0AA1" w:rsidRDefault="00BA0AA1">
        <w:pPr>
          <w:pStyle w:val="Footer"/>
          <w:jc w:val="center"/>
        </w:pPr>
        <w:r w:rsidRPr="00BA0AA1">
          <w:rPr>
            <w:rFonts w:ascii="Times New Roman" w:hAnsi="Times New Roman"/>
          </w:rPr>
          <w:fldChar w:fldCharType="begin"/>
        </w:r>
        <w:r w:rsidRPr="00BA0AA1">
          <w:rPr>
            <w:rFonts w:ascii="Times New Roman" w:hAnsi="Times New Roman"/>
          </w:rPr>
          <w:instrText xml:space="preserve"> PAGE   \* MERGEFORMAT </w:instrText>
        </w:r>
        <w:r w:rsidRPr="00BA0AA1">
          <w:rPr>
            <w:rFonts w:ascii="Times New Roman" w:hAnsi="Times New Roman"/>
          </w:rPr>
          <w:fldChar w:fldCharType="separate"/>
        </w:r>
        <w:r w:rsidR="00BC4C2E">
          <w:rPr>
            <w:rFonts w:ascii="Times New Roman" w:hAnsi="Times New Roman"/>
            <w:noProof/>
          </w:rPr>
          <w:t>4</w:t>
        </w:r>
        <w:r w:rsidRPr="00BA0AA1">
          <w:rPr>
            <w:rFonts w:ascii="Times New Roman" w:hAnsi="Times New Roman"/>
            <w:noProof/>
          </w:rPr>
          <w:fldChar w:fldCharType="end"/>
        </w:r>
      </w:p>
    </w:sdtContent>
  </w:sdt>
  <w:p w14:paraId="7BC952F1" w14:textId="77777777" w:rsidR="00BA0AA1" w:rsidRDefault="00BA0A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F9888" w14:textId="77777777" w:rsidR="00F75137" w:rsidRDefault="00F751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5B079" w14:textId="77777777" w:rsidR="00762BD8" w:rsidRDefault="00762BD8" w:rsidP="007D773B">
      <w:pPr>
        <w:spacing w:after="0" w:line="240" w:lineRule="auto"/>
      </w:pPr>
      <w:r>
        <w:separator/>
      </w:r>
    </w:p>
  </w:footnote>
  <w:footnote w:type="continuationSeparator" w:id="0">
    <w:p w14:paraId="7CB384A5" w14:textId="77777777" w:rsidR="00762BD8" w:rsidRDefault="00762BD8" w:rsidP="007D773B">
      <w:pPr>
        <w:spacing w:after="0" w:line="240" w:lineRule="auto"/>
      </w:pPr>
      <w:r>
        <w:continuationSeparator/>
      </w:r>
    </w:p>
  </w:footnote>
  <w:footnote w:id="1">
    <w:p w14:paraId="79983066" w14:textId="7BCB584F" w:rsidR="002A7526" w:rsidRPr="003D36D4" w:rsidRDefault="002A7526" w:rsidP="00042EE0">
      <w:pPr>
        <w:pStyle w:val="FootnoteText"/>
        <w:jc w:val="both"/>
        <w:rPr>
          <w:rFonts w:ascii="Times New Roman" w:hAnsi="Times New Roman"/>
          <w:lang w:val="en-US"/>
        </w:rPr>
      </w:pPr>
      <w:r w:rsidRPr="003D36D4">
        <w:rPr>
          <w:rStyle w:val="FootnoteReference"/>
          <w:rFonts w:ascii="Times New Roman" w:hAnsi="Times New Roman"/>
        </w:rPr>
        <w:footnoteRef/>
      </w:r>
      <w:r w:rsidRPr="003D36D4">
        <w:rPr>
          <w:rFonts w:ascii="Times New Roman" w:hAnsi="Times New Roman"/>
        </w:rPr>
        <w:t xml:space="preserve"> Съгласно дефинициите, дадени в чл. 2, пар. 8, 9, 10, 11, 43, 44, 45 от Регламент на Комисията (ЕС) № 651/2014, т. 12 от Рамката за държавната помощ за корабостроенето и Приложение</w:t>
      </w:r>
      <w:r w:rsidR="003D36D4">
        <w:rPr>
          <w:rFonts w:ascii="Times New Roman" w:hAnsi="Times New Roman"/>
          <w:lang w:val="en-US"/>
        </w:rPr>
        <w:t xml:space="preserve"> 1</w:t>
      </w:r>
      <w:r w:rsidR="007E32EF">
        <w:rPr>
          <w:rFonts w:ascii="Times New Roman" w:hAnsi="Times New Roman"/>
        </w:rPr>
        <w:t>4</w:t>
      </w:r>
      <w:r w:rsidRPr="003D36D4">
        <w:rPr>
          <w:rFonts w:ascii="Times New Roman" w:hAnsi="Times New Roman"/>
        </w:rPr>
        <w:t xml:space="preserve"> към настоящите Условия за кандидатстване</w:t>
      </w:r>
      <w:r w:rsidR="003D36D4">
        <w:rPr>
          <w:rFonts w:ascii="Times New Roman" w:hAnsi="Times New Roman"/>
          <w:lang w:val="en-US"/>
        </w:rPr>
        <w:t>.</w:t>
      </w:r>
    </w:p>
  </w:footnote>
  <w:footnote w:id="2">
    <w:p w14:paraId="3E070E5E"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 1, пар. 4, б. а) от Регламент на Комисията (ЕС) № 651/2014г.</w:t>
      </w:r>
    </w:p>
  </w:footnote>
  <w:footnote w:id="3">
    <w:p w14:paraId="2FBF13DA" w14:textId="52347EC5"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Проверка по отношение на обстоятелството дали кандидатите</w:t>
      </w:r>
      <w:r w:rsidR="00FC1A7F">
        <w:rPr>
          <w:rFonts w:ascii="Times New Roman" w:hAnsi="Times New Roman"/>
        </w:rPr>
        <w:t>/партньорите</w:t>
      </w:r>
      <w:r w:rsidRPr="003D36D4">
        <w:rPr>
          <w:rFonts w:ascii="Times New Roman" w:hAnsi="Times New Roman"/>
        </w:rPr>
        <w:t xml:space="preserve"> (и на ниво група) попадат в определението за затруднено положение по чл. 2, пар. 18 от Регламент (ЕС) № 651/2014 ще бъде извършвана спрямо всички кандидати</w:t>
      </w:r>
      <w:r w:rsidR="00FC1A7F">
        <w:rPr>
          <w:rFonts w:ascii="Times New Roman" w:hAnsi="Times New Roman"/>
        </w:rPr>
        <w:t>/партньори</w:t>
      </w:r>
      <w:r w:rsidRPr="003D36D4">
        <w:rPr>
          <w:rFonts w:ascii="Times New Roman" w:hAnsi="Times New Roman"/>
        </w:rPr>
        <w:t xml:space="preserve"> съгласно данни от Декларацията за държавни помощи, удостоверение за актуално състояние, налична информация в публичните регистри (вкл. ТР</w:t>
      </w:r>
      <w:r w:rsidRPr="003D36D4">
        <w:rPr>
          <w:rFonts w:ascii="Times New Roman" w:hAnsi="Times New Roman"/>
          <w:sz w:val="22"/>
          <w:szCs w:val="22"/>
        </w:rPr>
        <w:t xml:space="preserve"> </w:t>
      </w:r>
      <w:r w:rsidRPr="003D36D4">
        <w:rPr>
          <w:rFonts w:ascii="Times New Roman" w:hAnsi="Times New Roman"/>
        </w:rPr>
        <w:t>и регистър на ЮЛНЦ) и Годишен отчет за дейността за последните три приключени финансови  години (2019, 2020 и 2021 г.)</w:t>
      </w:r>
    </w:p>
  </w:footnote>
  <w:footnote w:id="4">
    <w:p w14:paraId="506954A8" w14:textId="52E40EDD"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Съгласно данните от формуляра „Счетоводен баланс“ на предприятието-кандидат</w:t>
      </w:r>
      <w:r w:rsidR="00FC1A7F">
        <w:rPr>
          <w:rFonts w:ascii="Times New Roman" w:hAnsi="Times New Roman"/>
        </w:rPr>
        <w:t>/партньор</w:t>
      </w:r>
      <w:r w:rsidRPr="003D36D4">
        <w:rPr>
          <w:rFonts w:ascii="Times New Roman" w:hAnsi="Times New Roman"/>
        </w:rPr>
        <w:t>, част от Годишния отчет за дейността, подаден към НСИ, за последната приключена финансова година.</w:t>
      </w:r>
    </w:p>
  </w:footnote>
  <w:footnote w:id="5">
    <w:p w14:paraId="73E18F4A" w14:textId="77777777"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 1, пар. 2, б. в) от Регламент на Комисията (ЕС) № 651/2014г.</w:t>
      </w:r>
    </w:p>
  </w:footnote>
  <w:footnote w:id="6">
    <w:p w14:paraId="2F42F70E" w14:textId="77777777"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 1, пар. 2, б. г) от Регламент на Комисията (ЕС) № 651/2014г.</w:t>
      </w:r>
    </w:p>
  </w:footnote>
  <w:footnote w:id="7">
    <w:p w14:paraId="4EF5305D" w14:textId="77777777" w:rsidR="00FE1F4F" w:rsidRPr="00134330" w:rsidRDefault="00FE1F4F" w:rsidP="00FE1F4F">
      <w:pPr>
        <w:pStyle w:val="FootnoteText"/>
        <w:rPr>
          <w:rFonts w:ascii="Times New Roman" w:hAnsi="Times New Roman"/>
        </w:rPr>
      </w:pPr>
      <w:r w:rsidRPr="00134330">
        <w:rPr>
          <w:rStyle w:val="FootnoteReference"/>
          <w:rFonts w:ascii="Times New Roman" w:hAnsi="Times New Roman"/>
        </w:rPr>
        <w:footnoteRef/>
      </w:r>
      <w:r w:rsidRPr="00134330">
        <w:rPr>
          <w:rFonts w:ascii="Times New Roman" w:hAnsi="Times New Roman"/>
        </w:rPr>
        <w:t xml:space="preserve"> По смисъла на чл. 2, пар. 2 на Регламент (ЕС) № 1407/2013</w:t>
      </w:r>
      <w:r>
        <w:rPr>
          <w:rFonts w:ascii="Times New Roman" w:hAnsi="Times New Roman"/>
        </w:rPr>
        <w:t>г.</w:t>
      </w:r>
    </w:p>
  </w:footnote>
  <w:footnote w:id="8">
    <w:p w14:paraId="2F4D422B" w14:textId="4307D353" w:rsidR="00FE1F4F" w:rsidRPr="003D36D4" w:rsidRDefault="00FE1F4F" w:rsidP="00FE1F4F">
      <w:pPr>
        <w:pStyle w:val="FootnoteText"/>
        <w:jc w:val="both"/>
        <w:rPr>
          <w:rFonts w:ascii="Times New Roman" w:hAnsi="Times New Roman"/>
          <w:lang w:val="en-US"/>
        </w:rPr>
      </w:pPr>
      <w:r w:rsidRPr="003D36D4">
        <w:rPr>
          <w:rFonts w:ascii="Times New Roman" w:hAnsi="Times New Roman"/>
        </w:rPr>
        <w:footnoteRef/>
      </w:r>
      <w:r w:rsidRPr="003D36D4">
        <w:rPr>
          <w:rFonts w:ascii="Times New Roman" w:hAnsi="Times New Roman"/>
        </w:rPr>
        <w:t xml:space="preserve"> Съгласно дефинициите, дадени в чл. </w:t>
      </w:r>
      <w:r w:rsidRPr="003D36D4">
        <w:rPr>
          <w:rFonts w:ascii="Times New Roman" w:hAnsi="Times New Roman"/>
        </w:rPr>
        <w:t xml:space="preserve">2 от Регламент на Комисията (ЕС) 1407/2013 и Приложение </w:t>
      </w:r>
      <w:r>
        <w:rPr>
          <w:rFonts w:ascii="Times New Roman" w:hAnsi="Times New Roman"/>
          <w:lang w:val="en-US"/>
        </w:rPr>
        <w:t>1</w:t>
      </w:r>
      <w:r w:rsidR="007E32EF">
        <w:rPr>
          <w:rFonts w:ascii="Times New Roman" w:hAnsi="Times New Roman"/>
        </w:rPr>
        <w:t>4</w:t>
      </w:r>
      <w:r w:rsidRPr="003D36D4">
        <w:rPr>
          <w:rFonts w:ascii="Times New Roman" w:hAnsi="Times New Roman"/>
        </w:rPr>
        <w:t xml:space="preserve"> към настоящите Условия за кандидатстване</w:t>
      </w:r>
      <w:r>
        <w:rPr>
          <w:rFonts w:ascii="Times New Roman" w:hAnsi="Times New Roman"/>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F3E63" w14:textId="30B3948E" w:rsidR="00F75137" w:rsidRDefault="00762BD8">
    <w:pPr>
      <w:pStyle w:val="Header"/>
    </w:pPr>
    <w:r>
      <w:rPr>
        <w:noProof/>
      </w:rPr>
      <w:pict w14:anchorId="4921CC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95829" o:spid="_x0000_s2051" type="#_x0000_t136" style="position:absolute;margin-left:0;margin-top:0;width:484.9pt;height:138.55pt;rotation:315;z-index:-251655168;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0B503" w14:textId="64AFE4E1" w:rsidR="00CF69E3" w:rsidRDefault="00762BD8" w:rsidP="001A3325">
    <w:pPr>
      <w:pStyle w:val="Header"/>
      <w:tabs>
        <w:tab w:val="clear" w:pos="4536"/>
        <w:tab w:val="clear" w:pos="9072"/>
        <w:tab w:val="right" w:pos="8844"/>
      </w:tabs>
    </w:pPr>
    <w:r>
      <w:rPr>
        <w:noProof/>
      </w:rPr>
      <w:pict w14:anchorId="79D11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95830" o:spid="_x0000_s2052" type="#_x0000_t136" style="position:absolute;margin-left:0;margin-top:0;width:484.9pt;height:138.55pt;rotation:315;z-index:-251653120;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r w:rsidR="001A3325" w:rsidRPr="00AA73A7">
      <w:rPr>
        <w:i/>
        <w:noProof/>
        <w:lang w:eastAsia="bg-BG"/>
      </w:rPr>
      <w:drawing>
        <wp:inline distT="0" distB="0" distL="0" distR="0" wp14:anchorId="4890C832" wp14:editId="4A101124">
          <wp:extent cx="2009775" cy="4667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725"/>
                  </a:xfrm>
                  <a:prstGeom prst="rect">
                    <a:avLst/>
                  </a:prstGeom>
                  <a:noFill/>
                  <a:ln>
                    <a:noFill/>
                  </a:ln>
                </pic:spPr>
              </pic:pic>
            </a:graphicData>
          </a:graphic>
        </wp:inline>
      </w:drawing>
    </w:r>
    <w:r w:rsidR="001A3325">
      <w:tab/>
    </w:r>
    <w:r w:rsidR="001A3325">
      <w:rPr>
        <w:noProof/>
      </w:rPr>
      <w:fldChar w:fldCharType="begin"/>
    </w:r>
    <w:r w:rsidR="001A3325">
      <w:rPr>
        <w:noProof/>
      </w:rPr>
      <w:instrText xml:space="preserve"> INCLUDEPICTURE  "cid:image001.png@01D8FB39.06A872C0" \* MERGEFORMATINET </w:instrText>
    </w:r>
    <w:r w:rsidR="001A3325">
      <w:rPr>
        <w:noProof/>
      </w:rPr>
      <w:fldChar w:fldCharType="separate"/>
    </w:r>
    <w:r w:rsidR="001A3325">
      <w:rPr>
        <w:noProof/>
      </w:rPr>
      <w:fldChar w:fldCharType="begin"/>
    </w:r>
    <w:r w:rsidR="001A3325">
      <w:rPr>
        <w:noProof/>
      </w:rPr>
      <w:instrText xml:space="preserve"> INCLUDEPICTURE  "cid:image001.png@01D8FB39.06A872C0" \* MERGEFORMATINET </w:instrText>
    </w:r>
    <w:r w:rsidR="001A3325">
      <w:rPr>
        <w:noProof/>
      </w:rPr>
      <w:fldChar w:fldCharType="separate"/>
    </w:r>
    <w:r w:rsidR="00C96E7E">
      <w:rPr>
        <w:noProof/>
      </w:rPr>
      <w:fldChar w:fldCharType="begin"/>
    </w:r>
    <w:r w:rsidR="00C96E7E">
      <w:rPr>
        <w:noProof/>
      </w:rPr>
      <w:instrText xml:space="preserve"> INCLUDEPICTURE  "cid:image001.png@01D8FB39.06A872C0" \* MERGEFORMATINET </w:instrText>
    </w:r>
    <w:r w:rsidR="00C96E7E">
      <w:rPr>
        <w:noProof/>
      </w:rPr>
      <w:fldChar w:fldCharType="separate"/>
    </w:r>
    <w:r w:rsidR="003E21AE">
      <w:rPr>
        <w:noProof/>
      </w:rPr>
      <w:fldChar w:fldCharType="begin"/>
    </w:r>
    <w:r w:rsidR="003E21AE">
      <w:rPr>
        <w:noProof/>
      </w:rPr>
      <w:instrText xml:space="preserve"> INCLUDEPICTURE  "cid:image001.png@01D8FB39.06A872C0" \* MERGEFORMATINET </w:instrText>
    </w:r>
    <w:r w:rsidR="003E21AE">
      <w:rPr>
        <w:noProof/>
      </w:rPr>
      <w:fldChar w:fldCharType="separate"/>
    </w:r>
    <w:r w:rsidR="00BC60D5">
      <w:rPr>
        <w:noProof/>
      </w:rPr>
      <w:fldChar w:fldCharType="begin"/>
    </w:r>
    <w:r w:rsidR="00BC60D5">
      <w:rPr>
        <w:noProof/>
      </w:rPr>
      <w:instrText xml:space="preserve"> INCLUDEPICTURE  "cid:image001.png@01D8FB39.06A872C0" \* MERGEFORMATINET </w:instrText>
    </w:r>
    <w:r w:rsidR="00BC60D5">
      <w:rPr>
        <w:noProof/>
      </w:rPr>
      <w:fldChar w:fldCharType="separate"/>
    </w:r>
    <w:r w:rsidR="001F6A3F">
      <w:rPr>
        <w:noProof/>
      </w:rPr>
      <w:fldChar w:fldCharType="begin"/>
    </w:r>
    <w:r w:rsidR="001F6A3F">
      <w:rPr>
        <w:noProof/>
      </w:rPr>
      <w:instrText xml:space="preserve"> INCLUDEPICTURE  "cid:image001.png@01D8FB39.06A872C0" \* MERGEFORMATINET </w:instrText>
    </w:r>
    <w:r w:rsidR="001F6A3F">
      <w:rPr>
        <w:noProof/>
      </w:rPr>
      <w:fldChar w:fldCharType="separate"/>
    </w:r>
    <w:r w:rsidR="00135F11">
      <w:rPr>
        <w:noProof/>
      </w:rPr>
      <w:fldChar w:fldCharType="begin"/>
    </w:r>
    <w:r w:rsidR="00135F11">
      <w:rPr>
        <w:noProof/>
      </w:rPr>
      <w:instrText xml:space="preserve"> INCLUDEPICTURE  "cid:image001.png@01D8FB39.06A872C0" \* MERGEFORMATINET </w:instrText>
    </w:r>
    <w:r w:rsidR="00135F11">
      <w:rPr>
        <w:noProof/>
      </w:rPr>
      <w:fldChar w:fldCharType="separate"/>
    </w:r>
    <w:r w:rsidR="002C5621">
      <w:rPr>
        <w:noProof/>
      </w:rPr>
      <w:fldChar w:fldCharType="begin"/>
    </w:r>
    <w:r w:rsidR="002C5621">
      <w:rPr>
        <w:noProof/>
      </w:rPr>
      <w:instrText xml:space="preserve"> INCLUDEPICTURE  "cid:image001.png@01D8FB39.06A872C0" \* MERGEFORMATINET </w:instrText>
    </w:r>
    <w:r w:rsidR="002C5621">
      <w:rPr>
        <w:noProof/>
      </w:rPr>
      <w:fldChar w:fldCharType="separate"/>
    </w:r>
    <w:r>
      <w:rPr>
        <w:noProof/>
      </w:rPr>
      <w:fldChar w:fldCharType="begin"/>
    </w:r>
    <w:r>
      <w:rPr>
        <w:noProof/>
      </w:rPr>
      <w:instrText xml:space="preserve"> </w:instrText>
    </w:r>
    <w:r>
      <w:rPr>
        <w:noProof/>
      </w:rPr>
      <w:instrText>INCLUDEPICTURE  "cid:image001.png@01D8FB39.06A872C0" \* MERGEFORMATINET</w:instrText>
    </w:r>
    <w:r>
      <w:rPr>
        <w:noProof/>
      </w:rPr>
      <w:instrText xml:space="preserve"> </w:instrText>
    </w:r>
    <w:r>
      <w:rPr>
        <w:noProof/>
      </w:rPr>
      <w:fldChar w:fldCharType="separate"/>
    </w:r>
    <w:r>
      <w:rPr>
        <w:noProof/>
      </w:rPr>
      <w:pict w14:anchorId="20DB65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41.25pt;visibility:visible">
          <v:imagedata r:id="rId2" r:href="rId3"/>
        </v:shape>
      </w:pict>
    </w:r>
    <w:r>
      <w:rPr>
        <w:noProof/>
      </w:rPr>
      <w:fldChar w:fldCharType="end"/>
    </w:r>
    <w:r w:rsidR="002C5621">
      <w:rPr>
        <w:noProof/>
      </w:rPr>
      <w:fldChar w:fldCharType="end"/>
    </w:r>
    <w:r w:rsidR="00135F11">
      <w:rPr>
        <w:noProof/>
      </w:rPr>
      <w:fldChar w:fldCharType="end"/>
    </w:r>
    <w:r w:rsidR="001F6A3F">
      <w:rPr>
        <w:noProof/>
      </w:rPr>
      <w:fldChar w:fldCharType="end"/>
    </w:r>
    <w:r w:rsidR="00BC60D5">
      <w:rPr>
        <w:noProof/>
      </w:rPr>
      <w:fldChar w:fldCharType="end"/>
    </w:r>
    <w:r w:rsidR="003E21AE">
      <w:rPr>
        <w:noProof/>
      </w:rPr>
      <w:fldChar w:fldCharType="end"/>
    </w:r>
    <w:r w:rsidR="00C96E7E">
      <w:rPr>
        <w:noProof/>
      </w:rPr>
      <w:fldChar w:fldCharType="end"/>
    </w:r>
    <w:r w:rsidR="001A3325">
      <w:rPr>
        <w:noProof/>
      </w:rPr>
      <w:fldChar w:fldCharType="end"/>
    </w:r>
    <w:r w:rsidR="001A3325">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1B083" w14:textId="04CFF43C" w:rsidR="00F75137" w:rsidRDefault="00762BD8">
    <w:pPr>
      <w:pStyle w:val="Header"/>
    </w:pPr>
    <w:r>
      <w:rPr>
        <w:noProof/>
      </w:rPr>
      <w:pict w14:anchorId="0F2476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95828" o:spid="_x0000_s2050" type="#_x0000_t136" style="position:absolute;margin-left:0;margin-top:0;width:484.9pt;height:138.55pt;rotation:315;z-index:-251657216;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2C"/>
    <w:rsid w:val="00014939"/>
    <w:rsid w:val="00017DD1"/>
    <w:rsid w:val="00021894"/>
    <w:rsid w:val="00042D0E"/>
    <w:rsid w:val="00042EE0"/>
    <w:rsid w:val="00053778"/>
    <w:rsid w:val="00091101"/>
    <w:rsid w:val="000948D6"/>
    <w:rsid w:val="000C5D84"/>
    <w:rsid w:val="000D2394"/>
    <w:rsid w:val="00134330"/>
    <w:rsid w:val="00135F11"/>
    <w:rsid w:val="00153909"/>
    <w:rsid w:val="001775F8"/>
    <w:rsid w:val="00181616"/>
    <w:rsid w:val="001A3325"/>
    <w:rsid w:val="001F49EC"/>
    <w:rsid w:val="001F6A3F"/>
    <w:rsid w:val="00212471"/>
    <w:rsid w:val="00224B83"/>
    <w:rsid w:val="002652DE"/>
    <w:rsid w:val="002705A7"/>
    <w:rsid w:val="002A7526"/>
    <w:rsid w:val="002B159B"/>
    <w:rsid w:val="002C5621"/>
    <w:rsid w:val="003A08DF"/>
    <w:rsid w:val="003B1AA6"/>
    <w:rsid w:val="003C4B39"/>
    <w:rsid w:val="003D36D4"/>
    <w:rsid w:val="003E21AE"/>
    <w:rsid w:val="0042382C"/>
    <w:rsid w:val="00490A59"/>
    <w:rsid w:val="00496E34"/>
    <w:rsid w:val="004C3B19"/>
    <w:rsid w:val="00521BF0"/>
    <w:rsid w:val="0053485A"/>
    <w:rsid w:val="00546539"/>
    <w:rsid w:val="005D1097"/>
    <w:rsid w:val="005D3E9F"/>
    <w:rsid w:val="005F7216"/>
    <w:rsid w:val="00601BF3"/>
    <w:rsid w:val="00633EDF"/>
    <w:rsid w:val="006660BB"/>
    <w:rsid w:val="00677537"/>
    <w:rsid w:val="006B37C9"/>
    <w:rsid w:val="00710193"/>
    <w:rsid w:val="00720B38"/>
    <w:rsid w:val="00762BD8"/>
    <w:rsid w:val="007845B5"/>
    <w:rsid w:val="007D773B"/>
    <w:rsid w:val="007E32EF"/>
    <w:rsid w:val="00810F3A"/>
    <w:rsid w:val="008A7829"/>
    <w:rsid w:val="009212FC"/>
    <w:rsid w:val="0093490C"/>
    <w:rsid w:val="00937DF4"/>
    <w:rsid w:val="00954589"/>
    <w:rsid w:val="009640FF"/>
    <w:rsid w:val="0097620D"/>
    <w:rsid w:val="009765AA"/>
    <w:rsid w:val="009A55AA"/>
    <w:rsid w:val="009C635F"/>
    <w:rsid w:val="009E3C2C"/>
    <w:rsid w:val="00A22952"/>
    <w:rsid w:val="00A3243B"/>
    <w:rsid w:val="00AA7C55"/>
    <w:rsid w:val="00B0575B"/>
    <w:rsid w:val="00B171E7"/>
    <w:rsid w:val="00B23385"/>
    <w:rsid w:val="00B56968"/>
    <w:rsid w:val="00B969A1"/>
    <w:rsid w:val="00BA0AA1"/>
    <w:rsid w:val="00BB0310"/>
    <w:rsid w:val="00BC03FB"/>
    <w:rsid w:val="00BC4C2E"/>
    <w:rsid w:val="00BC60D5"/>
    <w:rsid w:val="00BC696D"/>
    <w:rsid w:val="00BF06A2"/>
    <w:rsid w:val="00BF0F93"/>
    <w:rsid w:val="00C96E7E"/>
    <w:rsid w:val="00C971CB"/>
    <w:rsid w:val="00CA62F1"/>
    <w:rsid w:val="00CC1F6E"/>
    <w:rsid w:val="00CD271D"/>
    <w:rsid w:val="00CD3D52"/>
    <w:rsid w:val="00CF69E3"/>
    <w:rsid w:val="00D1317F"/>
    <w:rsid w:val="00D24810"/>
    <w:rsid w:val="00D61EF0"/>
    <w:rsid w:val="00D81E32"/>
    <w:rsid w:val="00D86867"/>
    <w:rsid w:val="00D92E0B"/>
    <w:rsid w:val="00DB3983"/>
    <w:rsid w:val="00DD1067"/>
    <w:rsid w:val="00DF5171"/>
    <w:rsid w:val="00E132EB"/>
    <w:rsid w:val="00E1363B"/>
    <w:rsid w:val="00E51700"/>
    <w:rsid w:val="00E67DE5"/>
    <w:rsid w:val="00F01863"/>
    <w:rsid w:val="00F35E4C"/>
    <w:rsid w:val="00F41A42"/>
    <w:rsid w:val="00F42203"/>
    <w:rsid w:val="00F448CD"/>
    <w:rsid w:val="00F547D4"/>
    <w:rsid w:val="00F65D85"/>
    <w:rsid w:val="00F75137"/>
    <w:rsid w:val="00FA0264"/>
    <w:rsid w:val="00FC1A7F"/>
    <w:rsid w:val="00FE1F4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06608EC"/>
  <w15:chartTrackingRefBased/>
  <w15:docId w15:val="{811ECD2C-3309-454C-8FF3-6A222D2E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D773B"/>
    <w:pPr>
      <w:spacing w:after="0" w:line="240" w:lineRule="auto"/>
    </w:pPr>
    <w:rPr>
      <w:szCs w:val="20"/>
    </w:rPr>
  </w:style>
  <w:style w:type="character" w:customStyle="1" w:styleId="FootnoteTextChar">
    <w:name w:val="Footnote Text Char"/>
    <w:basedOn w:val="DefaultParagraphFont"/>
    <w:link w:val="FootnoteText"/>
    <w:uiPriority w:val="99"/>
    <w:semiHidden/>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iPriority w:val="99"/>
    <w:semiHidden/>
    <w:unhideWhenUsed/>
    <w:rsid w:val="00601BF3"/>
    <w:rPr>
      <w:sz w:val="16"/>
      <w:szCs w:val="16"/>
    </w:rPr>
  </w:style>
  <w:style w:type="paragraph" w:styleId="CommentText">
    <w:name w:val="annotation text"/>
    <w:basedOn w:val="Normal"/>
    <w:link w:val="CommentTextChar"/>
    <w:uiPriority w:val="99"/>
    <w:semiHidden/>
    <w:unhideWhenUsed/>
    <w:rsid w:val="00601BF3"/>
    <w:pPr>
      <w:spacing w:line="240" w:lineRule="auto"/>
    </w:pPr>
    <w:rPr>
      <w:szCs w:val="20"/>
    </w:rPr>
  </w:style>
  <w:style w:type="character" w:customStyle="1" w:styleId="CommentTextChar">
    <w:name w:val="Comment Text Char"/>
    <w:basedOn w:val="DefaultParagraphFont"/>
    <w:link w:val="CommentText"/>
    <w:uiPriority w:val="99"/>
    <w:semiHidden/>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iPriority w:val="99"/>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AA1"/>
  </w:style>
  <w:style w:type="paragraph" w:styleId="Footer">
    <w:name w:val="footer"/>
    <w:basedOn w:val="Normal"/>
    <w:link w:val="FooterChar"/>
    <w:uiPriority w:val="99"/>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AA1"/>
  </w:style>
  <w:style w:type="table" w:styleId="TableGrid">
    <w:name w:val="Table Grid"/>
    <w:basedOn w:val="TableNormal"/>
    <w:uiPriority w:val="39"/>
    <w:rsid w:val="001775F8"/>
    <w:pPr>
      <w:widowControl w:val="0"/>
      <w:autoSpaceDE w:val="0"/>
      <w:autoSpaceDN w:val="0"/>
      <w:spacing w:after="0" w:line="240" w:lineRule="auto"/>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057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0FB8F-965C-432A-A952-52230CD03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1526</Words>
  <Characters>8702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Стела</cp:lastModifiedBy>
  <cp:revision>11</cp:revision>
  <dcterms:created xsi:type="dcterms:W3CDTF">2023-03-10T12:42:00Z</dcterms:created>
  <dcterms:modified xsi:type="dcterms:W3CDTF">2023-05-16T11:31:00Z</dcterms:modified>
</cp:coreProperties>
</file>