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3C4032" w14:paraId="5386C036" w14:textId="77777777" w:rsidTr="003C4032">
        <w:trPr>
          <w:trHeight w:val="1545"/>
        </w:trPr>
        <w:tc>
          <w:tcPr>
            <w:tcW w:w="2977" w:type="dxa"/>
            <w:tcBorders>
              <w:top w:val="single" w:sz="4" w:space="0" w:color="auto"/>
              <w:left w:val="single" w:sz="4" w:space="0" w:color="auto"/>
              <w:bottom w:val="single" w:sz="4" w:space="0" w:color="auto"/>
              <w:right w:val="single" w:sz="4" w:space="0" w:color="auto"/>
            </w:tcBorders>
          </w:tcPr>
          <w:p w14:paraId="19462200" w14:textId="77777777" w:rsidR="003C4032" w:rsidRDefault="003C4032" w:rsidP="00EE35F9">
            <w:pPr>
              <w:jc w:val="center"/>
              <w:rPr>
                <w:sz w:val="28"/>
                <w:szCs w:val="28"/>
              </w:rPr>
            </w:pPr>
            <w:bookmarkStart w:id="0" w:name="_GoBack"/>
            <w:bookmarkEnd w:id="0"/>
            <w:r>
              <w:rPr>
                <w:noProof/>
                <w:lang w:eastAsia="bg-BG"/>
              </w:rPr>
              <w:drawing>
                <wp:anchor distT="0" distB="0" distL="114300" distR="114300" simplePos="0" relativeHeight="251657216" behindDoc="0" locked="0" layoutInCell="1" allowOverlap="1" wp14:anchorId="7388B1C1" wp14:editId="5E1826A8">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32931B7D" w14:textId="77777777" w:rsidR="003C4032" w:rsidRDefault="003C4032" w:rsidP="00EE35F9">
            <w:pPr>
              <w:jc w:val="center"/>
              <w:rPr>
                <w:b/>
                <w:sz w:val="14"/>
                <w:szCs w:val="14"/>
              </w:rPr>
            </w:pPr>
          </w:p>
          <w:p w14:paraId="50925ACF" w14:textId="77777777" w:rsidR="003C4032" w:rsidRDefault="003C4032" w:rsidP="00EE35F9">
            <w:pPr>
              <w:tabs>
                <w:tab w:val="center" w:pos="4153"/>
                <w:tab w:val="right" w:pos="9356"/>
              </w:tabs>
              <w:jc w:val="center"/>
              <w:rPr>
                <w:rFonts w:cs="Arial"/>
                <w:b/>
                <w:color w:val="2F5496" w:themeColor="accent5" w:themeShade="BF"/>
              </w:rPr>
            </w:pPr>
          </w:p>
          <w:p w14:paraId="19B28D38" w14:textId="77777777" w:rsidR="003C4032" w:rsidRDefault="003C4032" w:rsidP="00EE35F9">
            <w:pPr>
              <w:tabs>
                <w:tab w:val="center" w:pos="4153"/>
                <w:tab w:val="right" w:pos="9356"/>
              </w:tabs>
              <w:jc w:val="center"/>
              <w:rPr>
                <w:rFonts w:cs="Arial"/>
                <w:b/>
                <w:color w:val="2F5496" w:themeColor="accent5" w:themeShade="BF"/>
              </w:rPr>
            </w:pPr>
          </w:p>
          <w:p w14:paraId="71E064E6" w14:textId="77777777" w:rsidR="003C4032" w:rsidRDefault="003C4032" w:rsidP="00EE35F9">
            <w:pPr>
              <w:tabs>
                <w:tab w:val="center" w:pos="4153"/>
                <w:tab w:val="right" w:pos="9356"/>
              </w:tabs>
              <w:jc w:val="center"/>
              <w:rPr>
                <w:rFonts w:cs="Arial"/>
                <w:b/>
                <w:sz w:val="18"/>
                <w:szCs w:val="20"/>
              </w:rPr>
            </w:pPr>
            <w:r>
              <w:rPr>
                <w:rFonts w:cs="Arial"/>
                <w:b/>
                <w:color w:val="2F5496" w:themeColor="accent5" w:themeShade="BF"/>
              </w:rPr>
              <w:t>Финансирано от Европейския съюз</w:t>
            </w:r>
          </w:p>
          <w:p w14:paraId="488BB74D" w14:textId="77777777" w:rsidR="003C4032" w:rsidRDefault="003C4032" w:rsidP="00EE35F9">
            <w:pPr>
              <w:tabs>
                <w:tab w:val="center" w:pos="4153"/>
                <w:tab w:val="right" w:pos="9356"/>
              </w:tabs>
              <w:jc w:val="center"/>
              <w:rPr>
                <w:rFonts w:ascii="Candara" w:hAnsi="Candara" w:cs="Calibri"/>
                <w:b/>
                <w:bCs/>
                <w:snapToGrid w:val="0"/>
                <w:sz w:val="24"/>
              </w:rPr>
            </w:pPr>
            <w:r>
              <w:rPr>
                <w:rFonts w:ascii="Candara" w:hAnsi="Candara" w:cs="Calibri"/>
                <w:b/>
                <w:bCs/>
                <w:snapToGrid w:val="0"/>
                <w:color w:val="323E4F" w:themeColor="text2" w:themeShade="BF"/>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3303E69B" w14:textId="77777777" w:rsidR="003C4032" w:rsidRDefault="003C4032" w:rsidP="00EE35F9">
            <w:pPr>
              <w:spacing w:before="120" w:after="120"/>
              <w:jc w:val="center"/>
              <w:rPr>
                <w:rFonts w:cs="Arial"/>
                <w:b/>
                <w:bCs/>
                <w:lang w:val="en-GB"/>
              </w:rPr>
            </w:pPr>
            <w:r>
              <w:rPr>
                <w:noProof/>
                <w:lang w:eastAsia="bg-BG"/>
              </w:rPr>
              <w:drawing>
                <wp:inline distT="0" distB="0" distL="0" distR="0" wp14:anchorId="5F8FEA73" wp14:editId="2F221B70">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37B295C9" w14:textId="77777777" w:rsidR="003C4032" w:rsidRDefault="003C4032" w:rsidP="00EE35F9">
            <w:pPr>
              <w:spacing w:before="120" w:after="120"/>
              <w:jc w:val="center"/>
              <w:rPr>
                <w:rFonts w:cs="Arial"/>
                <w:snapToGrid w:val="0"/>
              </w:rPr>
            </w:pPr>
            <w:r>
              <w:rPr>
                <w:rFonts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592912D0" w14:textId="77777777" w:rsidR="003C4032" w:rsidRDefault="003C4032" w:rsidP="00EE35F9">
            <w:pPr>
              <w:tabs>
                <w:tab w:val="center" w:pos="4153"/>
                <w:tab w:val="right" w:pos="9356"/>
              </w:tabs>
              <w:rPr>
                <w:rFonts w:cs="Arial"/>
                <w:b/>
                <w:bCs/>
                <w:snapToGrid w:val="0"/>
              </w:rPr>
            </w:pPr>
            <w:r>
              <w:rPr>
                <w:noProof/>
                <w:lang w:eastAsia="bg-BG"/>
              </w:rPr>
              <w:drawing>
                <wp:anchor distT="0" distB="0" distL="114300" distR="114300" simplePos="0" relativeHeight="251659264" behindDoc="0" locked="0" layoutInCell="1" allowOverlap="1" wp14:anchorId="4A837379" wp14:editId="2FF1D65B">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17C3AAC1" w14:textId="77777777" w:rsidR="003C4032" w:rsidRDefault="003C4032" w:rsidP="00EE35F9">
            <w:pPr>
              <w:tabs>
                <w:tab w:val="center" w:pos="4153"/>
                <w:tab w:val="right" w:pos="9356"/>
              </w:tabs>
              <w:rPr>
                <w:rFonts w:cs="Arial"/>
                <w:b/>
                <w:bCs/>
                <w:snapToGrid w:val="0"/>
              </w:rPr>
            </w:pPr>
          </w:p>
          <w:p w14:paraId="487A64E3" w14:textId="77777777" w:rsidR="003C4032" w:rsidRDefault="003C4032" w:rsidP="00EE35F9">
            <w:pPr>
              <w:tabs>
                <w:tab w:val="center" w:pos="4153"/>
                <w:tab w:val="right" w:pos="9356"/>
              </w:tabs>
              <w:rPr>
                <w:rFonts w:cs="Arial"/>
                <w:b/>
                <w:bCs/>
                <w:snapToGrid w:val="0"/>
              </w:rPr>
            </w:pPr>
          </w:p>
          <w:p w14:paraId="1A7D29D7" w14:textId="77777777" w:rsidR="003C4032" w:rsidRDefault="003C4032" w:rsidP="00EE35F9">
            <w:pPr>
              <w:tabs>
                <w:tab w:val="center" w:pos="4153"/>
                <w:tab w:val="right" w:pos="9356"/>
              </w:tabs>
              <w:rPr>
                <w:rFonts w:cs="Arial"/>
                <w:b/>
                <w:bCs/>
                <w:snapToGrid w:val="0"/>
              </w:rPr>
            </w:pPr>
          </w:p>
          <w:p w14:paraId="4EBADA9F" w14:textId="77777777" w:rsidR="003C4032" w:rsidRDefault="003C4032" w:rsidP="00EE35F9">
            <w:pPr>
              <w:tabs>
                <w:tab w:val="center" w:pos="4153"/>
                <w:tab w:val="right" w:pos="9356"/>
              </w:tabs>
              <w:rPr>
                <w:rFonts w:cs="Arial"/>
                <w:b/>
                <w:bCs/>
                <w:snapToGrid w:val="0"/>
              </w:rPr>
            </w:pPr>
            <w:r>
              <w:rPr>
                <w:rFonts w:cs="Arial"/>
                <w:b/>
                <w:bCs/>
                <w:snapToGrid w:val="0"/>
              </w:rPr>
              <w:t xml:space="preserve">  </w:t>
            </w:r>
          </w:p>
          <w:p w14:paraId="7161E478" w14:textId="77777777" w:rsidR="003C4032" w:rsidRDefault="003C4032" w:rsidP="00EE35F9">
            <w:pPr>
              <w:tabs>
                <w:tab w:val="center" w:pos="4153"/>
                <w:tab w:val="right" w:pos="9356"/>
              </w:tabs>
              <w:jc w:val="center"/>
              <w:rPr>
                <w:rFonts w:cs="Arial"/>
                <w:b/>
                <w:bCs/>
                <w:snapToGrid w:val="0"/>
                <w:lang w:val="en-GB"/>
              </w:rPr>
            </w:pPr>
            <w:r>
              <w:rPr>
                <w:rFonts w:cs="Arial"/>
                <w:b/>
                <w:bCs/>
                <w:snapToGrid w:val="0"/>
              </w:rPr>
              <w:t>Република България</w:t>
            </w:r>
          </w:p>
        </w:tc>
      </w:tr>
    </w:tbl>
    <w:p w14:paraId="3FC3CB11" w14:textId="77777777" w:rsidR="003C4032" w:rsidRPr="008A2B53" w:rsidRDefault="003C4032"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14:paraId="7520FFC5" w14:textId="77777777"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F150D2">
        <w:rPr>
          <w:rFonts w:ascii="Times New Roman" w:eastAsia="Calibri" w:hAnsi="Times New Roman"/>
          <w:b/>
          <w:i/>
          <w:sz w:val="24"/>
          <w:szCs w:val="24"/>
        </w:rPr>
        <w:t xml:space="preserve"> 13</w:t>
      </w:r>
    </w:p>
    <w:p w14:paraId="0E012626" w14:textId="77777777" w:rsidR="00402ACA" w:rsidRDefault="00402ACA" w:rsidP="00402ACA">
      <w:pPr>
        <w:spacing w:after="120" w:line="276" w:lineRule="auto"/>
        <w:jc w:val="both"/>
        <w:rPr>
          <w:rFonts w:ascii="Times New Roman" w:hAnsi="Times New Roman"/>
          <w:sz w:val="24"/>
          <w:szCs w:val="24"/>
        </w:rPr>
      </w:pPr>
    </w:p>
    <w:p w14:paraId="5D2143C3" w14:textId="77777777"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p>
    <w:p w14:paraId="66FCF859" w14:textId="77777777"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w:t>
      </w:r>
      <w:r w:rsidR="00EA0271">
        <w:rPr>
          <w:rFonts w:ascii="Times New Roman" w:hAnsi="Times New Roman"/>
          <w:sz w:val="24"/>
          <w:szCs w:val="24"/>
        </w:rPr>
        <w:t>устойчивост на държавите-членки</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11D0689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034A39AA"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192CE14"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07F8AC43"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69F54C6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280B887"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1F33D3DC" w14:textId="77777777"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00402ACA" w:rsidRPr="00402ACA">
        <w:rPr>
          <w:rFonts w:ascii="Times New Roman" w:hAnsi="Times New Roman"/>
          <w:sz w:val="24"/>
          <w:szCs w:val="24"/>
        </w:rPr>
        <w:t>.</w:t>
      </w:r>
    </w:p>
    <w:p w14:paraId="225356F9" w14:textId="77777777"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Pr>
          <w:rFonts w:ascii="Times New Roman" w:hAnsi="Times New Roman"/>
          <w:sz w:val="24"/>
          <w:szCs w:val="24"/>
          <w:lang w:val="en-US"/>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723C53D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0F694097"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DFA078"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51BFD9A"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14:paraId="5DDCC6E6"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79C74A1B"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6D72E4DE"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BC30A9D"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347B0D84"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6FC24AC1"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0BBACB19"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180E30A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736D8E2C"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4CF41276" w14:textId="1AC68996"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F12A1D" w:rsidRPr="00F12A1D">
        <w:rPr>
          <w:rFonts w:ascii="Times New Roman" w:hAnsi="Times New Roman"/>
          <w:sz w:val="24"/>
          <w:szCs w:val="24"/>
        </w:rPr>
        <w:t>BG-RRP-3.006 „Изграждане на нови ВЕИ за собствено потребление в комбинация с локални съоръжения за съхранение на енергия</w:t>
      </w:r>
      <w:r w:rsidR="00E066E6" w:rsidRPr="00E066E6">
        <w:t xml:space="preserve"> </w:t>
      </w:r>
      <w:r w:rsidR="00E066E6" w:rsidRPr="00E066E6">
        <w:rPr>
          <w:rFonts w:ascii="Times New Roman" w:hAnsi="Times New Roman"/>
          <w:sz w:val="24"/>
          <w:szCs w:val="24"/>
        </w:rPr>
        <w:t>в предприятията</w:t>
      </w:r>
      <w:r w:rsidR="00F12A1D" w:rsidRPr="00F12A1D">
        <w:rPr>
          <w:rFonts w:ascii="Times New Roman" w:hAnsi="Times New Roman"/>
          <w:sz w:val="24"/>
          <w:szCs w:val="24"/>
        </w:rPr>
        <w:t>”</w:t>
      </w:r>
      <w:r w:rsidR="00F12A1D">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4A752909"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lastRenderedPageBreak/>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14:paraId="0BB414E4" w14:textId="4D23A3CB"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16922168"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3"/>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4"/>
      </w:r>
      <w:r>
        <w:rPr>
          <w:rFonts w:ascii="Times New Roman" w:hAnsi="Times New Roman"/>
          <w:sz w:val="24"/>
          <w:szCs w:val="24"/>
        </w:rPr>
        <w:t>;</w:t>
      </w:r>
    </w:p>
    <w:p w14:paraId="7F185D8E"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0097A32A" w14:textId="6BC42C27" w:rsidR="000A6D9B" w:rsidRDefault="000A6D9B" w:rsidP="00E44CEF">
      <w:pPr>
        <w:pStyle w:val="ListParagraph"/>
        <w:spacing w:after="120" w:line="276" w:lineRule="auto"/>
        <w:ind w:left="0" w:firstLine="709"/>
        <w:jc w:val="both"/>
        <w:rPr>
          <w:rFonts w:ascii="Times New Roman" w:hAnsi="Times New Roman"/>
          <w:sz w:val="24"/>
          <w:szCs w:val="24"/>
        </w:rPr>
      </w:pPr>
      <w:r w:rsidRPr="000A6D9B">
        <w:rPr>
          <w:rFonts w:ascii="Times New Roman" w:hAnsi="Times New Roman"/>
          <w:sz w:val="24"/>
          <w:szCs w:val="24"/>
        </w:rPr>
        <w:t>С оглед на съответствието на мярката с техническите насоки „Ненанасяне на значителни вреди“ (2021/C58/01), се подкрепят само инвестиции, които съблюдават съответното законодателство на ЕС и национално законодателство в областта на околната среда.</w:t>
      </w:r>
    </w:p>
    <w:p w14:paraId="64CA1B6D" w14:textId="11122810"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388B14C4" w14:textId="32791AC7"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AA879D2" w14:textId="77777777"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3C56463B"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B5F62" w14:textId="77777777" w:rsidR="005A2D63" w:rsidRDefault="005A2D63" w:rsidP="00402ACA">
      <w:pPr>
        <w:spacing w:after="0" w:line="240" w:lineRule="auto"/>
      </w:pPr>
      <w:r>
        <w:separator/>
      </w:r>
    </w:p>
  </w:endnote>
  <w:endnote w:type="continuationSeparator" w:id="0">
    <w:p w14:paraId="257941F8" w14:textId="77777777" w:rsidR="005A2D63" w:rsidRDefault="005A2D6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5355CCED" w:rsidR="00991CB4" w:rsidRDefault="006C46DB">
        <w:pPr>
          <w:pStyle w:val="Footer"/>
          <w:jc w:val="right"/>
        </w:pPr>
        <w:r>
          <w:fldChar w:fldCharType="begin"/>
        </w:r>
        <w:r w:rsidR="00991CB4">
          <w:instrText xml:space="preserve"> PAGE   \* MERGEFORMAT </w:instrText>
        </w:r>
        <w:r>
          <w:fldChar w:fldCharType="separate"/>
        </w:r>
        <w:r w:rsidR="006A535F">
          <w:rPr>
            <w:noProof/>
          </w:rPr>
          <w:t>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A65A9" w14:textId="77777777" w:rsidR="005A2D63" w:rsidRDefault="005A2D63" w:rsidP="00402ACA">
      <w:pPr>
        <w:spacing w:after="0" w:line="240" w:lineRule="auto"/>
      </w:pPr>
      <w:r>
        <w:separator/>
      </w:r>
    </w:p>
  </w:footnote>
  <w:footnote w:type="continuationSeparator" w:id="0">
    <w:p w14:paraId="19A4D905" w14:textId="77777777" w:rsidR="005A2D63" w:rsidRDefault="005A2D63" w:rsidP="00402ACA">
      <w:pPr>
        <w:spacing w:after="0" w:line="240" w:lineRule="auto"/>
      </w:pPr>
      <w:r>
        <w:continuationSeparator/>
      </w:r>
    </w:p>
  </w:footnote>
  <w:footnote w:id="1">
    <w:p w14:paraId="4A8B603B" w14:textId="77777777"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14:paraId="5FF7A67A" w14:textId="77777777"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14:paraId="3ABA7781" w14:textId="77777777"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14:paraId="49906B5A"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4">
    <w:p w14:paraId="44732846"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6AAA000D" w:rsidR="00402ACA" w:rsidRDefault="00402ACA" w:rsidP="00402AC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52C76"/>
    <w:rsid w:val="000A6D9B"/>
    <w:rsid w:val="000B6072"/>
    <w:rsid w:val="000C72E1"/>
    <w:rsid w:val="000F4DE9"/>
    <w:rsid w:val="00112ACA"/>
    <w:rsid w:val="001C4400"/>
    <w:rsid w:val="002262CD"/>
    <w:rsid w:val="002665DE"/>
    <w:rsid w:val="002D3045"/>
    <w:rsid w:val="0033559F"/>
    <w:rsid w:val="0035732F"/>
    <w:rsid w:val="00397070"/>
    <w:rsid w:val="003A35BB"/>
    <w:rsid w:val="003C05E1"/>
    <w:rsid w:val="003C31CA"/>
    <w:rsid w:val="003C4032"/>
    <w:rsid w:val="003D1FDC"/>
    <w:rsid w:val="003E07BC"/>
    <w:rsid w:val="003E2AA6"/>
    <w:rsid w:val="003E4A81"/>
    <w:rsid w:val="003F11B3"/>
    <w:rsid w:val="003F127D"/>
    <w:rsid w:val="00402ACA"/>
    <w:rsid w:val="0040632C"/>
    <w:rsid w:val="0040728E"/>
    <w:rsid w:val="00410461"/>
    <w:rsid w:val="0042512A"/>
    <w:rsid w:val="00454C6D"/>
    <w:rsid w:val="00456C38"/>
    <w:rsid w:val="00487A24"/>
    <w:rsid w:val="00493BA5"/>
    <w:rsid w:val="004D78D8"/>
    <w:rsid w:val="00541617"/>
    <w:rsid w:val="005A2D63"/>
    <w:rsid w:val="005C6AC1"/>
    <w:rsid w:val="005F04C4"/>
    <w:rsid w:val="00622EF3"/>
    <w:rsid w:val="00645185"/>
    <w:rsid w:val="006564B8"/>
    <w:rsid w:val="00691015"/>
    <w:rsid w:val="006A535F"/>
    <w:rsid w:val="006A54F4"/>
    <w:rsid w:val="006B43D7"/>
    <w:rsid w:val="006C46DB"/>
    <w:rsid w:val="006E063B"/>
    <w:rsid w:val="00707B43"/>
    <w:rsid w:val="007159A1"/>
    <w:rsid w:val="007311CC"/>
    <w:rsid w:val="00734A59"/>
    <w:rsid w:val="00791E18"/>
    <w:rsid w:val="007F019E"/>
    <w:rsid w:val="00816DDA"/>
    <w:rsid w:val="008652E5"/>
    <w:rsid w:val="008A2B53"/>
    <w:rsid w:val="008B1316"/>
    <w:rsid w:val="008D4237"/>
    <w:rsid w:val="00971248"/>
    <w:rsid w:val="0098334F"/>
    <w:rsid w:val="00991CB4"/>
    <w:rsid w:val="0099667C"/>
    <w:rsid w:val="009A0149"/>
    <w:rsid w:val="009B2846"/>
    <w:rsid w:val="009C5EB8"/>
    <w:rsid w:val="009D4213"/>
    <w:rsid w:val="009D49EC"/>
    <w:rsid w:val="00A049DA"/>
    <w:rsid w:val="00A05ADF"/>
    <w:rsid w:val="00A233EA"/>
    <w:rsid w:val="00A2514B"/>
    <w:rsid w:val="00A62A1B"/>
    <w:rsid w:val="00A721A0"/>
    <w:rsid w:val="00A81893"/>
    <w:rsid w:val="00A94C80"/>
    <w:rsid w:val="00A95615"/>
    <w:rsid w:val="00AA22E0"/>
    <w:rsid w:val="00AB368B"/>
    <w:rsid w:val="00AD22F2"/>
    <w:rsid w:val="00AE7396"/>
    <w:rsid w:val="00B035FE"/>
    <w:rsid w:val="00B16862"/>
    <w:rsid w:val="00B175A1"/>
    <w:rsid w:val="00B4545E"/>
    <w:rsid w:val="00B9758F"/>
    <w:rsid w:val="00C13066"/>
    <w:rsid w:val="00C161DD"/>
    <w:rsid w:val="00C47C4D"/>
    <w:rsid w:val="00C5662F"/>
    <w:rsid w:val="00C63107"/>
    <w:rsid w:val="00CA50C2"/>
    <w:rsid w:val="00D43F14"/>
    <w:rsid w:val="00D551E4"/>
    <w:rsid w:val="00DE6316"/>
    <w:rsid w:val="00E066E6"/>
    <w:rsid w:val="00E12556"/>
    <w:rsid w:val="00E22914"/>
    <w:rsid w:val="00E44CEF"/>
    <w:rsid w:val="00E530D5"/>
    <w:rsid w:val="00E80277"/>
    <w:rsid w:val="00E91B13"/>
    <w:rsid w:val="00EA0271"/>
    <w:rsid w:val="00EA40C7"/>
    <w:rsid w:val="00EF6A85"/>
    <w:rsid w:val="00F12A1D"/>
    <w:rsid w:val="00F150D2"/>
    <w:rsid w:val="00F3655F"/>
    <w:rsid w:val="00F4459A"/>
    <w:rsid w:val="00F531A1"/>
    <w:rsid w:val="00F53AD0"/>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99F11-3523-4E77-8AB9-46B29142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16</cp:revision>
  <dcterms:created xsi:type="dcterms:W3CDTF">2022-12-12T09:48:00Z</dcterms:created>
  <dcterms:modified xsi:type="dcterms:W3CDTF">2023-02-14T15:17:00Z</dcterms:modified>
</cp:coreProperties>
</file>