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BB9" w:rsidRPr="00E05EA5" w:rsidRDefault="00C63F59" w:rsidP="007F4E6D">
      <w:pPr>
        <w:tabs>
          <w:tab w:val="center" w:pos="4536"/>
          <w:tab w:val="right" w:pos="9072"/>
        </w:tabs>
        <w:spacing w:after="0" w:line="240" w:lineRule="auto"/>
        <w:jc w:val="right"/>
        <w:rPr>
          <w:rFonts w:ascii="Calibri" w:eastAsia="Calibri" w:hAnsi="Calibri" w:cs="Times New Roman"/>
          <w:b/>
          <w:i/>
          <w:sz w:val="28"/>
          <w:szCs w:val="28"/>
          <w:u w:val="single"/>
        </w:rPr>
      </w:pPr>
      <w:r w:rsidRPr="00E05EA5">
        <w:rPr>
          <w:rFonts w:ascii="Calibri" w:eastAsia="Calibri" w:hAnsi="Calibri" w:cs="Times New Roman"/>
          <w:b/>
          <w:i/>
          <w:sz w:val="28"/>
          <w:szCs w:val="28"/>
          <w:u w:val="single"/>
        </w:rPr>
        <w:t>ПРОЕКТ</w:t>
      </w:r>
      <w:bookmarkStart w:id="0" w:name="_GoBack"/>
      <w:bookmarkEnd w:id="0"/>
    </w:p>
    <w:p w:rsidR="00C63F59" w:rsidRPr="00C63F59" w:rsidRDefault="00C63F59" w:rsidP="007F4E6D">
      <w:pPr>
        <w:tabs>
          <w:tab w:val="center" w:pos="4536"/>
          <w:tab w:val="right" w:pos="9072"/>
        </w:tabs>
        <w:spacing w:after="0" w:line="240" w:lineRule="auto"/>
        <w:jc w:val="right"/>
        <w:rPr>
          <w:rFonts w:ascii="Calibri" w:eastAsia="Calibri" w:hAnsi="Calibri" w:cs="Times New Roman"/>
          <w:b/>
          <w:i/>
        </w:rPr>
      </w:pPr>
    </w:p>
    <w:p w:rsidR="00C1144B" w:rsidRPr="0076625B" w:rsidRDefault="00350080" w:rsidP="007F4E6D">
      <w:pPr>
        <w:tabs>
          <w:tab w:val="center" w:pos="4536"/>
          <w:tab w:val="right" w:pos="9072"/>
        </w:tabs>
        <w:spacing w:after="0" w:line="240" w:lineRule="auto"/>
        <w:jc w:val="right"/>
        <w:rPr>
          <w:rFonts w:ascii="Calibri" w:eastAsia="Calibri" w:hAnsi="Calibri" w:cs="Times New Roman"/>
          <w:b/>
          <w:i/>
          <w:sz w:val="24"/>
          <w:szCs w:val="24"/>
        </w:rPr>
      </w:pPr>
      <w:r w:rsidRPr="0076625B">
        <w:rPr>
          <w:rFonts w:ascii="Calibri" w:eastAsia="Calibri" w:hAnsi="Calibri" w:cs="Times New Roman"/>
          <w:b/>
          <w:i/>
          <w:sz w:val="24"/>
          <w:szCs w:val="24"/>
        </w:rPr>
        <w:t>Приложение 1</w:t>
      </w:r>
      <w:r w:rsidR="00CE2905" w:rsidRPr="0076625B">
        <w:rPr>
          <w:rFonts w:ascii="Calibri" w:eastAsia="Calibri" w:hAnsi="Calibri" w:cs="Times New Roman"/>
          <w:b/>
          <w:i/>
          <w:sz w:val="24"/>
          <w:szCs w:val="24"/>
          <w:lang w:val="en-US"/>
        </w:rPr>
        <w:t>0</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628"/>
      </w:tblGrid>
      <w:tr w:rsidR="0041142E" w:rsidRPr="0041142E" w:rsidTr="00012CA5">
        <w:tc>
          <w:tcPr>
            <w:tcW w:w="1432" w:type="pct"/>
            <w:shd w:val="clear" w:color="auto" w:fill="D9D9D9"/>
          </w:tcPr>
          <w:p w:rsidR="0041142E" w:rsidRPr="00DC6AE2" w:rsidRDefault="00DC6AE2"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АПК</w:t>
            </w:r>
          </w:p>
        </w:tc>
        <w:tc>
          <w:tcPr>
            <w:tcW w:w="3568" w:type="pct"/>
            <w:shd w:val="clear" w:color="auto" w:fill="F2F2F2" w:themeFill="background1" w:themeFillShade="F2"/>
          </w:tcPr>
          <w:p w:rsidR="0041142E" w:rsidRPr="0041142E" w:rsidRDefault="00DC6AE2" w:rsidP="008B34EF">
            <w:pPr>
              <w:spacing w:after="0" w:line="240" w:lineRule="auto"/>
              <w:ind w:left="288" w:right="288"/>
              <w:rPr>
                <w:rFonts w:eastAsia="Times New Roman" w:cstheme="minorHAnsi"/>
                <w:b/>
                <w:snapToGrid w:val="0"/>
                <w:sz w:val="24"/>
                <w:szCs w:val="24"/>
              </w:rPr>
            </w:pPr>
            <w:r w:rsidRPr="00DC6AE2">
              <w:rPr>
                <w:rFonts w:eastAsia="Times New Roman" w:cstheme="minorHAnsi"/>
                <w:b/>
                <w:snapToGrid w:val="0"/>
                <w:sz w:val="24"/>
                <w:szCs w:val="24"/>
              </w:rPr>
              <w:t>Административнопроцесуален кодекс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БНБ</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Българска народна банка</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ДДС</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Данък добавена стойност</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ДМА</w:t>
            </w:r>
          </w:p>
        </w:tc>
        <w:tc>
          <w:tcPr>
            <w:tcW w:w="3568" w:type="pct"/>
            <w:shd w:val="clear" w:color="auto" w:fill="F3F3F3"/>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Дълготрайни материални активи</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ДНА</w:t>
            </w:r>
          </w:p>
        </w:tc>
        <w:tc>
          <w:tcPr>
            <w:tcW w:w="3568" w:type="pct"/>
            <w:shd w:val="clear" w:color="auto" w:fill="F3F3F3"/>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Дълготрайни нематериални активи</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ДОПК</w:t>
            </w:r>
          </w:p>
        </w:tc>
        <w:tc>
          <w:tcPr>
            <w:tcW w:w="3568" w:type="pct"/>
            <w:shd w:val="clear" w:color="auto" w:fill="F2F2F2" w:themeFill="background1" w:themeFillShade="F2"/>
          </w:tcPr>
          <w:p w:rsidR="00DC6AE2" w:rsidRPr="0041142E" w:rsidRDefault="00DC6AE2" w:rsidP="00DC6AE2">
            <w:pPr>
              <w:spacing w:after="0" w:line="240" w:lineRule="auto"/>
              <w:ind w:left="289" w:right="289"/>
              <w:rPr>
                <w:rFonts w:eastAsia="Times New Roman" w:cstheme="minorHAnsi"/>
                <w:b/>
                <w:snapToGrid w:val="0"/>
                <w:sz w:val="24"/>
                <w:szCs w:val="24"/>
              </w:rPr>
            </w:pPr>
            <w:r w:rsidRPr="0041142E">
              <w:rPr>
                <w:rFonts w:eastAsia="Times New Roman" w:cstheme="minorHAnsi"/>
                <w:b/>
                <w:snapToGrid w:val="0"/>
                <w:sz w:val="24"/>
                <w:szCs w:val="24"/>
              </w:rPr>
              <w:t>Данъчно-осигурител</w:t>
            </w:r>
            <w:r w:rsidRPr="0041142E">
              <w:rPr>
                <w:rFonts w:eastAsia="Times New Roman" w:cstheme="minorHAnsi"/>
                <w:b/>
                <w:snapToGrid w:val="0"/>
                <w:sz w:val="24"/>
                <w:szCs w:val="24"/>
                <w:lang w:val="en-US"/>
              </w:rPr>
              <w:t>e</w:t>
            </w:r>
            <w:r w:rsidRPr="0041142E">
              <w:rPr>
                <w:rFonts w:eastAsia="Times New Roman" w:cstheme="minorHAnsi"/>
                <w:b/>
                <w:snapToGrid w:val="0"/>
                <w:sz w:val="24"/>
                <w:szCs w:val="24"/>
              </w:rPr>
              <w:t>н процесуален кодекс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ЕК</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Европейска комисия</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ЕО</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Европейска общност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ЕС</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Европейски съюз</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ЗКПО</w:t>
            </w:r>
          </w:p>
        </w:tc>
        <w:tc>
          <w:tcPr>
            <w:tcW w:w="3568" w:type="pct"/>
            <w:shd w:val="clear" w:color="auto" w:fill="F3F3F3"/>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Закон за корпоративното подоходно облагане</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ЗМСП</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Закон за малките и средните предприятия</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ЗОП</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Закон за обществените поръчки</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ЗТРРЮЛНЦ</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Закон за търговския регистър и регистъра на юридическите лица с нестопанска цел</w:t>
            </w:r>
          </w:p>
        </w:tc>
      </w:tr>
      <w:tr w:rsidR="00DC6AE2" w:rsidRPr="0041142E" w:rsidTr="00012CA5">
        <w:tc>
          <w:tcPr>
            <w:tcW w:w="1432" w:type="pct"/>
            <w:shd w:val="clear" w:color="auto" w:fill="D9D9D9"/>
          </w:tcPr>
          <w:p w:rsidR="00DC6AE2" w:rsidRPr="008E4D35" w:rsidRDefault="00DC6AE2" w:rsidP="00DC6AE2">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568" w:type="pct"/>
            <w:shd w:val="clear" w:color="auto" w:fill="F3F3F3"/>
          </w:tcPr>
          <w:p w:rsidR="00DC6AE2" w:rsidRPr="008E4D35" w:rsidRDefault="00DC6AE2" w:rsidP="00DC6AE2">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ИСМ</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Информационна система за Механизма – ИСУН 2020, раздел НПВУ</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ИСУН 2020</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Информационна система за управление и наблюдение на средствата от ЕС в България 2020</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КЕП</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Квалифициран електронен подпис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КИД 2008</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Класификация на икономическите дейности 2008</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МВУ</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Механизъм за възстановяване и устойчивост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МИР</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Министерство на иновациите и растежа</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МС</w:t>
            </w:r>
          </w:p>
        </w:tc>
        <w:tc>
          <w:tcPr>
            <w:tcW w:w="3568" w:type="pct"/>
            <w:shd w:val="clear" w:color="auto" w:fill="F2F2F2" w:themeFill="background1" w:themeFillShade="F2"/>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Министерски съвет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МСП</w:t>
            </w:r>
          </w:p>
        </w:tc>
        <w:tc>
          <w:tcPr>
            <w:tcW w:w="3568" w:type="pct"/>
            <w:shd w:val="clear" w:color="auto" w:fill="F2F2F2" w:themeFill="background1" w:themeFillShade="F2"/>
          </w:tcPr>
          <w:p w:rsidR="00DC6AE2" w:rsidRPr="0041142E" w:rsidRDefault="00545558" w:rsidP="00DC6AE2">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Микро, м</w:t>
            </w:r>
            <w:r w:rsidR="00DC6AE2" w:rsidRPr="0041142E">
              <w:rPr>
                <w:rFonts w:eastAsia="Times New Roman" w:cstheme="minorHAnsi"/>
                <w:b/>
                <w:snapToGrid w:val="0"/>
                <w:sz w:val="24"/>
                <w:szCs w:val="24"/>
              </w:rPr>
              <w:t>алки и средни предприятия</w:t>
            </w:r>
          </w:p>
        </w:tc>
      </w:tr>
      <w:tr w:rsidR="001A3B19" w:rsidRPr="0041142E" w:rsidTr="00012CA5">
        <w:tc>
          <w:tcPr>
            <w:tcW w:w="1432" w:type="pct"/>
            <w:shd w:val="clear" w:color="auto" w:fill="D9D9D9"/>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ПИТ</w:t>
            </w:r>
          </w:p>
        </w:tc>
        <w:tc>
          <w:tcPr>
            <w:tcW w:w="3568" w:type="pct"/>
            <w:shd w:val="clear" w:color="auto" w:fill="F2F2F2" w:themeFill="background1" w:themeFillShade="F2"/>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Програма за икономическа трансформация</w:t>
            </w:r>
          </w:p>
        </w:tc>
      </w:tr>
      <w:tr w:rsidR="001A3B19" w:rsidRPr="0041142E" w:rsidTr="00012CA5">
        <w:tc>
          <w:tcPr>
            <w:tcW w:w="1432" w:type="pct"/>
            <w:shd w:val="clear" w:color="auto" w:fill="D9D9D9"/>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ПМС</w:t>
            </w:r>
          </w:p>
        </w:tc>
        <w:tc>
          <w:tcPr>
            <w:tcW w:w="3568" w:type="pct"/>
            <w:shd w:val="clear" w:color="auto" w:fill="F2F2F2" w:themeFill="background1" w:themeFillShade="F2"/>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Постановление на Министерски съвет</w:t>
            </w:r>
          </w:p>
        </w:tc>
      </w:tr>
      <w:tr w:rsidR="001A3B19" w:rsidRPr="0041142E" w:rsidTr="00012CA5">
        <w:tc>
          <w:tcPr>
            <w:tcW w:w="1432" w:type="pct"/>
            <w:shd w:val="clear" w:color="auto" w:fill="D9D9D9"/>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НПВУ</w:t>
            </w:r>
          </w:p>
        </w:tc>
        <w:tc>
          <w:tcPr>
            <w:tcW w:w="3568" w:type="pct"/>
            <w:shd w:val="clear" w:color="auto" w:fill="F2F2F2" w:themeFill="background1" w:themeFillShade="F2"/>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Национален план за възстановяване и устойчивост</w:t>
            </w:r>
          </w:p>
        </w:tc>
      </w:tr>
      <w:tr w:rsidR="001A3B19" w:rsidRPr="0041142E" w:rsidTr="00012CA5">
        <w:tc>
          <w:tcPr>
            <w:tcW w:w="1432" w:type="pct"/>
            <w:shd w:val="clear" w:color="auto" w:fill="D9D9D9"/>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НСИ</w:t>
            </w:r>
          </w:p>
        </w:tc>
        <w:tc>
          <w:tcPr>
            <w:tcW w:w="3568" w:type="pct"/>
            <w:shd w:val="clear" w:color="auto" w:fill="F2F2F2" w:themeFill="background1" w:themeFillShade="F2"/>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Национален статистически институт</w:t>
            </w:r>
          </w:p>
        </w:tc>
      </w:tr>
      <w:tr w:rsidR="001A3B19" w:rsidRPr="0041142E" w:rsidTr="00012CA5">
        <w:tc>
          <w:tcPr>
            <w:tcW w:w="1432" w:type="pct"/>
            <w:shd w:val="clear" w:color="auto" w:fill="D9D9D9"/>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СНД</w:t>
            </w:r>
          </w:p>
        </w:tc>
        <w:tc>
          <w:tcPr>
            <w:tcW w:w="3568" w:type="pct"/>
            <w:shd w:val="clear" w:color="auto" w:fill="F2F2F2" w:themeFill="background1" w:themeFillShade="F2"/>
          </w:tcPr>
          <w:p w:rsidR="001A3B19" w:rsidRPr="0041142E" w:rsidRDefault="001A3B19" w:rsidP="001A3B19">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Структура</w:t>
            </w:r>
            <w:r w:rsidRPr="0041142E">
              <w:rPr>
                <w:rFonts w:eastAsia="Times New Roman" w:cstheme="minorHAnsi"/>
                <w:b/>
                <w:snapToGrid w:val="0"/>
                <w:sz w:val="24"/>
                <w:szCs w:val="24"/>
              </w:rPr>
              <w:t xml:space="preserve"> за наблюдение и докладване</w:t>
            </w:r>
          </w:p>
        </w:tc>
      </w:tr>
      <w:tr w:rsidR="001A3B19" w:rsidRPr="0041142E" w:rsidTr="00012CA5">
        <w:tc>
          <w:tcPr>
            <w:tcW w:w="1432" w:type="pct"/>
            <w:shd w:val="clear" w:color="auto" w:fill="D9D9D9"/>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ФК</w:t>
            </w:r>
          </w:p>
        </w:tc>
        <w:tc>
          <w:tcPr>
            <w:tcW w:w="3568" w:type="pct"/>
            <w:shd w:val="clear" w:color="auto" w:fill="F2F2F2" w:themeFill="background1" w:themeFillShade="F2"/>
          </w:tcPr>
          <w:p w:rsidR="001A3B19" w:rsidRPr="0041142E" w:rsidRDefault="001A3B19" w:rsidP="001A3B19">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Формуляр за кандидатстване</w:t>
            </w:r>
          </w:p>
        </w:tc>
      </w:tr>
      <w:tr w:rsidR="001A3B19" w:rsidRPr="0041142E" w:rsidTr="00012CA5">
        <w:tc>
          <w:tcPr>
            <w:tcW w:w="1432" w:type="pct"/>
            <w:shd w:val="clear" w:color="auto" w:fill="D9D9D9"/>
          </w:tcPr>
          <w:p w:rsidR="001A3B19" w:rsidRPr="0041142E" w:rsidRDefault="001A3B19" w:rsidP="001A3B19">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ЮЗР</w:t>
            </w:r>
          </w:p>
        </w:tc>
        <w:tc>
          <w:tcPr>
            <w:tcW w:w="3568" w:type="pct"/>
            <w:shd w:val="clear" w:color="auto" w:fill="F3F3F3"/>
          </w:tcPr>
          <w:p w:rsidR="001A3B19" w:rsidRPr="0041142E" w:rsidRDefault="001A3B19" w:rsidP="001A3B19">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rsidR="00E12165" w:rsidRPr="008E4D35" w:rsidRDefault="00E12165" w:rsidP="00F56BC0">
      <w:pPr>
        <w:spacing w:after="0" w:line="240" w:lineRule="auto"/>
        <w:rPr>
          <w:rFonts w:eastAsia="Times New Roman" w:cstheme="minorHAnsi"/>
          <w:b/>
          <w:snapToGrid w:val="0"/>
          <w:kern w:val="28"/>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831"/>
      </w:tblGrid>
      <w:tr w:rsidR="00FA5719" w:rsidRPr="008E4D35" w:rsidTr="00A33FEF">
        <w:tc>
          <w:tcPr>
            <w:tcW w:w="2633" w:type="dxa"/>
            <w:shd w:val="clear" w:color="auto" w:fill="D9D9D9" w:themeFill="background1" w:themeFillShade="D9"/>
          </w:tcPr>
          <w:p w:rsidR="00FA5719" w:rsidRPr="00336360" w:rsidRDefault="002B6C66"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Големи предприятия</w:t>
            </w:r>
          </w:p>
        </w:tc>
        <w:tc>
          <w:tcPr>
            <w:tcW w:w="6831" w:type="dxa"/>
            <w:shd w:val="clear" w:color="auto" w:fill="F2F2F2" w:themeFill="background1" w:themeFillShade="F2"/>
          </w:tcPr>
          <w:p w:rsidR="00FA5719" w:rsidRPr="002B6C66" w:rsidRDefault="008B34A3" w:rsidP="002B6C66">
            <w:pPr>
              <w:spacing w:line="240" w:lineRule="auto"/>
              <w:jc w:val="both"/>
              <w:rPr>
                <w:rFonts w:eastAsia="Times New Roman" w:cstheme="minorHAnsi"/>
                <w:snapToGrid w:val="0"/>
                <w:sz w:val="24"/>
                <w:szCs w:val="24"/>
              </w:rPr>
            </w:pPr>
            <w:r w:rsidRPr="008B34A3">
              <w:rPr>
                <w:rFonts w:eastAsia="Times New Roman" w:cstheme="minorHAnsi"/>
                <w:snapToGrid w:val="0"/>
                <w:sz w:val="24"/>
                <w:szCs w:val="24"/>
              </w:rPr>
              <w:t xml:space="preserve">„Големи предприятия” са предприятията, които не отговарят на </w:t>
            </w:r>
            <w:r w:rsidRPr="008B34A3">
              <w:rPr>
                <w:rFonts w:eastAsia="Times New Roman" w:cstheme="minorHAnsi"/>
                <w:snapToGrid w:val="0"/>
                <w:sz w:val="24"/>
                <w:szCs w:val="24"/>
              </w:rPr>
              <w:lastRenderedPageBreak/>
              <w:t>изискванията за микро, малко или средно предприятие по смисъла на чл. 3 и чл. 4 от Закона за малките и средни</w:t>
            </w:r>
            <w:r w:rsidR="00461EE4">
              <w:rPr>
                <w:rFonts w:eastAsia="Times New Roman" w:cstheme="minorHAnsi"/>
                <w:snapToGrid w:val="0"/>
                <w:sz w:val="24"/>
                <w:szCs w:val="24"/>
              </w:rPr>
              <w:t>те</w:t>
            </w:r>
            <w:r w:rsidRPr="008B34A3">
              <w:rPr>
                <w:rFonts w:eastAsia="Times New Roman" w:cstheme="minorHAnsi"/>
                <w:snapToGrid w:val="0"/>
                <w:sz w:val="24"/>
                <w:szCs w:val="24"/>
              </w:rPr>
              <w:t xml:space="preserve"> предприятия и Препоръка на Комисията от 6 май 2003 г. относно определението за микро-, малки и средни предприятия (ОВ L 124, 20.5.2003 г., стр. 36).</w:t>
            </w:r>
          </w:p>
        </w:tc>
      </w:tr>
      <w:tr w:rsidR="002B6C66" w:rsidRPr="008E4D35" w:rsidTr="00A33FEF">
        <w:tc>
          <w:tcPr>
            <w:tcW w:w="2633" w:type="dxa"/>
            <w:shd w:val="clear" w:color="auto" w:fill="D9D9D9" w:themeFill="background1" w:themeFillShade="D9"/>
          </w:tcPr>
          <w:p w:rsidR="002B6C66" w:rsidRPr="00336360" w:rsidRDefault="002B6C66" w:rsidP="002B6C66">
            <w:pPr>
              <w:spacing w:before="100" w:beforeAutospacing="1" w:after="100" w:afterAutospacing="1" w:line="240" w:lineRule="auto"/>
              <w:rPr>
                <w:rFonts w:eastAsia="Times New Roman" w:cstheme="minorHAnsi"/>
                <w:b/>
                <w:snapToGrid w:val="0"/>
                <w:sz w:val="24"/>
                <w:szCs w:val="24"/>
              </w:rPr>
            </w:pPr>
            <w:r w:rsidRPr="00336360">
              <w:rPr>
                <w:rFonts w:eastAsia="Times New Roman" w:cstheme="minorHAnsi"/>
                <w:b/>
                <w:snapToGrid w:val="0"/>
                <w:sz w:val="24"/>
                <w:szCs w:val="24"/>
              </w:rPr>
              <w:lastRenderedPageBreak/>
              <w:t>Горски продукт</w:t>
            </w:r>
          </w:p>
        </w:tc>
        <w:tc>
          <w:tcPr>
            <w:tcW w:w="6831" w:type="dxa"/>
            <w:shd w:val="clear" w:color="auto" w:fill="F2F2F2" w:themeFill="background1" w:themeFillShade="F2"/>
          </w:tcPr>
          <w:p w:rsidR="002B6C66" w:rsidRPr="00336360" w:rsidRDefault="002B6C66" w:rsidP="001A3B19">
            <w:pPr>
              <w:spacing w:after="0" w:line="240" w:lineRule="auto"/>
              <w:jc w:val="both"/>
              <w:rPr>
                <w:rFonts w:eastAsia="Times New Roman" w:cstheme="minorHAnsi"/>
                <w:snapToGrid w:val="0"/>
                <w:sz w:val="24"/>
                <w:szCs w:val="24"/>
              </w:rPr>
            </w:pPr>
            <w:r w:rsidRPr="00336360">
              <w:rPr>
                <w:rFonts w:eastAsia="Times New Roman" w:cstheme="minorHAnsi"/>
                <w:snapToGrid w:val="0"/>
                <w:sz w:val="24"/>
                <w:szCs w:val="24"/>
              </w:rPr>
              <w:t xml:space="preserve">Дървесина и недървесни горски продукти. </w:t>
            </w:r>
            <w:r w:rsidR="00634237">
              <w:rPr>
                <w:rFonts w:eastAsia="Times New Roman" w:cstheme="minorHAnsi"/>
                <w:snapToGrid w:val="0"/>
                <w:sz w:val="24"/>
                <w:szCs w:val="24"/>
              </w:rPr>
              <w:t>„Недървесни горски продукти</w:t>
            </w:r>
            <w:r w:rsidR="00634237">
              <w:rPr>
                <w:rFonts w:eastAsia="Times New Roman" w:cstheme="minorHAnsi"/>
                <w:snapToGrid w:val="0"/>
                <w:sz w:val="24"/>
                <w:szCs w:val="24"/>
                <w:lang w:val="en-US"/>
              </w:rPr>
              <w:t>”</w:t>
            </w:r>
            <w:r w:rsidRPr="00336360">
              <w:rPr>
                <w:rFonts w:eastAsia="Times New Roman" w:cstheme="minorHAnsi"/>
                <w:snapToGrid w:val="0"/>
                <w:sz w:val="24"/>
                <w:szCs w:val="24"/>
              </w:rPr>
              <w:t xml:space="preserve">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2B6C66" w:rsidRPr="00336360" w:rsidRDefault="002B6C66" w:rsidP="001A3B19">
            <w:pPr>
              <w:spacing w:before="60" w:after="0"/>
              <w:jc w:val="both"/>
              <w:rPr>
                <w:rFonts w:eastAsia="Times New Roman" w:cstheme="minorHAnsi"/>
                <w:snapToGrid w:val="0"/>
                <w:sz w:val="24"/>
                <w:szCs w:val="24"/>
              </w:rPr>
            </w:pPr>
            <w:r w:rsidRPr="00336360">
              <w:rPr>
                <w:rFonts w:eastAsia="Times New Roman" w:cstheme="minorHAnsi"/>
                <w:snapToGrid w:val="0"/>
                <w:sz w:val="24"/>
                <w:szCs w:val="24"/>
              </w:rPr>
              <w:t xml:space="preserve">Дефиницията включва и продукти </w:t>
            </w:r>
            <w:r w:rsidR="00634237">
              <w:rPr>
                <w:rFonts w:eastAsia="Times New Roman" w:cstheme="minorHAnsi"/>
                <w:snapToGrid w:val="0"/>
                <w:sz w:val="24"/>
                <w:szCs w:val="24"/>
              </w:rPr>
              <w:t xml:space="preserve">от </w:t>
            </w:r>
            <w:r w:rsidRPr="00336360">
              <w:rPr>
                <w:rFonts w:eastAsia="Times New Roman" w:cstheme="minorHAnsi"/>
                <w:snapToGrid w:val="0"/>
                <w:sz w:val="24"/>
                <w:szCs w:val="24"/>
              </w:rPr>
              <w:t>следните производства преди индустриалната преработка на дървесината:</w:t>
            </w:r>
          </w:p>
          <w:p w:rsidR="002B6C66" w:rsidRPr="00336360" w:rsidRDefault="002B6C66" w:rsidP="001A3B19">
            <w:pPr>
              <w:pStyle w:val="ListParagraph"/>
              <w:numPr>
                <w:ilvl w:val="0"/>
                <w:numId w:val="2"/>
              </w:numPr>
              <w:spacing w:before="60" w:after="0" w:line="240" w:lineRule="auto"/>
              <w:ind w:left="340" w:hanging="340"/>
              <w:contextualSpacing w:val="0"/>
              <w:jc w:val="both"/>
              <w:rPr>
                <w:rFonts w:eastAsia="Times New Roman" w:cstheme="minorHAnsi"/>
                <w:snapToGrid w:val="0"/>
                <w:sz w:val="24"/>
                <w:szCs w:val="24"/>
              </w:rPr>
            </w:pPr>
            <w:r w:rsidRPr="00336360">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Сушене и импрегниране на дървен материал;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Производство</w:t>
            </w:r>
            <w:r w:rsidRPr="00336360">
              <w:rPr>
                <w:rFonts w:ascii="Calibri" w:eastAsia="Times New Roman" w:hAnsi="Calibri" w:cs="Calibri"/>
                <w:i/>
                <w:iCs/>
              </w:rPr>
              <w:t xml:space="preserve"> </w:t>
            </w:r>
            <w:r w:rsidRPr="00336360">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Производство на колове или колчета: белене, цепене, заостряне, пакетиране; </w:t>
            </w:r>
          </w:p>
          <w:p w:rsidR="002B6C66" w:rsidRPr="00336360" w:rsidRDefault="00461EE4" w:rsidP="009323AD">
            <w:pPr>
              <w:spacing w:after="60" w:line="240" w:lineRule="auto"/>
              <w:ind w:left="340" w:hanging="340"/>
              <w:jc w:val="both"/>
              <w:rPr>
                <w:rFonts w:eastAsia="Times New Roman" w:cstheme="minorHAnsi"/>
                <w:snapToGrid w:val="0"/>
                <w:sz w:val="24"/>
                <w:szCs w:val="24"/>
              </w:rPr>
            </w:pPr>
            <w:r>
              <w:rPr>
                <w:rFonts w:eastAsia="Times New Roman" w:cstheme="minorHAnsi"/>
                <w:snapToGrid w:val="0"/>
                <w:sz w:val="24"/>
                <w:szCs w:val="24"/>
              </w:rPr>
              <w:t xml:space="preserve">6. </w:t>
            </w:r>
            <w:r w:rsidR="002B6C66" w:rsidRPr="00336360">
              <w:rPr>
                <w:rFonts w:eastAsia="Times New Roman" w:cstheme="minorHAnsi"/>
                <w:snapToGrid w:val="0"/>
                <w:sz w:val="24"/>
                <w:szCs w:val="24"/>
              </w:rPr>
              <w:t>Производство на дърва за горене: рязане, цепене</w:t>
            </w:r>
            <w:r w:rsidR="002B6C66" w:rsidRPr="00336360">
              <w:rPr>
                <w:rFonts w:ascii="Calibri" w:eastAsia="Times New Roman" w:hAnsi="Calibri" w:cs="Calibri"/>
                <w:i/>
                <w:iCs/>
              </w:rPr>
              <w:t xml:space="preserve">,  </w:t>
            </w:r>
            <w:r w:rsidR="002B6C66" w:rsidRPr="00336360">
              <w:rPr>
                <w:rFonts w:eastAsia="Times New Roman" w:cstheme="minorHAnsi"/>
                <w:snapToGrid w:val="0"/>
                <w:sz w:val="24"/>
                <w:szCs w:val="24"/>
              </w:rPr>
              <w:t>пакетиране.</w:t>
            </w:r>
          </w:p>
        </w:tc>
      </w:tr>
      <w:tr w:rsidR="002B6C66" w:rsidRPr="008E4D35" w:rsidTr="00A33FEF">
        <w:tc>
          <w:tcPr>
            <w:tcW w:w="2633" w:type="dxa"/>
            <w:shd w:val="clear" w:color="auto" w:fill="D9D9D9" w:themeFill="background1" w:themeFillShade="D9"/>
          </w:tcPr>
          <w:p w:rsidR="002B6C66" w:rsidRPr="00336360" w:rsidRDefault="002B6C66" w:rsidP="002B6C66">
            <w:pPr>
              <w:spacing w:before="100" w:beforeAutospacing="1" w:after="100" w:afterAutospacing="1" w:line="240" w:lineRule="auto"/>
              <w:rPr>
                <w:rFonts w:eastAsia="Times New Roman" w:cstheme="minorHAnsi"/>
                <w:b/>
                <w:snapToGrid w:val="0"/>
                <w:sz w:val="24"/>
                <w:szCs w:val="24"/>
              </w:rPr>
            </w:pPr>
            <w:r w:rsidRPr="00336360">
              <w:rPr>
                <w:rFonts w:eastAsia="Times New Roman" w:cstheme="minorHAnsi"/>
                <w:b/>
                <w:snapToGrid w:val="0"/>
                <w:sz w:val="24"/>
                <w:szCs w:val="24"/>
              </w:rPr>
              <w:t>Група предприятия</w:t>
            </w:r>
          </w:p>
        </w:tc>
        <w:tc>
          <w:tcPr>
            <w:tcW w:w="6831" w:type="dxa"/>
            <w:shd w:val="clear" w:color="auto" w:fill="F2F2F2" w:themeFill="background1" w:themeFillShade="F2"/>
          </w:tcPr>
          <w:p w:rsidR="002B6C66" w:rsidRPr="00336360" w:rsidRDefault="002B6C66" w:rsidP="002B6C66">
            <w:pPr>
              <w:spacing w:before="100" w:beforeAutospacing="1" w:after="0" w:line="240" w:lineRule="auto"/>
              <w:jc w:val="both"/>
            </w:pPr>
            <w:r w:rsidRPr="00336360">
              <w:rPr>
                <w:rFonts w:eastAsia="Times New Roman" w:cstheme="minorHAnsi"/>
                <w:snapToGrid w:val="0"/>
                <w:sz w:val="24"/>
                <w:szCs w:val="24"/>
              </w:rPr>
              <w:t>„Група</w:t>
            </w:r>
            <w:r w:rsidRPr="00336360">
              <w:rPr>
                <w:rFonts w:eastAsia="Times New Roman" w:cstheme="minorHAnsi"/>
                <w:snapToGrid w:val="0"/>
                <w:sz w:val="24"/>
                <w:szCs w:val="24"/>
                <w:lang w:val="en-US"/>
              </w:rPr>
              <w:t>”</w:t>
            </w:r>
            <w:r w:rsidRPr="00336360">
              <w:rPr>
                <w:rFonts w:eastAsia="Times New Roman" w:cstheme="minorHAnsi"/>
                <w:snapToGrid w:val="0"/>
                <w:sz w:val="24"/>
                <w:szCs w:val="24"/>
              </w:rPr>
              <w:t xml:space="preserve"> означава предприятие майка и всички негови дъщерни предприятия, като: „предприятие майка</w:t>
            </w:r>
            <w:r w:rsidRPr="00336360">
              <w:rPr>
                <w:rFonts w:eastAsia="Times New Roman" w:cstheme="minorHAnsi"/>
                <w:snapToGrid w:val="0"/>
                <w:sz w:val="24"/>
                <w:szCs w:val="24"/>
                <w:lang w:val="en-US"/>
              </w:rPr>
              <w:t>”</w:t>
            </w:r>
            <w:r w:rsidRPr="00336360">
              <w:rPr>
                <w:rFonts w:eastAsia="Times New Roman" w:cstheme="minorHAnsi"/>
                <w:snapToGrid w:val="0"/>
                <w:sz w:val="24"/>
                <w:szCs w:val="24"/>
              </w:rPr>
              <w:t xml:space="preserve"> означава предприятие, което контролира едно или повече дъщерни предприятия и съответно „дъщерно предприятие</w:t>
            </w:r>
            <w:r w:rsidRPr="00336360">
              <w:rPr>
                <w:rFonts w:eastAsia="Times New Roman" w:cstheme="minorHAnsi"/>
                <w:snapToGrid w:val="0"/>
                <w:sz w:val="24"/>
                <w:szCs w:val="24"/>
                <w:lang w:val="en-US"/>
              </w:rPr>
              <w:t>”</w:t>
            </w:r>
            <w:r w:rsidRPr="00336360">
              <w:rPr>
                <w:rFonts w:eastAsia="Times New Roman" w:cstheme="minorHAnsi"/>
                <w:snapToGrid w:val="0"/>
                <w:sz w:val="24"/>
                <w:szCs w:val="24"/>
              </w:rPr>
              <w:t xml:space="preserve"> означава предприятие, което се контролира от предприятие майка, включително дъщерно предприятие на крайно предприятие майка.</w:t>
            </w:r>
          </w:p>
          <w:p w:rsidR="002B6C66" w:rsidRPr="00336360" w:rsidRDefault="002B6C66" w:rsidP="001A3B19">
            <w:pPr>
              <w:spacing w:after="60" w:line="240" w:lineRule="auto"/>
              <w:jc w:val="both"/>
              <w:rPr>
                <w:rFonts w:eastAsia="Times New Roman" w:cstheme="minorHAnsi"/>
                <w:snapToGrid w:val="0"/>
                <w:sz w:val="24"/>
                <w:szCs w:val="24"/>
              </w:rPr>
            </w:pPr>
            <w:r w:rsidRPr="00336360">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ТРРЮЛНЦ),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 xml:space="preserve">Дата на започване на работата по предложението за </w:t>
            </w:r>
            <w:r w:rsidRPr="007676BF">
              <w:rPr>
                <w:rFonts w:eastAsia="Times New Roman" w:cstheme="minorHAnsi"/>
                <w:b/>
                <w:snapToGrid w:val="0"/>
                <w:sz w:val="24"/>
                <w:szCs w:val="24"/>
              </w:rPr>
              <w:lastRenderedPageBreak/>
              <w:t>изпълнение на инвестиция</w:t>
            </w:r>
          </w:p>
        </w:tc>
        <w:tc>
          <w:tcPr>
            <w:tcW w:w="6831" w:type="dxa"/>
            <w:shd w:val="clear" w:color="auto" w:fill="F2F2F2" w:themeFill="background1" w:themeFillShade="F2"/>
          </w:tcPr>
          <w:p w:rsidR="002B6C66" w:rsidRPr="007676BF" w:rsidRDefault="001D56B0" w:rsidP="001D56B0">
            <w:pPr>
              <w:spacing w:before="100" w:beforeAutospacing="1" w:after="60" w:line="240" w:lineRule="auto"/>
              <w:jc w:val="both"/>
              <w:rPr>
                <w:rFonts w:eastAsia="Times New Roman" w:cstheme="minorHAnsi"/>
                <w:snapToGrid w:val="0"/>
                <w:sz w:val="24"/>
                <w:szCs w:val="24"/>
              </w:rPr>
            </w:pPr>
            <w:r w:rsidRPr="001D56B0">
              <w:rPr>
                <w:rFonts w:eastAsia="Times New Roman" w:cstheme="minorHAnsi"/>
                <w:snapToGrid w:val="0"/>
                <w:sz w:val="24"/>
                <w:szCs w:val="24"/>
              </w:rPr>
              <w:lastRenderedPageBreak/>
              <w:t xml:space="preserve">Дата на започване на работата по инвестицията от страна на кандидата/партньора означава първото от следните събития: започване на строителните работи, свързани с инвестицията, </w:t>
            </w:r>
            <w:r w:rsidRPr="001D56B0">
              <w:rPr>
                <w:rFonts w:eastAsia="Times New Roman" w:cstheme="minorHAnsi"/>
                <w:snapToGrid w:val="0"/>
                <w:sz w:val="24"/>
                <w:szCs w:val="24"/>
              </w:rPr>
              <w:lastRenderedPageBreak/>
              <w:t>която кандидатът/партньорът ще изпълнява в рамките на проекта или поемане на първия правнообвързващ ангажимент за поръчка на оборудване или всеки друг ангажимент, който прави инвестицията необратима.</w:t>
            </w:r>
            <w:r>
              <w:rPr>
                <w:sz w:val="16"/>
                <w:szCs w:val="16"/>
              </w:rPr>
              <w:t xml:space="preserve"> </w:t>
            </w:r>
            <w:r w:rsidR="002B6C66" w:rsidRPr="007676BF">
              <w:rPr>
                <w:rFonts w:eastAsia="Times New Roman" w:cstheme="minorHAnsi"/>
                <w:snapToGrid w:val="0"/>
                <w:sz w:val="24"/>
                <w:szCs w:val="24"/>
              </w:rPr>
              <w:t>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Дейност</w:t>
            </w:r>
          </w:p>
        </w:tc>
        <w:tc>
          <w:tcPr>
            <w:tcW w:w="6831"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съответната инвестиция.</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Договор за финансиране</w:t>
            </w:r>
          </w:p>
        </w:tc>
        <w:tc>
          <w:tcPr>
            <w:tcW w:w="6831"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Договор за предоставяне на средства от Механизма за възстановяване и устойчивост от Ръководителя на Структурата за наблюдение и докладване въз основа на одобрено предложение за изпълнение на инвестиция.</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Единен инвестиционен проект</w:t>
            </w:r>
          </w:p>
        </w:tc>
        <w:tc>
          <w:tcPr>
            <w:tcW w:w="6831"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Всяка първоначална инвестиция, започната от един и същ бенефициент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w:t>
            </w:r>
            <w:r>
              <w:rPr>
                <w:rFonts w:eastAsia="Times New Roman" w:cstheme="minorHAnsi"/>
                <w:snapToGrid w:val="0"/>
                <w:sz w:val="24"/>
                <w:szCs w:val="24"/>
                <w:lang w:val="en-US"/>
              </w:rPr>
              <w:t>(NUTS 3) - a</w:t>
            </w:r>
            <w:r w:rsidRPr="007676BF">
              <w:rPr>
                <w:rFonts w:eastAsia="Times New Roman" w:cstheme="minorHAnsi"/>
                <w:snapToGrid w:val="0"/>
                <w:sz w:val="24"/>
                <w:szCs w:val="24"/>
                <w:lang w:val="en-US"/>
              </w:rPr>
              <w:t>дминистративна единица област.</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Едно и също предприятие</w:t>
            </w:r>
          </w:p>
        </w:tc>
        <w:tc>
          <w:tcPr>
            <w:tcW w:w="6831" w:type="dxa"/>
            <w:shd w:val="clear" w:color="auto" w:fill="F2F2F2" w:themeFill="background1" w:themeFillShade="F2"/>
          </w:tcPr>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ascii="Calibri" w:eastAsia="Calibri" w:hAnsi="Calibri" w:cs="Times New Roman"/>
                <w:bCs/>
                <w:sz w:val="24"/>
                <w:szCs w:val="24"/>
              </w:rPr>
              <w:t xml:space="preserve">Съгласно чл. 2, пар. 2 на Регламент (ЕС) № 1407/2013 </w:t>
            </w:r>
            <w:r w:rsidRPr="007676BF">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Предприятия, поддържащи едно от взаимоотношенията по </w:t>
            </w:r>
            <w:r w:rsidRPr="007676BF">
              <w:rPr>
                <w:rFonts w:eastAsia="Times New Roman" w:cstheme="minorHAnsi"/>
                <w:snapToGrid w:val="0"/>
                <w:sz w:val="24"/>
                <w:szCs w:val="24"/>
              </w:rPr>
              <w:lastRenderedPageBreak/>
              <w:t>букви а) - г) посредством едно или няколко други предприятия, също се разглеждат като едно и също предприятие.</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 xml:space="preserve">Енергийна инфраструктура </w:t>
            </w:r>
          </w:p>
        </w:tc>
        <w:tc>
          <w:tcPr>
            <w:tcW w:w="6831" w:type="dxa"/>
            <w:shd w:val="clear" w:color="auto" w:fill="F2F2F2" w:themeFill="background1" w:themeFillShade="F2"/>
          </w:tcPr>
          <w:p w:rsidR="002B6C66" w:rsidRPr="007676BF" w:rsidRDefault="002B6C66" w:rsidP="002B6C66">
            <w:pPr>
              <w:spacing w:before="60"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По смисъла на чл. 2, пар. 130 от Регламент (ЕС) № 651/2014 „енергийна инфраструктура“ означава всякакво материално оборудване или съоръжения, които са разположени в</w:t>
            </w:r>
            <w:r w:rsidRPr="007676BF">
              <w:rPr>
                <w:rFonts w:eastAsia="Times New Roman" w:cstheme="minorHAnsi"/>
                <w:snapToGrid w:val="0"/>
                <w:sz w:val="24"/>
                <w:szCs w:val="24"/>
              </w:rPr>
              <w:br/>
              <w:t>Съюза или свързват Съюза с една или повече трети държави и които попадат в една от следните категории:</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а) относно електроенергията:</w:t>
            </w:r>
          </w:p>
          <w:p w:rsidR="002B6C66" w:rsidRPr="007676BF" w:rsidRDefault="002B6C66" w:rsidP="002B6C66">
            <w:pPr>
              <w:spacing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i) инфраструктура за пренос съгласно определението в член 2, точка 3 от Директива 2009/72/ЕО от 13 юли</w:t>
            </w:r>
            <w:r w:rsidRPr="007676BF">
              <w:rPr>
                <w:rFonts w:eastAsia="Times New Roman" w:cstheme="minorHAnsi"/>
                <w:snapToGrid w:val="0"/>
                <w:sz w:val="24"/>
                <w:szCs w:val="24"/>
              </w:rPr>
              <w:br/>
              <w:t>2009 г. относно общите правила за вътрешния пазар на електроенергия;</w:t>
            </w:r>
            <w:r w:rsidRPr="007676BF">
              <w:rPr>
                <w:rFonts w:eastAsia="Times New Roman" w:cstheme="minorHAnsi"/>
                <w:snapToGrid w:val="0"/>
                <w:sz w:val="24"/>
                <w:szCs w:val="24"/>
              </w:rPr>
              <w:br/>
              <w:t>ii) инфраструктура за разпределение съгласно определението в член 2, точка 5 от Директива 2009/72/ЕО;</w:t>
            </w:r>
          </w:p>
          <w:p w:rsidR="002B6C66" w:rsidRPr="007676BF" w:rsidRDefault="002B6C66" w:rsidP="002B6C66">
            <w:pPr>
              <w:spacing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iii) хранилища за електроенергия, които се определят като съоръжения, използвани за натрупване на електроенергия за постоянно или временно в надземна или подземна инфраструктура или геоложки обекти, при</w:t>
            </w:r>
            <w:r w:rsidRPr="007676BF">
              <w:rPr>
                <w:rFonts w:eastAsia="Times New Roman" w:cstheme="minorHAnsi"/>
                <w:snapToGrid w:val="0"/>
                <w:sz w:val="24"/>
                <w:szCs w:val="24"/>
              </w:rPr>
              <w:br/>
              <w:t>условие че те са директно свързани към електропроводи за високо налягане, проектирани за напрежение</w:t>
            </w:r>
            <w:r w:rsidRPr="007676BF">
              <w:rPr>
                <w:rFonts w:eastAsia="Times New Roman" w:cstheme="minorHAnsi"/>
                <w:snapToGrid w:val="0"/>
                <w:sz w:val="24"/>
                <w:szCs w:val="24"/>
              </w:rPr>
              <w:br/>
              <w:t>110 kV или по-високо;</w:t>
            </w:r>
          </w:p>
          <w:p w:rsidR="002B6C66" w:rsidRPr="007676BF" w:rsidRDefault="002B6C66" w:rsidP="002B6C66">
            <w:pPr>
              <w:spacing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iv) всякакво оборудване или инсталация, които са от основно значение за безопасната, сигурна и ефективна</w:t>
            </w:r>
            <w:r w:rsidRPr="007676BF">
              <w:rPr>
                <w:rFonts w:eastAsia="Times New Roman" w:cstheme="minorHAnsi"/>
                <w:snapToGrid w:val="0"/>
                <w:sz w:val="24"/>
                <w:szCs w:val="24"/>
              </w:rPr>
              <w:br/>
              <w:t>работа на системите, определени в букви i)—iii), включително системите за защита, следене и контрол за</w:t>
            </w:r>
            <w:r w:rsidRPr="007676BF">
              <w:rPr>
                <w:rFonts w:eastAsia="Times New Roman" w:cstheme="minorHAnsi"/>
                <w:snapToGrid w:val="0"/>
                <w:sz w:val="24"/>
                <w:szCs w:val="24"/>
              </w:rPr>
              <w:br/>
              <w:t xml:space="preserve">всички напрежения и подстанции; и                                       </w:t>
            </w:r>
          </w:p>
          <w:p w:rsidR="002B6C66" w:rsidRPr="007676BF" w:rsidRDefault="002B6C66" w:rsidP="002B6C66">
            <w:pPr>
              <w:spacing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v) интелигентни мрежи, определени като всякакво оборудване, линии, кабели или инсталации, както на</w:t>
            </w:r>
            <w:r w:rsidRPr="007676BF">
              <w:rPr>
                <w:rFonts w:eastAsia="Times New Roman" w:cstheme="minorHAnsi"/>
                <w:snapToGrid w:val="0"/>
                <w:sz w:val="24"/>
                <w:szCs w:val="24"/>
              </w:rPr>
              <w:br/>
              <w:t>равнище пренос, така и на равнище ниско и средно напрежение, чиято цел е двупосочна цифрова комуникация, реалновременна или близка до реалновременната, интерактивно и интелигентно следене и управление на производството, преноса, разпределението и потреблението на електроенергия в рамките на дадена</w:t>
            </w:r>
            <w:r w:rsidRPr="007676BF">
              <w:rPr>
                <w:rFonts w:eastAsia="Times New Roman" w:cstheme="minorHAnsi"/>
                <w:snapToGrid w:val="0"/>
                <w:sz w:val="24"/>
                <w:szCs w:val="24"/>
              </w:rPr>
              <w:br/>
              <w:t>електроенергийна мрежа с оглед на разработването на мрежа, ефективно интегрираща поведението и</w:t>
            </w:r>
            <w:r w:rsidRPr="007676BF">
              <w:rPr>
                <w:rFonts w:eastAsia="Times New Roman" w:cstheme="minorHAnsi"/>
                <w:snapToGrid w:val="0"/>
                <w:sz w:val="24"/>
                <w:szCs w:val="24"/>
              </w:rPr>
              <w:br/>
              <w:t>действията на всички свързани с нея потребители - производители, потребители и тези, които са едновременно производители и потребители, за да се гарантира икономически ефективна и устойчива електроенергийна система с ниски загуби и високо качество и сигурност на електроснабдяването и безопасността;</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б) относно газа:</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i) преносни и разпределителни газопроводи за транспортиране </w:t>
            </w:r>
            <w:r w:rsidRPr="007676BF">
              <w:rPr>
                <w:rFonts w:eastAsia="Times New Roman" w:cstheme="minorHAnsi"/>
                <w:snapToGrid w:val="0"/>
                <w:sz w:val="24"/>
                <w:szCs w:val="24"/>
              </w:rPr>
              <w:lastRenderedPageBreak/>
              <w:t>на природен газ и биогаз, които са част от</w:t>
            </w:r>
            <w:r w:rsidRPr="007676BF">
              <w:rPr>
                <w:rFonts w:eastAsia="Times New Roman" w:cstheme="minorHAnsi"/>
                <w:snapToGrid w:val="0"/>
                <w:sz w:val="24"/>
                <w:szCs w:val="24"/>
              </w:rPr>
              <w:br/>
              <w:t>мрежа, с изключение на газопроводите с високо налягане, използвани за разпределение на природен газ в</w:t>
            </w:r>
            <w:r w:rsidRPr="007676BF">
              <w:rPr>
                <w:rFonts w:eastAsia="Times New Roman" w:cstheme="minorHAnsi"/>
                <w:snapToGrid w:val="0"/>
                <w:sz w:val="24"/>
                <w:szCs w:val="24"/>
              </w:rPr>
              <w:br/>
              <w:t>предходна част от мрежата;</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ii) подземни хранилища, свързани с посочените газопроводи за високо налягане, посочени в буква i);</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iii) съоръжения за приемане, съхраняване и регазификация или понижаване на налягането на втечнен природен</w:t>
            </w:r>
            <w:r w:rsidRPr="007676BF">
              <w:rPr>
                <w:rFonts w:eastAsia="Times New Roman" w:cstheme="minorHAnsi"/>
                <w:snapToGrid w:val="0"/>
                <w:sz w:val="24"/>
                <w:szCs w:val="24"/>
              </w:rPr>
              <w:br/>
              <w:t>газ (ВПГ) или сгъстен природен газ (СПГ); и</w:t>
            </w:r>
            <w:r w:rsidRPr="007676BF">
              <w:rPr>
                <w:rFonts w:eastAsia="Times New Roman" w:cstheme="minorHAnsi"/>
                <w:snapToGrid w:val="0"/>
                <w:sz w:val="24"/>
                <w:szCs w:val="24"/>
              </w:rPr>
              <w:br/>
              <w:t>iv) всякакво оборудване или инсталации, които са от основно значение за безопасната, сигурна и ефективна</w:t>
            </w:r>
            <w:r w:rsidRPr="007676BF">
              <w:rPr>
                <w:rFonts w:eastAsia="Times New Roman" w:cstheme="minorHAnsi"/>
                <w:snapToGrid w:val="0"/>
                <w:sz w:val="24"/>
                <w:szCs w:val="24"/>
              </w:rPr>
              <w:br/>
              <w:t>работа на системата или за осигуряване на възможност за двупосочен капацитет, включително компресорни</w:t>
            </w:r>
            <w:r w:rsidRPr="007676BF">
              <w:rPr>
                <w:rFonts w:eastAsia="Times New Roman" w:cstheme="minorHAnsi"/>
                <w:snapToGrid w:val="0"/>
                <w:sz w:val="24"/>
                <w:szCs w:val="24"/>
              </w:rPr>
              <w:br/>
              <w:t>станции;</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в) относно нефта:</w:t>
            </w:r>
          </w:p>
          <w:p w:rsidR="002B6C66" w:rsidRDefault="002B6C66" w:rsidP="001A3B19">
            <w:pPr>
              <w:spacing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i) нефтопроводи, използвани за транспортиране на суров нефт;</w:t>
            </w:r>
            <w:r w:rsidRPr="007676BF">
              <w:rPr>
                <w:rFonts w:eastAsia="Times New Roman" w:cstheme="minorHAnsi"/>
                <w:snapToGrid w:val="0"/>
                <w:sz w:val="24"/>
                <w:szCs w:val="24"/>
              </w:rPr>
              <w:br/>
              <w:t>ii) помпени станции и нефтохранилища, необходими за експлоатацията на нефтопроводи за суров нефт; и</w:t>
            </w:r>
            <w:r w:rsidRPr="007676BF">
              <w:rPr>
                <w:rFonts w:eastAsia="Times New Roman" w:cstheme="minorHAnsi"/>
                <w:snapToGrid w:val="0"/>
                <w:sz w:val="24"/>
                <w:szCs w:val="24"/>
              </w:rPr>
              <w:br/>
              <w:t>iii) всички съоръжения или инсталации, които са от основно значение за правилната, сигурна и ефективна</w:t>
            </w:r>
            <w:r w:rsidRPr="007676BF">
              <w:rPr>
                <w:rFonts w:eastAsia="Times New Roman" w:cstheme="minorHAnsi"/>
                <w:snapToGrid w:val="0"/>
                <w:sz w:val="24"/>
                <w:szCs w:val="24"/>
              </w:rPr>
              <w:br/>
              <w:t>работа на системата, включително системите за защита, следене и контрол, и съоръженията за реверсивно</w:t>
            </w:r>
            <w:r w:rsidRPr="007676BF">
              <w:rPr>
                <w:rFonts w:eastAsia="Times New Roman" w:cstheme="minorHAnsi"/>
                <w:snapToGrid w:val="0"/>
                <w:sz w:val="24"/>
                <w:szCs w:val="24"/>
              </w:rPr>
              <w:br/>
              <w:t>подаване.</w:t>
            </w:r>
          </w:p>
          <w:p w:rsidR="00E37D29" w:rsidRPr="007676BF" w:rsidRDefault="0095223F" w:rsidP="001A3B1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г) </w:t>
            </w:r>
            <w:r w:rsidRPr="0095223F">
              <w:rPr>
                <w:rFonts w:eastAsia="Times New Roman" w:cstheme="minorHAnsi"/>
                <w:snapToGrid w:val="0"/>
                <w:sz w:val="24"/>
                <w:szCs w:val="24"/>
              </w:rPr>
              <w:t>относно CO</w:t>
            </w:r>
            <w:r w:rsidRPr="0095223F">
              <w:rPr>
                <w:rFonts w:eastAsia="Times New Roman" w:cstheme="minorHAnsi"/>
                <w:snapToGrid w:val="0"/>
                <w:sz w:val="16"/>
                <w:szCs w:val="16"/>
              </w:rPr>
              <w:t>2</w:t>
            </w:r>
            <w:r w:rsidRPr="0095223F">
              <w:rPr>
                <w:rFonts w:eastAsia="Times New Roman" w:cstheme="minorHAnsi"/>
                <w:snapToGrid w:val="0"/>
                <w:sz w:val="24"/>
                <w:szCs w:val="24"/>
              </w:rPr>
              <w:t>: мрежа от тръбопроводи, включително свързаните с нея компресорни станции, за преноса на CO</w:t>
            </w:r>
            <w:r w:rsidRPr="0095223F">
              <w:rPr>
                <w:rFonts w:eastAsia="Times New Roman" w:cstheme="minorHAnsi"/>
                <w:snapToGrid w:val="0"/>
                <w:sz w:val="16"/>
                <w:szCs w:val="16"/>
              </w:rPr>
              <w:t>2</w:t>
            </w:r>
            <w:r w:rsidRPr="0095223F">
              <w:rPr>
                <w:rFonts w:eastAsia="Times New Roman" w:cstheme="minorHAnsi"/>
                <w:snapToGrid w:val="0"/>
                <w:sz w:val="24"/>
                <w:szCs w:val="24"/>
              </w:rPr>
              <w:t xml:space="preserve"> към местата за съхранение, с цел инжектиране на CO</w:t>
            </w:r>
            <w:r w:rsidRPr="0095223F">
              <w:rPr>
                <w:rFonts w:eastAsia="Times New Roman" w:cstheme="minorHAnsi"/>
                <w:snapToGrid w:val="0"/>
                <w:sz w:val="16"/>
                <w:szCs w:val="16"/>
              </w:rPr>
              <w:t>2</w:t>
            </w:r>
            <w:r w:rsidRPr="0095223F">
              <w:rPr>
                <w:rFonts w:eastAsia="Times New Roman" w:cstheme="minorHAnsi"/>
                <w:snapToGrid w:val="0"/>
                <w:sz w:val="24"/>
                <w:szCs w:val="24"/>
              </w:rPr>
              <w:t xml:space="preserve"> в подходящи подземни геоложки формации за постоянно съхранение</w:t>
            </w:r>
            <w:r w:rsidR="00661A59">
              <w:rPr>
                <w:rFonts w:eastAsia="Times New Roman" w:cstheme="minorHAnsi"/>
                <w:snapToGrid w:val="0"/>
                <w:sz w:val="24"/>
                <w:szCs w:val="24"/>
              </w:rPr>
              <w:t>.</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Кандидати за средства от Механизма за възстановяване и устойчивост</w:t>
            </w:r>
          </w:p>
        </w:tc>
        <w:tc>
          <w:tcPr>
            <w:tcW w:w="6831"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Краен получател</w:t>
            </w:r>
          </w:p>
        </w:tc>
        <w:tc>
          <w:tcPr>
            <w:tcW w:w="6831"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реда на ПМС № 114/2022 г. и с когото е сключен договор или е издадена заповед за предоставяне на средства от Механизма.</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Кръгова икономика</w:t>
            </w:r>
          </w:p>
        </w:tc>
        <w:tc>
          <w:tcPr>
            <w:tcW w:w="6831" w:type="dxa"/>
            <w:shd w:val="clear" w:color="auto" w:fill="F2F2F2" w:themeFill="background1" w:themeFillShade="F2"/>
          </w:tcPr>
          <w:p w:rsidR="002B6C66" w:rsidRPr="007676BF" w:rsidRDefault="002B6C66" w:rsidP="00736749">
            <w:pPr>
              <w:spacing w:before="100" w:beforeAutospacing="1" w:after="60" w:line="240" w:lineRule="auto"/>
              <w:jc w:val="both"/>
              <w:rPr>
                <w:rFonts w:eastAsia="Times New Roman" w:cstheme="minorHAnsi"/>
                <w:snapToGrid w:val="0"/>
                <w:sz w:val="24"/>
                <w:szCs w:val="24"/>
                <w:lang w:val="en-US"/>
              </w:rPr>
            </w:pPr>
            <w:r w:rsidRPr="007676BF">
              <w:rPr>
                <w:rFonts w:eastAsia="Times New Roman" w:cstheme="minorHAnsi"/>
                <w:snapToGrid w:val="0"/>
                <w:sz w:val="24"/>
                <w:szCs w:val="24"/>
              </w:rPr>
              <w:t xml:space="preserve">По смисъла на чл. 2, пар. 9 от Регламент (ЕС) </w:t>
            </w:r>
            <w:r w:rsidR="001166DF">
              <w:rPr>
                <w:rFonts w:eastAsia="Times New Roman" w:cstheme="minorHAnsi"/>
                <w:snapToGrid w:val="0"/>
                <w:sz w:val="24"/>
                <w:szCs w:val="24"/>
              </w:rPr>
              <w:t xml:space="preserve">№ </w:t>
            </w:r>
            <w:r w:rsidRPr="007676BF">
              <w:rPr>
                <w:rFonts w:eastAsia="Times New Roman" w:cstheme="minorHAnsi"/>
                <w:snapToGrid w:val="0"/>
                <w:sz w:val="24"/>
                <w:szCs w:val="24"/>
              </w:rPr>
              <w:t>2020/852 „кръгова икономика</w:t>
            </w:r>
            <w:r w:rsidRPr="007676BF">
              <w:rPr>
                <w:rFonts w:eastAsia="Times New Roman" w:cstheme="minorHAnsi"/>
                <w:snapToGrid w:val="0"/>
                <w:sz w:val="24"/>
                <w:szCs w:val="24"/>
                <w:lang w:val="en-US"/>
              </w:rPr>
              <w:t>”</w:t>
            </w:r>
            <w:r w:rsidRPr="007676BF">
              <w:rPr>
                <w:rFonts w:eastAsia="Times New Roman" w:cstheme="minorHAnsi"/>
                <w:snapToGrid w:val="0"/>
                <w:sz w:val="24"/>
                <w:szCs w:val="24"/>
              </w:rPr>
              <w:t xml:space="preserve"> означава икономическа система, при която запазването на стойността на продуктите, материалите</w:t>
            </w:r>
            <w:r w:rsidRPr="007676BF">
              <w:rPr>
                <w:rFonts w:eastAsia="Times New Roman" w:cstheme="minorHAnsi"/>
                <w:snapToGrid w:val="0"/>
                <w:sz w:val="24"/>
                <w:szCs w:val="24"/>
                <w:lang w:val="en-US"/>
              </w:rPr>
              <w:t xml:space="preserve"> </w:t>
            </w:r>
            <w:r w:rsidRPr="007676BF">
              <w:rPr>
                <w:rFonts w:eastAsia="Times New Roman" w:cstheme="minorHAnsi"/>
                <w:snapToGrid w:val="0"/>
                <w:sz w:val="24"/>
                <w:szCs w:val="24"/>
              </w:rPr>
              <w:t>и другите ресурси в икономиката се поддържа за въз</w:t>
            </w:r>
            <w:r>
              <w:rPr>
                <w:rFonts w:eastAsia="Times New Roman" w:cstheme="minorHAnsi"/>
                <w:snapToGrid w:val="0"/>
                <w:sz w:val="24"/>
                <w:szCs w:val="24"/>
              </w:rPr>
              <w:t xml:space="preserve">можно най-дълъг период от време, </w:t>
            </w:r>
            <w:r w:rsidRPr="007676BF">
              <w:rPr>
                <w:rFonts w:eastAsia="Times New Roman" w:cstheme="minorHAnsi"/>
                <w:snapToGrid w:val="0"/>
                <w:sz w:val="24"/>
                <w:szCs w:val="24"/>
              </w:rPr>
              <w:t>като се подобрява ефективното</w:t>
            </w:r>
            <w:r w:rsidRPr="007676BF">
              <w:rPr>
                <w:rFonts w:eastAsia="Times New Roman" w:cstheme="minorHAnsi"/>
                <w:snapToGrid w:val="0"/>
                <w:sz w:val="24"/>
                <w:szCs w:val="24"/>
                <w:lang w:val="en-US"/>
              </w:rPr>
              <w:t xml:space="preserve"> </w:t>
            </w:r>
            <w:r w:rsidRPr="007676BF">
              <w:rPr>
                <w:rFonts w:eastAsia="Times New Roman" w:cstheme="minorHAnsi"/>
                <w:snapToGrid w:val="0"/>
                <w:sz w:val="24"/>
                <w:szCs w:val="24"/>
              </w:rPr>
              <w:t xml:space="preserve">им </w:t>
            </w:r>
            <w:r w:rsidRPr="007676BF">
              <w:rPr>
                <w:rFonts w:eastAsia="Times New Roman" w:cstheme="minorHAnsi"/>
                <w:snapToGrid w:val="0"/>
                <w:sz w:val="24"/>
                <w:szCs w:val="24"/>
              </w:rPr>
              <w:lastRenderedPageBreak/>
              <w:t xml:space="preserve">използване в производството и потреблението, </w:t>
            </w:r>
            <w:r>
              <w:rPr>
                <w:rFonts w:eastAsia="Times New Roman" w:cstheme="minorHAnsi"/>
                <w:snapToGrid w:val="0"/>
                <w:sz w:val="24"/>
                <w:szCs w:val="24"/>
              </w:rPr>
              <w:t xml:space="preserve">и </w:t>
            </w:r>
            <w:r w:rsidRPr="007676BF">
              <w:rPr>
                <w:rFonts w:eastAsia="Times New Roman" w:cstheme="minorHAnsi"/>
                <w:snapToGrid w:val="0"/>
                <w:sz w:val="24"/>
                <w:szCs w:val="24"/>
              </w:rPr>
              <w:t>по този на</w:t>
            </w:r>
            <w:r w:rsidR="000E2800">
              <w:rPr>
                <w:rFonts w:eastAsia="Times New Roman" w:cstheme="minorHAnsi"/>
                <w:snapToGrid w:val="0"/>
                <w:sz w:val="24"/>
                <w:szCs w:val="24"/>
              </w:rPr>
              <w:t>чин се намалява въздействието от</w:t>
            </w:r>
            <w:r w:rsidRPr="007676BF">
              <w:rPr>
                <w:rFonts w:eastAsia="Times New Roman" w:cstheme="minorHAnsi"/>
                <w:snapToGrid w:val="0"/>
                <w:sz w:val="24"/>
                <w:szCs w:val="24"/>
              </w:rPr>
              <w:t xml:space="preserve"> тяхното използване</w:t>
            </w:r>
            <w:r w:rsidRPr="007676BF">
              <w:rPr>
                <w:rFonts w:eastAsia="Times New Roman" w:cstheme="minorHAnsi"/>
                <w:snapToGrid w:val="0"/>
                <w:sz w:val="24"/>
                <w:szCs w:val="24"/>
                <w:lang w:val="en-US"/>
              </w:rPr>
              <w:t xml:space="preserve"> </w:t>
            </w:r>
            <w:r w:rsidRPr="007676BF">
              <w:rPr>
                <w:rFonts w:eastAsia="Times New Roman" w:cstheme="minorHAnsi"/>
                <w:snapToGrid w:val="0"/>
                <w:sz w:val="24"/>
                <w:szCs w:val="24"/>
              </w:rPr>
              <w:t>върху околната среда и се свеждат до минимум отпадъците и изпускането на опасни вещества на</w:t>
            </w:r>
            <w:r w:rsidR="00634237">
              <w:rPr>
                <w:rFonts w:eastAsia="Times New Roman" w:cstheme="minorHAnsi"/>
                <w:snapToGrid w:val="0"/>
                <w:sz w:val="24"/>
                <w:szCs w:val="24"/>
              </w:rPr>
              <w:t xml:space="preserve"> всички етапи от техния жизнен</w:t>
            </w:r>
            <w:r w:rsidRPr="007676BF">
              <w:rPr>
                <w:rFonts w:eastAsia="Times New Roman" w:cstheme="minorHAnsi"/>
                <w:snapToGrid w:val="0"/>
                <w:sz w:val="24"/>
                <w:szCs w:val="24"/>
              </w:rPr>
              <w:t xml:space="preserve"> цикъл, включително чрез прилагането на йерархията на отпадъците.</w:t>
            </w:r>
          </w:p>
        </w:tc>
      </w:tr>
      <w:tr w:rsidR="002B6C66" w:rsidRPr="008E4D35" w:rsidTr="00A33FEF">
        <w:tc>
          <w:tcPr>
            <w:tcW w:w="2633" w:type="dxa"/>
            <w:shd w:val="clear" w:color="auto" w:fill="D9D9D9" w:themeFill="background1" w:themeFillShade="D9"/>
          </w:tcPr>
          <w:p w:rsidR="002B6C66" w:rsidRPr="002D5C60" w:rsidRDefault="002B6C66"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Кръгов модел</w:t>
            </w:r>
          </w:p>
        </w:tc>
        <w:tc>
          <w:tcPr>
            <w:tcW w:w="6831" w:type="dxa"/>
            <w:shd w:val="clear" w:color="auto" w:fill="F2F2F2" w:themeFill="background1" w:themeFillShade="F2"/>
          </w:tcPr>
          <w:p w:rsidR="002B6C66" w:rsidRDefault="002B6C66" w:rsidP="00736749">
            <w:pPr>
              <w:spacing w:before="100" w:beforeAutospacing="1" w:after="60" w:line="240" w:lineRule="auto"/>
              <w:jc w:val="both"/>
              <w:rPr>
                <w:rFonts w:eastAsia="Times New Roman" w:cstheme="minorHAnsi"/>
                <w:snapToGrid w:val="0"/>
                <w:sz w:val="24"/>
                <w:szCs w:val="24"/>
              </w:rPr>
            </w:pPr>
            <w:r w:rsidRPr="00CA53E9">
              <w:rPr>
                <w:rFonts w:eastAsia="Times New Roman" w:cstheme="minorHAnsi"/>
                <w:snapToGrid w:val="0"/>
                <w:sz w:val="24"/>
                <w:szCs w:val="24"/>
              </w:rPr>
              <w:t>К</w:t>
            </w:r>
            <w:r>
              <w:rPr>
                <w:rFonts w:eastAsia="Times New Roman" w:cstheme="minorHAnsi"/>
                <w:snapToGrid w:val="0"/>
                <w:sz w:val="24"/>
                <w:szCs w:val="24"/>
              </w:rPr>
              <w:t>ръговият модел е начин/подход за създаване и задържане на стойност в</w:t>
            </w:r>
            <w:r w:rsidRPr="00CA53E9">
              <w:rPr>
                <w:rFonts w:eastAsia="Times New Roman" w:cstheme="minorHAnsi"/>
                <w:snapToGrid w:val="0"/>
                <w:sz w:val="24"/>
                <w:szCs w:val="24"/>
              </w:rPr>
              <w:t xml:space="preserve"> икономиката </w:t>
            </w:r>
            <w:r>
              <w:rPr>
                <w:rFonts w:eastAsia="Times New Roman" w:cstheme="minorHAnsi"/>
                <w:snapToGrid w:val="0"/>
                <w:sz w:val="24"/>
                <w:szCs w:val="24"/>
              </w:rPr>
              <w:t>чрез подобряване на</w:t>
            </w:r>
            <w:r w:rsidRPr="00CA53E9">
              <w:rPr>
                <w:rFonts w:eastAsia="Times New Roman" w:cstheme="minorHAnsi"/>
                <w:snapToGrid w:val="0"/>
                <w:sz w:val="24"/>
                <w:szCs w:val="24"/>
              </w:rPr>
              <w:t xml:space="preserve"> ефективността</w:t>
            </w:r>
            <w:r>
              <w:rPr>
                <w:rFonts w:eastAsia="Times New Roman" w:cstheme="minorHAnsi"/>
                <w:snapToGrid w:val="0"/>
                <w:sz w:val="24"/>
                <w:szCs w:val="24"/>
              </w:rPr>
              <w:t xml:space="preserve"> на ресурсите и</w:t>
            </w:r>
            <w:r w:rsidRPr="00CA53E9">
              <w:rPr>
                <w:rFonts w:eastAsia="Times New Roman" w:cstheme="minorHAnsi"/>
                <w:snapToGrid w:val="0"/>
                <w:sz w:val="24"/>
                <w:szCs w:val="24"/>
              </w:rPr>
              <w:t xml:space="preserve"> удължаване на полезния живот на продукти</w:t>
            </w:r>
            <w:r>
              <w:rPr>
                <w:rFonts w:eastAsia="Times New Roman" w:cstheme="minorHAnsi"/>
                <w:snapToGrid w:val="0"/>
                <w:sz w:val="24"/>
                <w:szCs w:val="24"/>
              </w:rPr>
              <w:t>те и материалите. Кръгови</w:t>
            </w:r>
            <w:r w:rsidR="008128DE">
              <w:rPr>
                <w:rFonts w:eastAsia="Times New Roman" w:cstheme="minorHAnsi"/>
                <w:snapToGrid w:val="0"/>
                <w:sz w:val="24"/>
                <w:szCs w:val="24"/>
              </w:rPr>
              <w:t>ят модел се основава на подход н</w:t>
            </w:r>
            <w:r>
              <w:rPr>
                <w:rFonts w:eastAsia="Times New Roman" w:cstheme="minorHAnsi"/>
                <w:snapToGrid w:val="0"/>
                <w:sz w:val="24"/>
                <w:szCs w:val="24"/>
              </w:rPr>
              <w:t>а</w:t>
            </w:r>
            <w:r w:rsidRPr="006531C8">
              <w:rPr>
                <w:rFonts w:eastAsia="Times New Roman" w:cstheme="minorHAnsi"/>
                <w:snapToGrid w:val="0"/>
                <w:sz w:val="24"/>
                <w:szCs w:val="24"/>
              </w:rPr>
              <w:t xml:space="preserve"> </w:t>
            </w:r>
            <w:r>
              <w:rPr>
                <w:rFonts w:eastAsia="Times New Roman" w:cstheme="minorHAnsi"/>
                <w:snapToGrid w:val="0"/>
                <w:sz w:val="24"/>
                <w:szCs w:val="24"/>
              </w:rPr>
              <w:t xml:space="preserve">използване на ресурсите, проектиране, </w:t>
            </w:r>
            <w:r w:rsidRPr="006531C8">
              <w:rPr>
                <w:rFonts w:eastAsia="Times New Roman" w:cstheme="minorHAnsi"/>
                <w:snapToGrid w:val="0"/>
                <w:sz w:val="24"/>
                <w:szCs w:val="24"/>
              </w:rPr>
              <w:t>производство и потребление</w:t>
            </w:r>
            <w:r>
              <w:rPr>
                <w:rFonts w:eastAsia="Times New Roman" w:cstheme="minorHAnsi"/>
                <w:snapToGrid w:val="0"/>
                <w:sz w:val="24"/>
                <w:szCs w:val="24"/>
              </w:rPr>
              <w:t xml:space="preserve"> на продуктите</w:t>
            </w:r>
            <w:r w:rsidRPr="006531C8">
              <w:rPr>
                <w:rFonts w:eastAsia="Times New Roman" w:cstheme="minorHAnsi"/>
                <w:snapToGrid w:val="0"/>
                <w:sz w:val="24"/>
                <w:szCs w:val="24"/>
              </w:rPr>
              <w:t xml:space="preserve">, </w:t>
            </w:r>
            <w:r>
              <w:rPr>
                <w:rFonts w:eastAsia="Times New Roman" w:cstheme="minorHAnsi"/>
                <w:snapToGrid w:val="0"/>
                <w:sz w:val="24"/>
                <w:szCs w:val="24"/>
              </w:rPr>
              <w:t xml:space="preserve">който </w:t>
            </w:r>
            <w:r w:rsidRPr="006531C8">
              <w:rPr>
                <w:rFonts w:eastAsia="Times New Roman" w:cstheme="minorHAnsi"/>
                <w:snapToGrid w:val="0"/>
                <w:sz w:val="24"/>
                <w:szCs w:val="24"/>
              </w:rPr>
              <w:t>ог</w:t>
            </w:r>
            <w:r>
              <w:rPr>
                <w:rFonts w:eastAsia="Times New Roman" w:cstheme="minorHAnsi"/>
                <w:snapToGrid w:val="0"/>
                <w:sz w:val="24"/>
                <w:szCs w:val="24"/>
              </w:rPr>
              <w:t>раничава до минимум образуването на отпадъци, осигурява</w:t>
            </w:r>
            <w:r w:rsidRPr="006531C8">
              <w:rPr>
                <w:rFonts w:eastAsia="Times New Roman" w:cstheme="minorHAnsi"/>
                <w:snapToGrid w:val="0"/>
                <w:sz w:val="24"/>
                <w:szCs w:val="24"/>
              </w:rPr>
              <w:t xml:space="preserve"> удължаване на жизнения цикъл на продукти</w:t>
            </w:r>
            <w:r>
              <w:rPr>
                <w:rFonts w:eastAsia="Times New Roman" w:cstheme="minorHAnsi"/>
                <w:snapToGrid w:val="0"/>
                <w:sz w:val="24"/>
                <w:szCs w:val="24"/>
              </w:rPr>
              <w:t xml:space="preserve">те (увеличаване на трайността им, възможностите за повторна употреба, поправка и рециклиране) и допринася за възстановяване на природните системи </w:t>
            </w:r>
            <w:r w:rsidRPr="000F03A0">
              <w:rPr>
                <w:rFonts w:eastAsia="Times New Roman" w:cstheme="minorHAnsi"/>
                <w:snapToGrid w:val="0"/>
                <w:sz w:val="24"/>
                <w:szCs w:val="24"/>
              </w:rPr>
              <w:t>чрез ограничаване на</w:t>
            </w:r>
            <w:r>
              <w:rPr>
                <w:rFonts w:eastAsia="Times New Roman" w:cstheme="minorHAnsi"/>
                <w:snapToGrid w:val="0"/>
                <w:sz w:val="24"/>
                <w:szCs w:val="24"/>
              </w:rPr>
              <w:t xml:space="preserve"> </w:t>
            </w:r>
            <w:r w:rsidRPr="000F03A0">
              <w:rPr>
                <w:rFonts w:eastAsia="Times New Roman" w:cstheme="minorHAnsi"/>
                <w:snapToGrid w:val="0"/>
                <w:sz w:val="24"/>
                <w:szCs w:val="24"/>
              </w:rPr>
              <w:t>количеството отпадъци и прекомерната употреба на ресурси</w:t>
            </w:r>
            <w:r>
              <w:rPr>
                <w:rFonts w:eastAsia="Times New Roman" w:cstheme="minorHAnsi"/>
                <w:snapToGrid w:val="0"/>
                <w:sz w:val="24"/>
                <w:szCs w:val="24"/>
              </w:rPr>
              <w:t>.</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Материални активи</w:t>
            </w:r>
          </w:p>
        </w:tc>
        <w:tc>
          <w:tcPr>
            <w:tcW w:w="6831" w:type="dxa"/>
            <w:shd w:val="clear" w:color="auto" w:fill="F2F2F2" w:themeFill="background1" w:themeFillShade="F2"/>
          </w:tcPr>
          <w:p w:rsidR="002B6C66" w:rsidRPr="007676BF" w:rsidRDefault="002B6C66" w:rsidP="002B6C66">
            <w:pPr>
              <w:spacing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По смисъла на чл. 2, пар. 29 от Регламент (ЕС) № 651/2014 „материални активи</w:t>
            </w:r>
            <w:r w:rsidRPr="007676BF">
              <w:rPr>
                <w:rFonts w:eastAsia="Times New Roman" w:cstheme="minorHAnsi"/>
                <w:snapToGrid w:val="0"/>
                <w:sz w:val="24"/>
                <w:szCs w:val="24"/>
                <w:lang w:val="en-US"/>
              </w:rPr>
              <w:t>”</w:t>
            </w:r>
            <w:r w:rsidRPr="007676BF">
              <w:rPr>
                <w:rFonts w:eastAsia="Times New Roman" w:cstheme="minorHAnsi"/>
                <w:snapToGrid w:val="0"/>
                <w:sz w:val="24"/>
                <w:szCs w:val="24"/>
              </w:rPr>
              <w:t xml:space="preserve"> означава активи, състоящи се от земя, сгради, съоръжения, машини и оборудване. </w:t>
            </w:r>
          </w:p>
          <w:p w:rsidR="002B6C66" w:rsidRPr="007676BF" w:rsidRDefault="002B6C66" w:rsidP="00736749">
            <w:pPr>
              <w:spacing w:before="120" w:after="60" w:line="240" w:lineRule="auto"/>
              <w:jc w:val="both"/>
              <w:rPr>
                <w:rFonts w:eastAsia="Times New Roman" w:cstheme="minorHAnsi"/>
                <w:snapToGrid w:val="0"/>
                <w:sz w:val="24"/>
                <w:szCs w:val="24"/>
                <w:lang w:val="en-US"/>
              </w:rPr>
            </w:pPr>
            <w:r w:rsidRPr="008F0DB8">
              <w:rPr>
                <w:rFonts w:eastAsia="Times New Roman" w:cstheme="minorHAnsi"/>
                <w:snapToGrid w:val="0"/>
                <w:sz w:val="24"/>
                <w:szCs w:val="24"/>
              </w:rPr>
              <w:t>За целите на настоящата процедура допустими са само разходите за съоръжения, машини и оборудване, представляващи дълготрайни материални активи</w:t>
            </w:r>
            <w:r w:rsidR="00D66CB3">
              <w:rPr>
                <w:rFonts w:eastAsia="Times New Roman" w:cstheme="minorHAnsi"/>
                <w:snapToGrid w:val="0"/>
                <w:sz w:val="24"/>
                <w:szCs w:val="24"/>
              </w:rPr>
              <w:t>, както е посочено в</w:t>
            </w:r>
            <w:r w:rsidR="00D66CB3" w:rsidRPr="00455CF7">
              <w:rPr>
                <w:rFonts w:eastAsia="Times New Roman" w:cstheme="minorHAnsi"/>
                <w:snapToGrid w:val="0"/>
                <w:sz w:val="24"/>
                <w:szCs w:val="24"/>
              </w:rPr>
              <w:t xml:space="preserve"> т. 14.2</w:t>
            </w:r>
            <w:r w:rsidR="00D66CB3">
              <w:rPr>
                <w:rFonts w:eastAsia="Times New Roman" w:cstheme="minorHAnsi"/>
                <w:snapToGrid w:val="0"/>
                <w:sz w:val="24"/>
                <w:szCs w:val="24"/>
              </w:rPr>
              <w:t xml:space="preserve"> от Условията за кандидатстване</w:t>
            </w:r>
            <w:r w:rsidRPr="008F0DB8">
              <w:rPr>
                <w:rFonts w:eastAsia="Times New Roman" w:cstheme="minorHAnsi"/>
                <w:snapToGrid w:val="0"/>
                <w:sz w:val="24"/>
                <w:szCs w:val="24"/>
                <w:lang w:val="en-US"/>
              </w:rPr>
              <w:t>.</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545558">
              <w:rPr>
                <w:rFonts w:eastAsia="Times New Roman" w:cstheme="minorHAnsi"/>
                <w:b/>
                <w:snapToGrid w:val="0"/>
                <w:sz w:val="24"/>
                <w:szCs w:val="24"/>
              </w:rPr>
              <w:t>Микро-, малки и средни предприятия (МСП)</w:t>
            </w:r>
          </w:p>
        </w:tc>
        <w:tc>
          <w:tcPr>
            <w:tcW w:w="6831" w:type="dxa"/>
            <w:shd w:val="clear" w:color="auto" w:fill="F2F2F2" w:themeFill="background1" w:themeFillShade="F2"/>
          </w:tcPr>
          <w:p w:rsidR="002B6C66" w:rsidRPr="00545558" w:rsidRDefault="00DE24B1" w:rsidP="002B6C66">
            <w:pPr>
              <w:spacing w:after="0" w:line="240" w:lineRule="auto"/>
              <w:jc w:val="both"/>
              <w:rPr>
                <w:rFonts w:eastAsia="Times New Roman" w:cstheme="minorHAnsi"/>
                <w:snapToGrid w:val="0"/>
                <w:sz w:val="24"/>
                <w:szCs w:val="24"/>
              </w:rPr>
            </w:pPr>
            <w:r>
              <w:rPr>
                <w:rFonts w:eastAsia="Times New Roman" w:cstheme="minorHAnsi"/>
                <w:snapToGrid w:val="0"/>
                <w:sz w:val="24"/>
                <w:szCs w:val="24"/>
              </w:rPr>
              <w:t>По смисъла на чл. 3</w:t>
            </w:r>
            <w:r w:rsidR="002B6C66" w:rsidRPr="00545558">
              <w:rPr>
                <w:rFonts w:eastAsia="Times New Roman" w:cstheme="minorHAnsi"/>
                <w:snapToGrid w:val="0"/>
                <w:sz w:val="24"/>
                <w:szCs w:val="24"/>
              </w:rPr>
              <w:t xml:space="preserve"> от Закона за малките и средните предприятия (ЗМСП) и Препоръка на Комисията от 6 май 2003 г. относно определението за микро-, малки и средни предприятия (ОВ L 124, 20.5.2003 г., стр. 36).</w:t>
            </w:r>
          </w:p>
          <w:p w:rsidR="002B6C66" w:rsidRPr="00545558"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Съгласно чл. 3, ал. 1 от ЗМСП, категорията малки и средни предприятия включва предприятията, които имат:</w:t>
            </w:r>
          </w:p>
          <w:p w:rsidR="002B6C66" w:rsidRPr="00545558"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1. средносписъчен брой на персонала, по-малък от 250 души, и</w:t>
            </w:r>
          </w:p>
          <w:p w:rsidR="002B6C66"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От предприятията по ал. 1 малки предприятия са тези, които имат:</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1. средносписъчен брой на персонала, по-малък от 50 души, и</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2. годишен оборот, който не превишава 19 500 000 лв., и/или стойност на активите, която не превишава 19 500 000 лв.</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От предприятията по ал. 1 микропредприятия са тези, които имат:</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1. средносписъчен брой на персонала, по-малък от 10 души, и</w:t>
            </w:r>
          </w:p>
          <w:p w:rsidR="00DE24B1" w:rsidRPr="007676BF" w:rsidRDefault="001038E3" w:rsidP="00736749">
            <w:pPr>
              <w:spacing w:after="60" w:line="240" w:lineRule="auto"/>
              <w:jc w:val="both"/>
              <w:rPr>
                <w:rFonts w:eastAsia="Times New Roman" w:cstheme="minorHAnsi"/>
                <w:snapToGrid w:val="0"/>
                <w:sz w:val="24"/>
                <w:szCs w:val="24"/>
              </w:rPr>
            </w:pPr>
            <w:r w:rsidRPr="001038E3">
              <w:rPr>
                <w:rFonts w:eastAsia="Times New Roman" w:cstheme="minorHAnsi"/>
                <w:snapToGrid w:val="0"/>
                <w:sz w:val="24"/>
                <w:szCs w:val="24"/>
              </w:rPr>
              <w:t>2. годишен оборот, който не превишава 3 900 000 лв., и/или стойност на активите, която не превишава 3 900 000 лв.</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 xml:space="preserve">Място на изпълнение на инвестицията </w:t>
            </w:r>
          </w:p>
        </w:tc>
        <w:tc>
          <w:tcPr>
            <w:tcW w:w="6831" w:type="dxa"/>
            <w:shd w:val="clear" w:color="auto" w:fill="F2F2F2" w:themeFill="background1" w:themeFillShade="F2"/>
          </w:tcPr>
          <w:p w:rsidR="002B6C66" w:rsidRPr="007676BF" w:rsidRDefault="002B6C66" w:rsidP="009C0196">
            <w:pPr>
              <w:spacing w:before="120" w:line="240" w:lineRule="auto"/>
              <w:jc w:val="both"/>
              <w:rPr>
                <w:rFonts w:eastAsia="Times New Roman" w:cstheme="minorHAnsi"/>
                <w:snapToGrid w:val="0"/>
                <w:sz w:val="24"/>
                <w:szCs w:val="24"/>
                <w:lang w:val="en-US"/>
              </w:rPr>
            </w:pPr>
            <w:r w:rsidRPr="007676BF">
              <w:rPr>
                <w:rFonts w:eastAsia="Times New Roman" w:cstheme="minorHAnsi"/>
                <w:snapToGrid w:val="0"/>
                <w:sz w:val="24"/>
                <w:szCs w:val="24"/>
              </w:rPr>
              <w:t>Мястото на физическото осъществяване на инвестицията.</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Нематериални активи</w:t>
            </w:r>
          </w:p>
        </w:tc>
        <w:tc>
          <w:tcPr>
            <w:tcW w:w="6831" w:type="dxa"/>
            <w:shd w:val="clear" w:color="auto" w:fill="F2F2F2" w:themeFill="background1" w:themeFillShade="F2"/>
          </w:tcPr>
          <w:p w:rsidR="002B6C66" w:rsidRPr="007676BF" w:rsidRDefault="002B6C66" w:rsidP="00736749">
            <w:pPr>
              <w:spacing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По смисъла на чл. 2, пар. 30 от Регламент (ЕС) № 651/2014 „нематериални активи“ означава активи, които нямат физически или финансов израз, като патенти, лицензи, ноу</w:t>
            </w:r>
            <w:r w:rsidR="008074CF">
              <w:rPr>
                <w:rFonts w:eastAsia="Times New Roman" w:cstheme="minorHAnsi"/>
                <w:snapToGrid w:val="0"/>
                <w:sz w:val="24"/>
                <w:szCs w:val="24"/>
              </w:rPr>
              <w:t xml:space="preserve"> </w:t>
            </w:r>
            <w:r w:rsidRPr="007676BF">
              <w:rPr>
                <w:rFonts w:eastAsia="Times New Roman" w:cstheme="minorHAnsi"/>
                <w:snapToGrid w:val="0"/>
                <w:sz w:val="24"/>
                <w:szCs w:val="24"/>
              </w:rPr>
              <w:t>- хау или друга интелектуална собственост.</w:t>
            </w:r>
          </w:p>
          <w:p w:rsidR="002B6C66" w:rsidRPr="007676BF" w:rsidRDefault="002B6C66" w:rsidP="00736749">
            <w:pPr>
              <w:spacing w:after="60" w:line="240" w:lineRule="auto"/>
              <w:jc w:val="both"/>
              <w:rPr>
                <w:rFonts w:eastAsia="Times New Roman" w:cstheme="minorHAnsi"/>
                <w:snapToGrid w:val="0"/>
                <w:sz w:val="24"/>
                <w:szCs w:val="24"/>
              </w:rPr>
            </w:pPr>
            <w:r w:rsidRPr="00455CF7">
              <w:rPr>
                <w:rFonts w:eastAsia="Times New Roman" w:cstheme="minorHAnsi"/>
                <w:snapToGrid w:val="0"/>
                <w:sz w:val="24"/>
                <w:szCs w:val="24"/>
              </w:rPr>
              <w:t xml:space="preserve">За целите на настоящата процедура допустими са </w:t>
            </w:r>
            <w:r w:rsidR="00455CF7" w:rsidRPr="00455CF7">
              <w:rPr>
                <w:rFonts w:eastAsia="Times New Roman" w:cstheme="minorHAnsi"/>
                <w:snapToGrid w:val="0"/>
                <w:sz w:val="24"/>
                <w:szCs w:val="24"/>
              </w:rPr>
              <w:t>с</w:t>
            </w:r>
            <w:r w:rsidR="00BF4676">
              <w:rPr>
                <w:rFonts w:eastAsia="Times New Roman" w:cstheme="minorHAnsi"/>
                <w:snapToGrid w:val="0"/>
                <w:sz w:val="24"/>
                <w:szCs w:val="24"/>
              </w:rPr>
              <w:t>амо разходите за специализиран софтуер</w:t>
            </w:r>
            <w:r w:rsidRPr="00455CF7">
              <w:rPr>
                <w:rFonts w:eastAsia="Times New Roman" w:cstheme="minorHAnsi"/>
                <w:snapToGrid w:val="0"/>
                <w:sz w:val="24"/>
                <w:szCs w:val="24"/>
              </w:rPr>
              <w:t xml:space="preserve"> за произв</w:t>
            </w:r>
            <w:r w:rsidR="00BF4676">
              <w:rPr>
                <w:rFonts w:eastAsia="Times New Roman" w:cstheme="minorHAnsi"/>
                <w:snapToGrid w:val="0"/>
                <w:sz w:val="24"/>
                <w:szCs w:val="24"/>
              </w:rPr>
              <w:t>одствения процес, представляващ дълготраен нематериален актив, както е посочено в</w:t>
            </w:r>
            <w:r w:rsidRPr="00455CF7">
              <w:rPr>
                <w:rFonts w:eastAsia="Times New Roman" w:cstheme="minorHAnsi"/>
                <w:snapToGrid w:val="0"/>
                <w:sz w:val="24"/>
                <w:szCs w:val="24"/>
              </w:rPr>
              <w:t xml:space="preserve"> т. 14.2 от Условията за кандидатстване.</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Ненанасяне на значителни вреди</w:t>
            </w:r>
          </w:p>
        </w:tc>
        <w:tc>
          <w:tcPr>
            <w:tcW w:w="6831" w:type="dxa"/>
            <w:shd w:val="clear" w:color="auto" w:fill="F2F2F2" w:themeFill="background1" w:themeFillShade="F2"/>
          </w:tcPr>
          <w:p w:rsidR="002B6C66" w:rsidRPr="007676BF" w:rsidRDefault="002B6C66" w:rsidP="00736749">
            <w:pPr>
              <w:spacing w:before="100" w:beforeAutospacing="1" w:after="60" w:line="240" w:lineRule="auto"/>
              <w:jc w:val="both"/>
              <w:rPr>
                <w:rFonts w:eastAsia="Times New Roman" w:cstheme="minorHAnsi"/>
                <w:snapToGrid w:val="0"/>
                <w:sz w:val="24"/>
                <w:szCs w:val="24"/>
              </w:rPr>
            </w:pPr>
            <w:r>
              <w:rPr>
                <w:rFonts w:eastAsia="Times New Roman" w:cstheme="minorHAnsi"/>
                <w:snapToGrid w:val="0"/>
                <w:sz w:val="24"/>
                <w:szCs w:val="24"/>
              </w:rPr>
              <w:t>„Ненанасяне на значителни вреди</w:t>
            </w:r>
            <w:r>
              <w:rPr>
                <w:rFonts w:eastAsia="Times New Roman" w:cstheme="minorHAnsi"/>
                <w:snapToGrid w:val="0"/>
                <w:sz w:val="24"/>
                <w:szCs w:val="24"/>
                <w:lang w:val="en-US"/>
              </w:rPr>
              <w:t>”</w:t>
            </w:r>
            <w:r w:rsidRPr="007676BF">
              <w:rPr>
                <w:rFonts w:eastAsia="Times New Roman" w:cstheme="minorHAnsi"/>
                <w:snapToGrid w:val="0"/>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w:t>
            </w:r>
            <w:r w:rsidR="00BF4676">
              <w:rPr>
                <w:rFonts w:eastAsia="Times New Roman" w:cstheme="minorHAnsi"/>
                <w:snapToGrid w:val="0"/>
                <w:sz w:val="24"/>
                <w:szCs w:val="24"/>
                <w:lang w:val="en-US"/>
              </w:rPr>
              <w:t xml:space="preserve"> </w:t>
            </w:r>
            <w:r w:rsidR="00BF4676">
              <w:rPr>
                <w:rFonts w:eastAsia="Times New Roman" w:cstheme="minorHAnsi"/>
                <w:snapToGrid w:val="0"/>
                <w:sz w:val="24"/>
                <w:szCs w:val="24"/>
              </w:rPr>
              <w:t>№</w:t>
            </w:r>
            <w:r w:rsidRPr="007676BF">
              <w:rPr>
                <w:rFonts w:eastAsia="Times New Roman" w:cstheme="minorHAnsi"/>
                <w:snapToGrid w:val="0"/>
                <w:sz w:val="24"/>
                <w:szCs w:val="24"/>
              </w:rPr>
              <w:t xml:space="preserve"> 2020/852.</w:t>
            </w:r>
          </w:p>
        </w:tc>
      </w:tr>
      <w:tr w:rsidR="002B6C66" w:rsidRPr="008E4D35" w:rsidTr="00A33FEF">
        <w:tc>
          <w:tcPr>
            <w:tcW w:w="2633"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 xml:space="preserve">Нередност </w:t>
            </w:r>
          </w:p>
        </w:tc>
        <w:tc>
          <w:tcPr>
            <w:tcW w:w="6831" w:type="dxa"/>
            <w:shd w:val="clear" w:color="auto" w:fill="F2F2F2" w:themeFill="background1" w:themeFillShade="F2"/>
          </w:tcPr>
          <w:p w:rsidR="002B6C66" w:rsidRPr="007676BF" w:rsidRDefault="002B6C66" w:rsidP="0073674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AA71E6" w:rsidRPr="00012CA5" w:rsidTr="00A33FEF">
        <w:tc>
          <w:tcPr>
            <w:tcW w:w="2633" w:type="dxa"/>
            <w:shd w:val="clear" w:color="auto" w:fill="D9D9D9" w:themeFill="background1" w:themeFillShade="D9"/>
          </w:tcPr>
          <w:p w:rsidR="00AA71E6" w:rsidRPr="00AA71E6" w:rsidRDefault="00AA71E6"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Опаковка</w:t>
            </w:r>
          </w:p>
        </w:tc>
        <w:tc>
          <w:tcPr>
            <w:tcW w:w="6831" w:type="dxa"/>
            <w:shd w:val="clear" w:color="auto" w:fill="F2F2F2" w:themeFill="background1" w:themeFillShade="F2"/>
          </w:tcPr>
          <w:p w:rsidR="00AA71E6" w:rsidRPr="00AA71E6" w:rsidRDefault="00AA71E6" w:rsidP="00736749">
            <w:pPr>
              <w:spacing w:after="60" w:line="240" w:lineRule="auto"/>
              <w:jc w:val="both"/>
              <w:rPr>
                <w:rFonts w:eastAsia="Times New Roman" w:cstheme="minorHAnsi"/>
                <w:snapToGrid w:val="0"/>
                <w:sz w:val="24"/>
                <w:szCs w:val="24"/>
              </w:rPr>
            </w:pPr>
            <w:r w:rsidRPr="00736749">
              <w:rPr>
                <w:rFonts w:eastAsia="Times New Roman" w:cstheme="minorHAnsi"/>
                <w:snapToGrid w:val="0"/>
                <w:sz w:val="24"/>
                <w:szCs w:val="24"/>
              </w:rPr>
              <w:t>„</w:t>
            </w:r>
            <w:r w:rsidRPr="00AA71E6">
              <w:rPr>
                <w:rFonts w:eastAsia="Times New Roman" w:cstheme="minorHAnsi"/>
                <w:snapToGrid w:val="0"/>
                <w:sz w:val="24"/>
                <w:szCs w:val="24"/>
              </w:rPr>
              <w:t>Опаковка</w:t>
            </w:r>
            <w:r w:rsidRPr="00736749">
              <w:rPr>
                <w:rFonts w:eastAsia="Times New Roman" w:cstheme="minorHAnsi"/>
                <w:snapToGrid w:val="0"/>
                <w:sz w:val="24"/>
                <w:szCs w:val="24"/>
              </w:rPr>
              <w:t>”</w:t>
            </w:r>
            <w:r w:rsidRPr="00AA71E6">
              <w:rPr>
                <w:rFonts w:eastAsia="Times New Roman" w:cstheme="minorHAnsi"/>
                <w:snapToGrid w:val="0"/>
                <w:sz w:val="24"/>
                <w:szCs w:val="24"/>
              </w:rPr>
              <w:t xml:space="preserve"> са всички продукти, направени от материал от всякакво естество, използвани, за да се поставят в тях, съхраняват, пренас</w:t>
            </w:r>
            <w:r w:rsidR="00455CF7">
              <w:rPr>
                <w:rFonts w:eastAsia="Times New Roman" w:cstheme="minorHAnsi"/>
                <w:snapToGrid w:val="0"/>
                <w:sz w:val="24"/>
                <w:szCs w:val="24"/>
              </w:rPr>
              <w:t>ят, доставят и представят стоки,</w:t>
            </w:r>
            <w:r w:rsidRPr="00AA71E6">
              <w:rPr>
                <w:rFonts w:eastAsia="Times New Roman" w:cstheme="minorHAnsi"/>
                <w:snapToGrid w:val="0"/>
                <w:sz w:val="24"/>
                <w:szCs w:val="24"/>
              </w:rPr>
              <w:t xml:space="preserve"> от сурови материали до обработени стоки, от производителя до ползвателя или потребителя</w:t>
            </w:r>
            <w:r w:rsidRPr="00736749">
              <w:rPr>
                <w:rFonts w:eastAsia="Times New Roman" w:cstheme="minorHAnsi"/>
                <w:snapToGrid w:val="0"/>
                <w:sz w:val="24"/>
                <w:szCs w:val="24"/>
              </w:rPr>
              <w:t>. Артикули, които „не се връщат”</w:t>
            </w:r>
            <w:r w:rsidRPr="00AA71E6">
              <w:rPr>
                <w:rFonts w:eastAsia="Times New Roman" w:cstheme="minorHAnsi"/>
                <w:snapToGrid w:val="0"/>
                <w:sz w:val="24"/>
                <w:szCs w:val="24"/>
              </w:rPr>
              <w:t xml:space="preserve"> и се използват за същите цели, също се считат за опаковки.</w:t>
            </w:r>
          </w:p>
          <w:p w:rsidR="00AA71E6" w:rsidRPr="00AA71E6" w:rsidRDefault="00AA71E6" w:rsidP="00736749">
            <w:pPr>
              <w:spacing w:after="60" w:line="240" w:lineRule="auto"/>
              <w:jc w:val="both"/>
              <w:rPr>
                <w:rFonts w:eastAsia="Times New Roman" w:cstheme="minorHAnsi"/>
                <w:snapToGrid w:val="0"/>
                <w:sz w:val="24"/>
                <w:szCs w:val="24"/>
              </w:rPr>
            </w:pPr>
            <w:r w:rsidRPr="00736749">
              <w:rPr>
                <w:rFonts w:eastAsia="Times New Roman" w:cstheme="minorHAnsi"/>
                <w:snapToGrid w:val="0"/>
                <w:sz w:val="24"/>
                <w:szCs w:val="24"/>
              </w:rPr>
              <w:t>„</w:t>
            </w:r>
            <w:r w:rsidRPr="00AA71E6">
              <w:rPr>
                <w:rFonts w:eastAsia="Times New Roman" w:cstheme="minorHAnsi"/>
                <w:snapToGrid w:val="0"/>
                <w:sz w:val="24"/>
                <w:szCs w:val="24"/>
              </w:rPr>
              <w:t>Опаковката</w:t>
            </w:r>
            <w:r w:rsidRPr="00736749">
              <w:rPr>
                <w:rFonts w:eastAsia="Times New Roman" w:cstheme="minorHAnsi"/>
                <w:snapToGrid w:val="0"/>
                <w:sz w:val="24"/>
                <w:szCs w:val="24"/>
              </w:rPr>
              <w:t>”</w:t>
            </w:r>
            <w:r w:rsidRPr="00AA71E6">
              <w:rPr>
                <w:rFonts w:eastAsia="Times New Roman" w:cstheme="minorHAnsi"/>
                <w:snapToGrid w:val="0"/>
                <w:sz w:val="24"/>
                <w:szCs w:val="24"/>
              </w:rPr>
              <w:t xml:space="preserve"> включва само:</w:t>
            </w:r>
          </w:p>
          <w:p w:rsidR="00AA71E6" w:rsidRPr="00AA71E6" w:rsidRDefault="00AA71E6" w:rsidP="00736749">
            <w:pPr>
              <w:spacing w:after="60" w:line="240" w:lineRule="auto"/>
              <w:jc w:val="both"/>
              <w:rPr>
                <w:rFonts w:eastAsia="Times New Roman" w:cstheme="minorHAnsi"/>
                <w:snapToGrid w:val="0"/>
                <w:sz w:val="24"/>
                <w:szCs w:val="24"/>
              </w:rPr>
            </w:pPr>
            <w:r w:rsidRPr="00AA71E6">
              <w:rPr>
                <w:rFonts w:eastAsia="Times New Roman" w:cstheme="minorHAnsi"/>
                <w:snapToGrid w:val="0"/>
                <w:sz w:val="24"/>
                <w:szCs w:val="24"/>
              </w:rPr>
              <w:t>а) търговска опаковка или първична опаковка, т.е. опаковка, замислена като единица стока за продажба на крайния потребител на мястото на покупката;</w:t>
            </w:r>
          </w:p>
          <w:p w:rsidR="00AA71E6" w:rsidRPr="00AA71E6" w:rsidRDefault="00AA71E6" w:rsidP="00736749">
            <w:pPr>
              <w:spacing w:after="60" w:line="240" w:lineRule="auto"/>
              <w:jc w:val="both"/>
              <w:rPr>
                <w:rFonts w:eastAsia="Times New Roman" w:cstheme="minorHAnsi"/>
                <w:snapToGrid w:val="0"/>
                <w:sz w:val="24"/>
                <w:szCs w:val="24"/>
              </w:rPr>
            </w:pPr>
            <w:r w:rsidRPr="00AA71E6">
              <w:rPr>
                <w:rFonts w:eastAsia="Times New Roman" w:cstheme="minorHAnsi"/>
                <w:snapToGrid w:val="0"/>
                <w:sz w:val="24"/>
                <w:szCs w:val="24"/>
              </w:rPr>
              <w:t>б) групова опаковка или вторична опаковка, т.е. опаковка, замислена за група от определен брой единици стока на мястото на продажбата, независимо дали ще се продава по този начин на крайния ползвател или потребител, или служи само за попълване на рафтовете на мястото на продажба; тя се отстранява от продукта, без да се отразява на качествата му;</w:t>
            </w:r>
          </w:p>
          <w:p w:rsidR="00AA71E6" w:rsidRPr="00736749" w:rsidRDefault="00AA71E6" w:rsidP="00736749">
            <w:pPr>
              <w:spacing w:after="60" w:line="240" w:lineRule="auto"/>
              <w:jc w:val="both"/>
              <w:rPr>
                <w:rFonts w:eastAsia="Times New Roman" w:cstheme="minorHAnsi"/>
                <w:snapToGrid w:val="0"/>
                <w:sz w:val="24"/>
                <w:szCs w:val="24"/>
              </w:rPr>
            </w:pPr>
            <w:r w:rsidRPr="00AA71E6">
              <w:rPr>
                <w:rFonts w:eastAsia="Times New Roman" w:cstheme="minorHAnsi"/>
                <w:snapToGrid w:val="0"/>
                <w:sz w:val="24"/>
                <w:szCs w:val="24"/>
              </w:rPr>
              <w:t xml:space="preserve">в) транспортна опаковка или третична опаковка, т.е. опаковка, замислена за улесняване на пренасянето и транспорта на брой артикули или групови опаковки, за да се предотврати физическото манипулиране с тях или повредите при </w:t>
            </w:r>
            <w:r w:rsidRPr="00AA71E6">
              <w:rPr>
                <w:rFonts w:eastAsia="Times New Roman" w:cstheme="minorHAnsi"/>
                <w:snapToGrid w:val="0"/>
                <w:sz w:val="24"/>
                <w:szCs w:val="24"/>
              </w:rPr>
              <w:lastRenderedPageBreak/>
              <w:t>транспортирането; транспортните опаковки не включват контейнери за шосеен, железопътен превоз, превоз по море и въздух.</w:t>
            </w:r>
          </w:p>
        </w:tc>
      </w:tr>
      <w:tr w:rsidR="00BA21BC" w:rsidRPr="008E4D35" w:rsidTr="00A33FEF">
        <w:tc>
          <w:tcPr>
            <w:tcW w:w="2633" w:type="dxa"/>
            <w:shd w:val="clear" w:color="auto" w:fill="D9D9D9" w:themeFill="background1" w:themeFillShade="D9"/>
          </w:tcPr>
          <w:p w:rsidR="00BA21BC" w:rsidRPr="00BA21BC" w:rsidRDefault="00BA21BC"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Опаковки и продукти за многократна употреба</w:t>
            </w:r>
          </w:p>
        </w:tc>
        <w:tc>
          <w:tcPr>
            <w:tcW w:w="6831" w:type="dxa"/>
            <w:shd w:val="clear" w:color="auto" w:fill="F2F2F2" w:themeFill="background1" w:themeFillShade="F2"/>
          </w:tcPr>
          <w:p w:rsidR="00BA21BC" w:rsidRDefault="00BA21BC"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опаковките и продуктите за многократна употреба включват </w:t>
            </w:r>
            <w:r w:rsidRPr="00BA21BC">
              <w:rPr>
                <w:rFonts w:eastAsia="Times New Roman" w:cstheme="minorHAnsi"/>
                <w:snapToGrid w:val="0"/>
                <w:sz w:val="24"/>
                <w:szCs w:val="24"/>
              </w:rPr>
              <w:t>опаковки</w:t>
            </w:r>
            <w:r>
              <w:rPr>
                <w:rFonts w:eastAsia="Times New Roman" w:cstheme="minorHAnsi"/>
                <w:snapToGrid w:val="0"/>
                <w:sz w:val="24"/>
                <w:szCs w:val="24"/>
              </w:rPr>
              <w:t xml:space="preserve"> и продукти</w:t>
            </w:r>
            <w:r w:rsidRPr="00BA21BC">
              <w:rPr>
                <w:rFonts w:eastAsia="Times New Roman" w:cstheme="minorHAnsi"/>
                <w:snapToGrid w:val="0"/>
                <w:sz w:val="24"/>
                <w:szCs w:val="24"/>
              </w:rPr>
              <w:t>, проектирани</w:t>
            </w:r>
            <w:r>
              <w:rPr>
                <w:rFonts w:eastAsia="Times New Roman" w:cstheme="minorHAnsi"/>
                <w:snapToGrid w:val="0"/>
                <w:sz w:val="24"/>
                <w:szCs w:val="24"/>
              </w:rPr>
              <w:t>,</w:t>
            </w:r>
            <w:r w:rsidRPr="00BA21BC">
              <w:rPr>
                <w:rFonts w:eastAsia="Times New Roman" w:cstheme="minorHAnsi"/>
                <w:snapToGrid w:val="0"/>
                <w:sz w:val="24"/>
                <w:szCs w:val="24"/>
              </w:rPr>
              <w:t xml:space="preserve"> съз</w:t>
            </w:r>
            <w:r>
              <w:rPr>
                <w:rFonts w:eastAsia="Times New Roman" w:cstheme="minorHAnsi"/>
                <w:snapToGrid w:val="0"/>
                <w:sz w:val="24"/>
                <w:szCs w:val="24"/>
              </w:rPr>
              <w:t>дадени</w:t>
            </w:r>
            <w:r w:rsidRPr="00BA21BC">
              <w:rPr>
                <w:rFonts w:eastAsia="Times New Roman" w:cstheme="minorHAnsi"/>
                <w:snapToGrid w:val="0"/>
                <w:sz w:val="24"/>
                <w:szCs w:val="24"/>
              </w:rPr>
              <w:t xml:space="preserve"> и пуснати на пазара с цел да претърпят в рамките на своя жизнен цикъл многократен брой използвания или ротации чрез презареждане или като се използват за същата цел, за която са били създадени.</w:t>
            </w:r>
          </w:p>
        </w:tc>
      </w:tr>
      <w:tr w:rsidR="00A81890" w:rsidRPr="008E4D35" w:rsidTr="00A33FEF">
        <w:tc>
          <w:tcPr>
            <w:tcW w:w="2633" w:type="dxa"/>
            <w:shd w:val="clear" w:color="auto" w:fill="D9D9D9" w:themeFill="background1" w:themeFillShade="D9"/>
          </w:tcPr>
          <w:p w:rsidR="00A81890" w:rsidRPr="00A81890" w:rsidRDefault="00A81890" w:rsidP="002B6C66">
            <w:pPr>
              <w:spacing w:before="100" w:beforeAutospacing="1" w:after="100" w:afterAutospacing="1" w:line="240" w:lineRule="auto"/>
              <w:rPr>
                <w:rFonts w:eastAsia="Times New Roman" w:cstheme="minorHAnsi"/>
                <w:b/>
                <w:snapToGrid w:val="0"/>
                <w:sz w:val="24"/>
                <w:szCs w:val="24"/>
                <w:lang w:val="en-US"/>
              </w:rPr>
            </w:pPr>
            <w:r>
              <w:rPr>
                <w:rFonts w:eastAsia="Times New Roman" w:cstheme="minorHAnsi"/>
                <w:b/>
                <w:snapToGrid w:val="0"/>
                <w:sz w:val="24"/>
                <w:szCs w:val="24"/>
              </w:rPr>
              <w:t>Опасни вещества</w:t>
            </w:r>
          </w:p>
        </w:tc>
        <w:tc>
          <w:tcPr>
            <w:tcW w:w="6831" w:type="dxa"/>
            <w:shd w:val="clear" w:color="auto" w:fill="F2F2F2" w:themeFill="background1" w:themeFillShade="F2"/>
          </w:tcPr>
          <w:p w:rsidR="00A81890" w:rsidRDefault="009C10E2" w:rsidP="009C10E2">
            <w:pPr>
              <w:spacing w:after="60" w:line="240" w:lineRule="auto"/>
              <w:jc w:val="both"/>
              <w:rPr>
                <w:rFonts w:eastAsia="Times New Roman" w:cstheme="minorHAnsi"/>
                <w:snapToGrid w:val="0"/>
                <w:sz w:val="24"/>
                <w:szCs w:val="24"/>
              </w:rPr>
            </w:pPr>
            <w:r>
              <w:rPr>
                <w:rFonts w:eastAsia="Times New Roman" w:cstheme="minorHAnsi"/>
                <w:snapToGrid w:val="0"/>
                <w:sz w:val="24"/>
                <w:szCs w:val="24"/>
              </w:rPr>
              <w:t>Вещества, за кои</w:t>
            </w:r>
            <w:r w:rsidRPr="009C10E2">
              <w:rPr>
                <w:rFonts w:eastAsia="Times New Roman" w:cstheme="minorHAnsi"/>
                <w:snapToGrid w:val="0"/>
                <w:sz w:val="24"/>
                <w:szCs w:val="24"/>
              </w:rPr>
              <w:t>то са изпълнени критериите по</w:t>
            </w:r>
            <w:r>
              <w:rPr>
                <w:rFonts w:eastAsia="Times New Roman" w:cstheme="minorHAnsi"/>
                <w:snapToGrid w:val="0"/>
                <w:sz w:val="24"/>
                <w:szCs w:val="24"/>
              </w:rPr>
              <w:t xml:space="preserve"> </w:t>
            </w:r>
            <w:r w:rsidRPr="009C10E2">
              <w:rPr>
                <w:rFonts w:eastAsia="Times New Roman" w:cstheme="minorHAnsi"/>
                <w:snapToGrid w:val="0"/>
                <w:sz w:val="24"/>
                <w:szCs w:val="24"/>
              </w:rPr>
              <w:t>отношение на физичните опасности, опасностите за здравето или</w:t>
            </w:r>
            <w:r>
              <w:rPr>
                <w:rFonts w:eastAsia="Times New Roman" w:cstheme="minorHAnsi"/>
                <w:snapToGrid w:val="0"/>
                <w:sz w:val="24"/>
                <w:szCs w:val="24"/>
              </w:rPr>
              <w:t xml:space="preserve"> </w:t>
            </w:r>
            <w:r w:rsidRPr="009C10E2">
              <w:rPr>
                <w:rFonts w:eastAsia="Times New Roman" w:cstheme="minorHAnsi"/>
                <w:snapToGrid w:val="0"/>
                <w:sz w:val="24"/>
                <w:szCs w:val="24"/>
              </w:rPr>
              <w:t>опасностите за околната среда, определени в части 2—5 от</w:t>
            </w:r>
            <w:r>
              <w:rPr>
                <w:rFonts w:eastAsia="Times New Roman" w:cstheme="minorHAnsi"/>
                <w:snapToGrid w:val="0"/>
                <w:sz w:val="24"/>
                <w:szCs w:val="24"/>
              </w:rPr>
              <w:t xml:space="preserve"> Приложение I на Регламент </w:t>
            </w:r>
            <w:r w:rsidRPr="009C10E2">
              <w:rPr>
                <w:rFonts w:eastAsia="Times New Roman" w:cstheme="minorHAnsi"/>
                <w:snapToGrid w:val="0"/>
                <w:sz w:val="24"/>
                <w:szCs w:val="24"/>
              </w:rPr>
              <w:t xml:space="preserve">(ЕО) </w:t>
            </w:r>
            <w:r>
              <w:rPr>
                <w:rFonts w:eastAsia="Times New Roman" w:cstheme="minorHAnsi"/>
                <w:snapToGrid w:val="0"/>
                <w:sz w:val="24"/>
                <w:szCs w:val="24"/>
              </w:rPr>
              <w:t xml:space="preserve">№ </w:t>
            </w:r>
            <w:r w:rsidRPr="009C10E2">
              <w:rPr>
                <w:rFonts w:eastAsia="Times New Roman" w:cstheme="minorHAnsi"/>
                <w:snapToGrid w:val="0"/>
                <w:sz w:val="24"/>
                <w:szCs w:val="24"/>
              </w:rPr>
              <w:t>1272/2008 на Европейския парламент и на Съвета от 16 декември 2008 г. относно класифицирането, етикетирането и опаковането на вещества и смеси</w:t>
            </w:r>
            <w:r>
              <w:rPr>
                <w:rFonts w:eastAsia="Times New Roman" w:cstheme="minorHAnsi"/>
                <w:snapToGrid w:val="0"/>
                <w:sz w:val="24"/>
                <w:szCs w:val="24"/>
              </w:rPr>
              <w:t>.</w:t>
            </w:r>
          </w:p>
        </w:tc>
      </w:tr>
      <w:tr w:rsidR="002B6C66" w:rsidRPr="008E4D35" w:rsidTr="00A33FEF">
        <w:tc>
          <w:tcPr>
            <w:tcW w:w="2633" w:type="dxa"/>
            <w:shd w:val="clear" w:color="auto" w:fill="D9D9D9" w:themeFill="background1" w:themeFillShade="D9"/>
          </w:tcPr>
          <w:p w:rsidR="002B6C66" w:rsidRPr="007676BF" w:rsidRDefault="002B6C66" w:rsidP="002B6C66">
            <w:pPr>
              <w:spacing w:before="120" w:after="120" w:line="240" w:lineRule="auto"/>
              <w:rPr>
                <w:rFonts w:eastAsia="Times New Roman" w:cstheme="minorHAnsi"/>
                <w:b/>
                <w:snapToGrid w:val="0"/>
                <w:sz w:val="24"/>
                <w:szCs w:val="24"/>
              </w:rPr>
            </w:pPr>
            <w:r w:rsidRPr="007676BF">
              <w:rPr>
                <w:rFonts w:ascii="Calibri" w:eastAsia="Times New Roman" w:hAnsi="Calibri" w:cs="Calibri"/>
                <w:b/>
                <w:color w:val="000000"/>
                <w:sz w:val="24"/>
                <w:szCs w:val="24"/>
                <w:lang w:eastAsia="bg-BG"/>
              </w:rPr>
              <w:t>Оползотворяване</w:t>
            </w:r>
          </w:p>
        </w:tc>
        <w:tc>
          <w:tcPr>
            <w:tcW w:w="6831" w:type="dxa"/>
            <w:shd w:val="clear" w:color="auto" w:fill="F2F2F2" w:themeFill="background1" w:themeFillShade="F2"/>
          </w:tcPr>
          <w:p w:rsidR="002B6C66" w:rsidRPr="007676BF" w:rsidRDefault="002B6C66" w:rsidP="00736749">
            <w:pPr>
              <w:spacing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Всяка дейност, която има като основен резултат използването на отпадъка за полезна цел чрез замяна на други материали, които иначе биха били използвани за изпълнението на конкретна функция, или подготовката на отпадъка да изпълнява тази функция в производствено предприятие или в икономиката като цяло. Приложение № 2 към ЗУО съдържа неизчерпателен списък на дейностите по оползотворяване.</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eastAsia="Times New Roman" w:cstheme="minorHAnsi"/>
                <w:b/>
                <w:snapToGrid w:val="0"/>
                <w:sz w:val="24"/>
                <w:szCs w:val="24"/>
              </w:rPr>
            </w:pPr>
            <w:r w:rsidRPr="0005794E">
              <w:rPr>
                <w:rFonts w:ascii="Calibri" w:eastAsia="Times New Roman" w:hAnsi="Calibri" w:cs="Calibri"/>
                <w:b/>
                <w:color w:val="000000"/>
                <w:sz w:val="24"/>
                <w:szCs w:val="24"/>
                <w:lang w:eastAsia="bg-BG"/>
              </w:rPr>
              <w:t>Отпадък</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Всяко вещество или предмет, от който притежателят се освобождава или възнамерява да се освободи, или е длъжен да се освободи.</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eastAsia="Times New Roman" w:cstheme="minorHAnsi"/>
                <w:b/>
                <w:snapToGrid w:val="0"/>
                <w:sz w:val="24"/>
                <w:szCs w:val="24"/>
              </w:rPr>
            </w:pPr>
            <w:r w:rsidRPr="0005794E">
              <w:rPr>
                <w:rFonts w:ascii="Calibri" w:eastAsia="Times New Roman" w:hAnsi="Calibri" w:cs="Calibri"/>
                <w:b/>
                <w:color w:val="000000"/>
                <w:sz w:val="24"/>
                <w:szCs w:val="24"/>
                <w:lang w:eastAsia="bg-BG"/>
              </w:rPr>
              <w:t>Парникови газове</w:t>
            </w:r>
          </w:p>
        </w:tc>
        <w:tc>
          <w:tcPr>
            <w:tcW w:w="6831" w:type="dxa"/>
            <w:shd w:val="clear" w:color="auto" w:fill="F2F2F2" w:themeFill="background1" w:themeFillShade="F2"/>
          </w:tcPr>
          <w:p w:rsidR="002B6C66" w:rsidRPr="0005794E" w:rsidRDefault="005A0232"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Газовете, изброени в П</w:t>
            </w:r>
            <w:r w:rsidR="002B6C66" w:rsidRPr="0005794E">
              <w:rPr>
                <w:rFonts w:eastAsia="Times New Roman" w:cstheme="minorHAnsi"/>
                <w:snapToGrid w:val="0"/>
                <w:sz w:val="24"/>
                <w:szCs w:val="24"/>
              </w:rPr>
              <w:t>риложение II</w:t>
            </w:r>
            <w:r w:rsidR="002B6C66" w:rsidRPr="0005794E">
              <w:t xml:space="preserve"> </w:t>
            </w:r>
            <w:r w:rsidR="002B6C66" w:rsidRPr="0005794E">
              <w:rPr>
                <w:rFonts w:eastAsia="Times New Roman" w:cstheme="minorHAnsi"/>
                <w:snapToGrid w:val="0"/>
                <w:sz w:val="24"/>
                <w:szCs w:val="24"/>
              </w:rPr>
              <w:t>към Директива 2003/87/ЕО и други естествени и антропогенни газообразни компоненти на атмосферата, които абсорбират и повторно излъчват инфрачервена радиация.</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Партньори на кандидатите за средства от Механизма за възстановяване и устойчивост</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w:t>
            </w:r>
          </w:p>
        </w:tc>
      </w:tr>
      <w:tr w:rsidR="00C2521E" w:rsidRPr="008E4D35" w:rsidTr="00A33FEF">
        <w:tc>
          <w:tcPr>
            <w:tcW w:w="2633" w:type="dxa"/>
            <w:shd w:val="clear" w:color="auto" w:fill="D9D9D9" w:themeFill="background1" w:themeFillShade="D9"/>
          </w:tcPr>
          <w:p w:rsidR="00C2521E" w:rsidRPr="00C2521E" w:rsidRDefault="00C2521E" w:rsidP="002B6C66">
            <w:pPr>
              <w:spacing w:before="100" w:beforeAutospacing="1" w:after="100" w:afterAutospacing="1" w:line="240" w:lineRule="auto"/>
              <w:rPr>
                <w:rFonts w:eastAsia="Times New Roman" w:cstheme="minorHAnsi"/>
                <w:b/>
                <w:snapToGrid w:val="0"/>
                <w:sz w:val="24"/>
                <w:szCs w:val="24"/>
              </w:rPr>
            </w:pPr>
            <w:r w:rsidRPr="00C2521E">
              <w:rPr>
                <w:rFonts w:eastAsia="Times New Roman" w:cstheme="minorHAnsi"/>
                <w:b/>
                <w:snapToGrid w:val="0"/>
                <w:sz w:val="24"/>
                <w:szCs w:val="24"/>
              </w:rPr>
              <w:t>Пластмаса</w:t>
            </w:r>
          </w:p>
        </w:tc>
        <w:tc>
          <w:tcPr>
            <w:tcW w:w="6831" w:type="dxa"/>
            <w:shd w:val="clear" w:color="auto" w:fill="F2F2F2" w:themeFill="background1" w:themeFillShade="F2"/>
          </w:tcPr>
          <w:p w:rsidR="00C2521E" w:rsidRPr="0005794E" w:rsidRDefault="00C2521E"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М</w:t>
            </w:r>
            <w:r w:rsidRPr="00C2521E">
              <w:rPr>
                <w:rFonts w:eastAsia="Times New Roman" w:cstheme="minorHAnsi"/>
                <w:snapToGrid w:val="0"/>
                <w:sz w:val="24"/>
                <w:szCs w:val="24"/>
              </w:rPr>
              <w:t>атериал, състоящ се от полимер, към който може да са добавени адитиви или други вещества и който може да функционира като основен структурен компонент на крайни продукти, с изключение на естествените полимери, които не</w:t>
            </w:r>
            <w:r>
              <w:rPr>
                <w:rFonts w:eastAsia="Times New Roman" w:cstheme="minorHAnsi"/>
                <w:snapToGrid w:val="0"/>
                <w:sz w:val="24"/>
                <w:szCs w:val="24"/>
              </w:rPr>
              <w:t xml:space="preserve"> са били химически модифицирани.</w:t>
            </w:r>
          </w:p>
        </w:tc>
      </w:tr>
      <w:tr w:rsidR="00C2521E" w:rsidRPr="008E4D35" w:rsidTr="00A33FEF">
        <w:tc>
          <w:tcPr>
            <w:tcW w:w="2633" w:type="dxa"/>
            <w:shd w:val="clear" w:color="auto" w:fill="D9D9D9" w:themeFill="background1" w:themeFillShade="D9"/>
          </w:tcPr>
          <w:p w:rsidR="00C2521E" w:rsidRPr="00C2521E" w:rsidRDefault="00C2521E" w:rsidP="002B6C66">
            <w:pPr>
              <w:spacing w:before="100" w:beforeAutospacing="1" w:after="100" w:afterAutospacing="1" w:line="240" w:lineRule="auto"/>
              <w:rPr>
                <w:rFonts w:eastAsia="Times New Roman" w:cstheme="minorHAnsi"/>
                <w:b/>
                <w:snapToGrid w:val="0"/>
                <w:sz w:val="24"/>
                <w:szCs w:val="24"/>
              </w:rPr>
            </w:pPr>
            <w:r w:rsidRPr="00C2521E">
              <w:rPr>
                <w:rFonts w:eastAsia="Times New Roman" w:cstheme="minorHAnsi"/>
                <w:b/>
                <w:snapToGrid w:val="0"/>
                <w:sz w:val="24"/>
                <w:szCs w:val="24"/>
              </w:rPr>
              <w:t xml:space="preserve">Пластмасов продукт за </w:t>
            </w:r>
            <w:r w:rsidRPr="00C2521E">
              <w:rPr>
                <w:rFonts w:eastAsia="Times New Roman" w:cstheme="minorHAnsi"/>
                <w:b/>
                <w:snapToGrid w:val="0"/>
                <w:sz w:val="24"/>
                <w:szCs w:val="24"/>
              </w:rPr>
              <w:lastRenderedPageBreak/>
              <w:t>еднократна употреба</w:t>
            </w:r>
          </w:p>
        </w:tc>
        <w:tc>
          <w:tcPr>
            <w:tcW w:w="6831" w:type="dxa"/>
            <w:shd w:val="clear" w:color="auto" w:fill="F2F2F2" w:themeFill="background1" w:themeFillShade="F2"/>
          </w:tcPr>
          <w:p w:rsidR="00C2521E" w:rsidRDefault="00C2521E"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lastRenderedPageBreak/>
              <w:t>П</w:t>
            </w:r>
            <w:r w:rsidRPr="00C2521E">
              <w:rPr>
                <w:rFonts w:eastAsia="Times New Roman" w:cstheme="minorHAnsi"/>
                <w:snapToGrid w:val="0"/>
                <w:sz w:val="24"/>
                <w:szCs w:val="24"/>
              </w:rPr>
              <w:t xml:space="preserve">родукт, който е направен изцяло или отчасти от пластмаса и </w:t>
            </w:r>
            <w:r w:rsidRPr="00C2521E">
              <w:rPr>
                <w:rFonts w:eastAsia="Times New Roman" w:cstheme="minorHAnsi"/>
                <w:snapToGrid w:val="0"/>
                <w:sz w:val="24"/>
                <w:szCs w:val="24"/>
              </w:rPr>
              <w:lastRenderedPageBreak/>
              <w:t>не е замислен, проектиран или пуснат на пазара, за да направи в рамките на своя експлоатационен живот многократни цикли или обороти, като се връща на производител за повторно пълнене или повторна употреба за същата цел, за която е бил замислен.</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eastAsia="Times New Roman" w:cstheme="minorHAnsi"/>
                <w:b/>
                <w:snapToGrid w:val="0"/>
                <w:sz w:val="24"/>
                <w:szCs w:val="24"/>
              </w:rPr>
            </w:pPr>
            <w:r w:rsidRPr="0005794E">
              <w:rPr>
                <w:rFonts w:ascii="Calibri" w:eastAsia="Times New Roman" w:hAnsi="Calibri" w:cs="Calibri"/>
                <w:b/>
                <w:color w:val="000000"/>
                <w:sz w:val="24"/>
                <w:szCs w:val="24"/>
                <w:lang w:eastAsia="bg-BG"/>
              </w:rPr>
              <w:lastRenderedPageBreak/>
              <w:t>Повторна употреба</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Всяка дейност, чрез която продуктите или компонентите, които не са отпадъци, се използват отново за целта, за която са били предназначени.</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eastAsia="Times New Roman" w:cstheme="minorHAnsi"/>
                <w:b/>
                <w:snapToGrid w:val="0"/>
                <w:sz w:val="24"/>
                <w:szCs w:val="24"/>
              </w:rPr>
            </w:pPr>
            <w:r w:rsidRPr="0005794E">
              <w:rPr>
                <w:rFonts w:ascii="Calibri" w:eastAsia="Times New Roman" w:hAnsi="Calibri" w:cs="Calibri"/>
                <w:b/>
                <w:color w:val="000000"/>
                <w:sz w:val="24"/>
                <w:szCs w:val="24"/>
                <w:lang w:eastAsia="bg-BG"/>
              </w:rPr>
              <w:t>Подготовка за повторна употреба</w:t>
            </w:r>
          </w:p>
        </w:tc>
        <w:tc>
          <w:tcPr>
            <w:tcW w:w="6831" w:type="dxa"/>
            <w:shd w:val="clear" w:color="auto" w:fill="F2F2F2" w:themeFill="background1" w:themeFillShade="F2"/>
          </w:tcPr>
          <w:p w:rsidR="002B6C66" w:rsidRPr="0005794E" w:rsidRDefault="000B21C2"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Дейности</w:t>
            </w:r>
            <w:r w:rsidR="002B6C66" w:rsidRPr="0005794E">
              <w:rPr>
                <w:rFonts w:eastAsia="Times New Roman" w:cstheme="minorHAnsi"/>
                <w:snapToGrid w:val="0"/>
                <w:sz w:val="24"/>
                <w:szCs w:val="24"/>
              </w:rPr>
              <w:t xml:space="preserve"> по оползотворяване, представляващи</w:t>
            </w:r>
            <w:r>
              <w:rPr>
                <w:rFonts w:eastAsia="Times New Roman" w:cstheme="minorHAnsi"/>
                <w:snapToGrid w:val="0"/>
                <w:sz w:val="24"/>
                <w:szCs w:val="24"/>
              </w:rPr>
              <w:t xml:space="preserve"> проверка, почистване или поправка, посредством</w:t>
            </w:r>
            <w:r w:rsidR="002B6C66" w:rsidRPr="0005794E">
              <w:rPr>
                <w:rFonts w:eastAsia="Times New Roman" w:cstheme="minorHAnsi"/>
                <w:snapToGrid w:val="0"/>
                <w:sz w:val="24"/>
                <w:szCs w:val="24"/>
              </w:rPr>
              <w:t xml:space="preserve"> които продуктите или компонентите на продукти, които са станали отпадък, се подготвят, за да могат да бъдат използвани повторно без каквато и да е друга предварителна обработка.</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Предложение за изпълнение на инвестиции</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Предложение, подадено от кандидатите за средства от Механизма за възстановяване и устойчивост, чрез Формуляр за кандидатстване в Информационната система за Механизма в съответствие с условията, утвърдени от Ръководителя на Структурата за наблюдение и докладване.</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eastAsia="Times New Roman" w:cstheme="minorHAnsi"/>
                <w:b/>
                <w:snapToGrid w:val="0"/>
                <w:sz w:val="24"/>
                <w:szCs w:val="24"/>
              </w:rPr>
            </w:pPr>
            <w:r w:rsidRPr="0005794E">
              <w:rPr>
                <w:rFonts w:ascii="Calibri" w:eastAsia="Times New Roman" w:hAnsi="Calibri" w:cs="Calibri"/>
                <w:b/>
                <w:color w:val="000000"/>
                <w:sz w:val="24"/>
                <w:szCs w:val="24"/>
                <w:lang w:eastAsia="bg-BG"/>
              </w:rPr>
              <w:t>Предотвратяване</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Мерките, взети преди веществото, материалът или продуктът да стане отпадък, с което се намалява: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а) количеството отпадъци, включително чрез повторната употреба на продуктите или уд</w:t>
            </w:r>
            <w:r w:rsidR="00F54783">
              <w:rPr>
                <w:rFonts w:eastAsia="Times New Roman" w:cstheme="minorHAnsi"/>
                <w:snapToGrid w:val="0"/>
                <w:sz w:val="24"/>
                <w:szCs w:val="24"/>
              </w:rPr>
              <w:t>ължаването на жизнения им цикъл, или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 б) вредното въздействие от образуваните отпадъци върху околната среда и човешкото здраве, или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 в) съдържанието на вредни вещества в материалите и продуктите.</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Предприятие</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 1,</w:t>
            </w:r>
            <w:r w:rsidRPr="0005794E">
              <w:rPr>
                <w:rFonts w:eastAsia="Times New Roman" w:cstheme="minorHAnsi"/>
                <w:snapToGrid w:val="0"/>
                <w:sz w:val="24"/>
                <w:szCs w:val="24"/>
              </w:rPr>
              <w:t xml:space="preserve"> т. 1 от Допълнителните разпоредби на Закона </w:t>
            </w:r>
            <w:r>
              <w:rPr>
                <w:rFonts w:eastAsia="Times New Roman" w:cstheme="minorHAnsi"/>
                <w:snapToGrid w:val="0"/>
                <w:sz w:val="24"/>
                <w:szCs w:val="24"/>
              </w:rPr>
              <w:t>за малките и средни</w:t>
            </w:r>
            <w:r w:rsidR="00F54783">
              <w:rPr>
                <w:rFonts w:eastAsia="Times New Roman" w:cstheme="minorHAnsi"/>
                <w:snapToGrid w:val="0"/>
                <w:sz w:val="24"/>
                <w:szCs w:val="24"/>
              </w:rPr>
              <w:t>те</w:t>
            </w:r>
            <w:r>
              <w:rPr>
                <w:rFonts w:eastAsia="Times New Roman" w:cstheme="minorHAnsi"/>
                <w:snapToGrid w:val="0"/>
                <w:sz w:val="24"/>
                <w:szCs w:val="24"/>
              </w:rPr>
              <w:t xml:space="preserve"> предприятия</w:t>
            </w:r>
            <w:r w:rsidRPr="0005794E">
              <w:rPr>
                <w:rFonts w:eastAsia="Times New Roman" w:cstheme="minorHAnsi"/>
                <w:snapToGrid w:val="0"/>
                <w:sz w:val="24"/>
                <w:szCs w:val="24"/>
              </w:rPr>
              <w:t xml:space="preserve">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Предприятие в затруднено положение</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Съгласно чл. 2, пар. 18 от Регламент (ЕС) № 651/2014</w:t>
            </w:r>
            <w:r w:rsidRPr="0005794E">
              <w:t xml:space="preserve"> „</w:t>
            </w:r>
            <w:r w:rsidRPr="0005794E">
              <w:rPr>
                <w:rFonts w:eastAsia="Times New Roman" w:cstheme="minorHAnsi"/>
                <w:snapToGrid w:val="0"/>
                <w:sz w:val="24"/>
                <w:szCs w:val="24"/>
              </w:rPr>
              <w:t>предприятие в затруднено положение</w:t>
            </w:r>
            <w:r w:rsidRPr="0005794E">
              <w:rPr>
                <w:rFonts w:eastAsia="Times New Roman" w:cstheme="minorHAnsi"/>
                <w:snapToGrid w:val="0"/>
                <w:sz w:val="24"/>
                <w:szCs w:val="24"/>
                <w:lang w:val="en-US"/>
              </w:rPr>
              <w:t>”</w:t>
            </w:r>
            <w:r w:rsidRPr="0005794E">
              <w:rPr>
                <w:rFonts w:eastAsia="Times New Roman" w:cstheme="minorHAnsi"/>
                <w:snapToGrid w:val="0"/>
                <w:sz w:val="24"/>
                <w:szCs w:val="24"/>
              </w:rPr>
              <w:t xml:space="preserve"> е предприятие, по отношение на което е изпълнено поне едно от следните обстоятелства: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w:t>
            </w:r>
            <w:r w:rsidRPr="0005794E">
              <w:rPr>
                <w:rFonts w:eastAsia="Times New Roman" w:cstheme="minorHAnsi"/>
                <w:snapToGrid w:val="0"/>
                <w:sz w:val="24"/>
                <w:szCs w:val="24"/>
              </w:rPr>
              <w:lastRenderedPageBreak/>
              <w:t>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д) когато предприятието не е МСП и през последните две години: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 съотношението задължения/собствен капитал на предприятието е било по-голямо от 7,5; </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съотношението за лихвено покритие на предприятието, изчислено на основата на EBITDA, е било под 1,0.</w:t>
            </w:r>
          </w:p>
        </w:tc>
      </w:tr>
      <w:tr w:rsidR="002B6C66" w:rsidRPr="0005794E"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Преместване</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Съгласно чл. 2, пар. 61а от Регламент (ЕС)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w:t>
            </w:r>
            <w:r w:rsidRPr="0005794E">
              <w:rPr>
                <w:rFonts w:eastAsia="Times New Roman" w:cstheme="minorHAnsi"/>
                <w:snapToGrid w:val="0"/>
                <w:sz w:val="24"/>
                <w:szCs w:val="24"/>
              </w:rPr>
              <w:lastRenderedPageBreak/>
              <w:t>Прехвърляне е</w:t>
            </w:r>
            <w:r w:rsidR="00152B69">
              <w:rPr>
                <w:rFonts w:eastAsia="Times New Roman" w:cstheme="minorHAnsi"/>
                <w:snapToGrid w:val="0"/>
                <w:sz w:val="24"/>
                <w:szCs w:val="24"/>
              </w:rPr>
              <w:t xml:space="preserve"> налице, ако продукт или услуга </w:t>
            </w:r>
            <w:r w:rsidRPr="0005794E">
              <w:rPr>
                <w:rFonts w:eastAsia="Times New Roman" w:cstheme="minorHAnsi"/>
                <w:snapToGrid w:val="0"/>
                <w:sz w:val="24"/>
                <w:szCs w:val="24"/>
              </w:rPr>
              <w:t>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r w:rsidR="00152B69">
              <w:rPr>
                <w:rFonts w:eastAsia="Times New Roman" w:cstheme="minorHAnsi"/>
                <w:snapToGrid w:val="0"/>
                <w:sz w:val="24"/>
                <w:szCs w:val="24"/>
              </w:rPr>
              <w:t>.</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Преработка на селскостопански продукти</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Всяка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2B6C66" w:rsidRPr="008E4D35" w:rsidTr="00A33FEF">
        <w:tc>
          <w:tcPr>
            <w:tcW w:w="2633" w:type="dxa"/>
            <w:shd w:val="clear" w:color="auto" w:fill="D9D9D9" w:themeFill="background1" w:themeFillShade="D9"/>
          </w:tcPr>
          <w:p w:rsidR="002B6C66" w:rsidRPr="00856494" w:rsidRDefault="002B6C66" w:rsidP="002B6C66">
            <w:pPr>
              <w:spacing w:before="100" w:beforeAutospacing="1" w:after="100" w:afterAutospacing="1" w:line="240" w:lineRule="auto"/>
              <w:rPr>
                <w:rFonts w:eastAsia="Times New Roman" w:cstheme="minorHAnsi"/>
                <w:b/>
                <w:snapToGrid w:val="0"/>
                <w:sz w:val="24"/>
                <w:szCs w:val="24"/>
              </w:rPr>
            </w:pPr>
            <w:r w:rsidRPr="00856494">
              <w:rPr>
                <w:rFonts w:eastAsia="Times New Roman" w:cstheme="minorHAnsi"/>
                <w:b/>
                <w:snapToGrid w:val="0"/>
                <w:sz w:val="24"/>
                <w:szCs w:val="24"/>
              </w:rPr>
              <w:t>Производство и дистрибуция на електроенергия и енергийните инфраструктури</w:t>
            </w:r>
          </w:p>
        </w:tc>
        <w:tc>
          <w:tcPr>
            <w:tcW w:w="6831" w:type="dxa"/>
            <w:shd w:val="clear" w:color="auto" w:fill="F2F2F2" w:themeFill="background1" w:themeFillShade="F2"/>
          </w:tcPr>
          <w:p w:rsidR="002B6C66" w:rsidRPr="00856494" w:rsidRDefault="002B6C66" w:rsidP="00736749">
            <w:pPr>
              <w:pStyle w:val="FootnoteText"/>
              <w:spacing w:after="60"/>
              <w:jc w:val="both"/>
              <w:rPr>
                <w:sz w:val="24"/>
                <w:szCs w:val="24"/>
              </w:rPr>
            </w:pPr>
            <w:r w:rsidRPr="00856494">
              <w:rPr>
                <w:sz w:val="24"/>
                <w:szCs w:val="24"/>
              </w:rPr>
              <w:t xml:space="preserve">За целите на процедурата под </w:t>
            </w:r>
            <w:r w:rsidR="00856494" w:rsidRPr="00856494">
              <w:rPr>
                <w:sz w:val="24"/>
                <w:szCs w:val="24"/>
              </w:rPr>
              <w:t>„</w:t>
            </w:r>
            <w:r w:rsidRPr="00856494">
              <w:rPr>
                <w:sz w:val="24"/>
                <w:szCs w:val="24"/>
              </w:rPr>
              <w:t>производство и дистрибуция на електроенергия и енергийните инфраструктури</w:t>
            </w:r>
            <w:r w:rsidR="00856494" w:rsidRPr="00856494">
              <w:rPr>
                <w:sz w:val="24"/>
                <w:szCs w:val="24"/>
                <w:lang w:val="en-US"/>
              </w:rPr>
              <w:t>”</w:t>
            </w:r>
            <w:r w:rsidRPr="00856494">
              <w:rPr>
                <w:sz w:val="24"/>
                <w:szCs w:val="24"/>
              </w:rPr>
              <w:t xml:space="preserve"> се разбира</w:t>
            </w:r>
            <w:r w:rsidR="00856494" w:rsidRPr="00856494">
              <w:rPr>
                <w:sz w:val="24"/>
                <w:szCs w:val="24"/>
              </w:rPr>
              <w:t>т</w:t>
            </w:r>
            <w:r w:rsidRPr="00856494">
              <w:rPr>
                <w:sz w:val="24"/>
                <w:szCs w:val="24"/>
              </w:rPr>
              <w:t>:</w:t>
            </w:r>
          </w:p>
          <w:p w:rsidR="002B6C66" w:rsidRPr="00856494" w:rsidRDefault="002B6C66" w:rsidP="00736749">
            <w:pPr>
              <w:pStyle w:val="FootnoteText"/>
              <w:spacing w:after="60"/>
              <w:jc w:val="both"/>
              <w:rPr>
                <w:sz w:val="24"/>
                <w:szCs w:val="24"/>
              </w:rPr>
            </w:pPr>
            <w:r w:rsidRPr="00856494">
              <w:rPr>
                <w:sz w:val="24"/>
                <w:szCs w:val="24"/>
              </w:rPr>
              <w:t>-</w:t>
            </w:r>
            <w:r w:rsidR="00152B69">
              <w:rPr>
                <w:sz w:val="24"/>
                <w:szCs w:val="24"/>
              </w:rPr>
              <w:t xml:space="preserve"> </w:t>
            </w:r>
            <w:r w:rsidRPr="00856494">
              <w:rPr>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rsidR="002B6C66" w:rsidRPr="00856494" w:rsidRDefault="002B6C66" w:rsidP="00736749">
            <w:pPr>
              <w:pStyle w:val="FootnoteText"/>
              <w:spacing w:after="60"/>
              <w:jc w:val="both"/>
              <w:rPr>
                <w:sz w:val="24"/>
                <w:szCs w:val="24"/>
              </w:rPr>
            </w:pPr>
            <w:r w:rsidRPr="00856494">
              <w:rPr>
                <w:sz w:val="24"/>
                <w:szCs w:val="24"/>
              </w:rPr>
              <w:t>- инвестиции в системи,</w:t>
            </w:r>
            <w:r w:rsidR="00856494" w:rsidRPr="00856494">
              <w:rPr>
                <w:sz w:val="24"/>
                <w:szCs w:val="24"/>
              </w:rPr>
              <w:t xml:space="preserve"> които произвеждат енергия, включително</w:t>
            </w:r>
            <w:r w:rsidRPr="00856494">
              <w:rPr>
                <w:sz w:val="24"/>
                <w:szCs w:val="24"/>
              </w:rPr>
              <w:t xml:space="preserve"> и за собствено потребление.</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ascii="Calibri" w:eastAsia="Times New Roman" w:hAnsi="Calibri" w:cs="Calibri"/>
                <w:b/>
                <w:color w:val="000000"/>
                <w:sz w:val="24"/>
                <w:szCs w:val="24"/>
                <w:lang w:eastAsia="bg-BG"/>
              </w:rPr>
            </w:pPr>
            <w:r w:rsidRPr="0005794E">
              <w:rPr>
                <w:rFonts w:ascii="Calibri" w:eastAsia="Times New Roman" w:hAnsi="Calibri" w:cs="Calibri"/>
                <w:b/>
                <w:color w:val="000000"/>
                <w:sz w:val="24"/>
                <w:szCs w:val="24"/>
                <w:lang w:eastAsia="bg-BG"/>
              </w:rPr>
              <w:t>Промишлена (индустриална) симбиоза</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За целите на настоящата процедура под промишлена симбиоза се разбира връзката между две производства, при която отпадъкът</w:t>
            </w:r>
            <w:r w:rsidR="00965DAB">
              <w:rPr>
                <w:rFonts w:eastAsia="Times New Roman" w:cstheme="minorHAnsi"/>
                <w:snapToGrid w:val="0"/>
                <w:sz w:val="24"/>
                <w:szCs w:val="24"/>
              </w:rPr>
              <w:t>/ците</w:t>
            </w:r>
            <w:r w:rsidRPr="0005794E">
              <w:rPr>
                <w:rFonts w:eastAsia="Times New Roman" w:cstheme="minorHAnsi"/>
                <w:snapToGrid w:val="0"/>
                <w:sz w:val="24"/>
                <w:szCs w:val="24"/>
              </w:rPr>
              <w:t xml:space="preserve"> от едното производство представлява</w:t>
            </w:r>
            <w:r w:rsidR="00965DAB">
              <w:rPr>
                <w:rFonts w:eastAsia="Times New Roman" w:cstheme="minorHAnsi"/>
                <w:snapToGrid w:val="0"/>
                <w:sz w:val="24"/>
                <w:szCs w:val="24"/>
              </w:rPr>
              <w:t>/т</w:t>
            </w:r>
            <w:r w:rsidRPr="0005794E">
              <w:rPr>
                <w:rFonts w:eastAsia="Times New Roman" w:cstheme="minorHAnsi"/>
                <w:snapToGrid w:val="0"/>
                <w:sz w:val="24"/>
                <w:szCs w:val="24"/>
              </w:rPr>
              <w:t xml:space="preserve"> суровина за другото производство. Тази връзка може да е както между две предприятия (кандидат и партньор), така и в рамките на едно и също предприятие. </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Процедура за избор на изпълнител</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Система от свързани правила,</w:t>
            </w:r>
            <w:r w:rsidRPr="0005794E">
              <w:rPr>
                <w:rFonts w:eastAsia="Times New Roman" w:cstheme="minorHAnsi"/>
                <w:snapToGrid w:val="0"/>
                <w:sz w:val="24"/>
                <w:szCs w:val="24"/>
              </w:rPr>
              <w:t xml:space="preserve">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Първично селскостопанско производство</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Производство на продукти на почвата и на животновъдството, изброени в Приложение I към Договора за функциониране на Европейския съюз, без да се извършват никакви по-нататъшни операции, с които се променя естеството на тези продукти.</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Първоначална инвестиция</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Съгласно чл. 2, пар. 49 от Регламент (ЕС) № 651/2014</w:t>
            </w:r>
            <w:r w:rsidRPr="0005794E">
              <w:t>, п</w:t>
            </w:r>
            <w:r w:rsidRPr="0005794E">
              <w:rPr>
                <w:rFonts w:eastAsia="Times New Roman" w:cstheme="minorHAnsi"/>
                <w:snapToGrid w:val="0"/>
                <w:sz w:val="24"/>
                <w:szCs w:val="24"/>
              </w:rPr>
              <w:t>ървоначална инвестиция означава: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б) придобиване на активи, принадлежащи на стопански обект, </w:t>
            </w:r>
            <w:r w:rsidRPr="0005794E">
              <w:rPr>
                <w:rFonts w:eastAsia="Times New Roman" w:cstheme="minorHAnsi"/>
                <w:snapToGrid w:val="0"/>
                <w:sz w:val="24"/>
                <w:szCs w:val="24"/>
              </w:rPr>
              <w:lastRenderedPageBreak/>
              <w:t>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B6C66" w:rsidRPr="0005794E" w:rsidRDefault="002B6C66" w:rsidP="00736749">
            <w:pPr>
              <w:spacing w:after="60" w:line="240" w:lineRule="auto"/>
              <w:jc w:val="both"/>
              <w:rPr>
                <w:rFonts w:eastAsia="Times New Roman" w:cstheme="minorHAnsi"/>
                <w:snapToGrid w:val="0"/>
                <w:sz w:val="24"/>
                <w:szCs w:val="24"/>
              </w:rPr>
            </w:pPr>
            <w:r w:rsidRPr="001D4084">
              <w:rPr>
                <w:rFonts w:eastAsia="Times New Roman" w:cstheme="minorHAnsi"/>
                <w:snapToGrid w:val="0"/>
                <w:sz w:val="24"/>
                <w:szCs w:val="24"/>
              </w:rPr>
              <w:t xml:space="preserve">За целите на настоящата процедура допустимите първоначални инвестиции са: </w:t>
            </w:r>
            <w:r w:rsidRPr="001D4084">
              <w:rPr>
                <w:rFonts w:eastAsia="Times New Roman" w:cstheme="minorHAnsi"/>
                <w:b/>
                <w:snapToGrid w:val="0"/>
                <w:sz w:val="24"/>
                <w:szCs w:val="24"/>
              </w:rPr>
              <w:t>създаване на нов стопански обект</w:t>
            </w:r>
            <w:r w:rsidRPr="001D4084">
              <w:rPr>
                <w:rFonts w:eastAsia="Times New Roman" w:cstheme="minorHAnsi"/>
                <w:snapToGrid w:val="0"/>
                <w:sz w:val="24"/>
                <w:szCs w:val="24"/>
              </w:rPr>
              <w:t xml:space="preserve">; </w:t>
            </w:r>
            <w:r w:rsidRPr="001D4084">
              <w:rPr>
                <w:rFonts w:eastAsia="Times New Roman" w:cstheme="minorHAnsi"/>
                <w:b/>
                <w:snapToGrid w:val="0"/>
                <w:sz w:val="24"/>
                <w:szCs w:val="24"/>
              </w:rPr>
              <w:t>разширяване на капацитета на съществуващ стопански обект; диверсификация на продукцията на стопански обект с продукти, които не са били произвеждани до момента в стопанския обект</w:t>
            </w:r>
            <w:r w:rsidRPr="001D4084">
              <w:rPr>
                <w:rFonts w:eastAsia="Times New Roman" w:cstheme="minorHAnsi"/>
                <w:snapToGrid w:val="0"/>
                <w:sz w:val="24"/>
                <w:szCs w:val="24"/>
              </w:rPr>
              <w:t xml:space="preserve"> или </w:t>
            </w:r>
            <w:r w:rsidRPr="001D4084">
              <w:rPr>
                <w:rFonts w:eastAsia="Times New Roman" w:cstheme="minorHAnsi"/>
                <w:b/>
                <w:snapToGrid w:val="0"/>
                <w:sz w:val="24"/>
                <w:szCs w:val="24"/>
              </w:rPr>
              <w:t>основна промяна в целия производствен процес на съществуващ стопански обект.</w:t>
            </w:r>
          </w:p>
        </w:tc>
      </w:tr>
      <w:tr w:rsidR="00983749" w:rsidRPr="008E4D35" w:rsidTr="00A33FEF">
        <w:tc>
          <w:tcPr>
            <w:tcW w:w="2633" w:type="dxa"/>
            <w:shd w:val="clear" w:color="auto" w:fill="D9D9D9" w:themeFill="background1" w:themeFillShade="D9"/>
          </w:tcPr>
          <w:p w:rsidR="00983749" w:rsidRPr="0005794E" w:rsidRDefault="00983749"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П</w:t>
            </w:r>
            <w:r w:rsidRPr="00983749">
              <w:rPr>
                <w:rFonts w:eastAsia="Times New Roman" w:cstheme="minorHAnsi"/>
                <w:b/>
                <w:snapToGrid w:val="0"/>
                <w:sz w:val="24"/>
                <w:szCs w:val="24"/>
              </w:rPr>
              <w:t>ървоначална инвестиция в полза на нова стопанска дейност</w:t>
            </w:r>
          </w:p>
        </w:tc>
        <w:tc>
          <w:tcPr>
            <w:tcW w:w="6831" w:type="dxa"/>
            <w:shd w:val="clear" w:color="auto" w:fill="F2F2F2" w:themeFill="background1" w:themeFillShade="F2"/>
          </w:tcPr>
          <w:p w:rsidR="00983749" w:rsidRPr="00983749" w:rsidRDefault="00983749" w:rsidP="00983749">
            <w:pPr>
              <w:spacing w:after="60" w:line="240" w:lineRule="auto"/>
              <w:jc w:val="both"/>
              <w:rPr>
                <w:rFonts w:eastAsia="Times New Roman" w:cstheme="minorHAnsi"/>
                <w:snapToGrid w:val="0"/>
                <w:sz w:val="24"/>
                <w:szCs w:val="24"/>
              </w:rPr>
            </w:pPr>
            <w:r w:rsidRPr="00983749">
              <w:rPr>
                <w:rFonts w:eastAsia="Times New Roman" w:cstheme="minorHAnsi"/>
                <w:snapToGrid w:val="0"/>
                <w:sz w:val="24"/>
                <w:szCs w:val="24"/>
              </w:rPr>
              <w:t xml:space="preserve">Съгласно чл. 2, пар. </w:t>
            </w:r>
            <w:r>
              <w:rPr>
                <w:rFonts w:eastAsia="Times New Roman" w:cstheme="minorHAnsi"/>
                <w:snapToGrid w:val="0"/>
                <w:sz w:val="24"/>
                <w:szCs w:val="24"/>
              </w:rPr>
              <w:t>51</w:t>
            </w:r>
            <w:r w:rsidRPr="00983749">
              <w:rPr>
                <w:rFonts w:eastAsia="Times New Roman" w:cstheme="minorHAnsi"/>
                <w:snapToGrid w:val="0"/>
                <w:sz w:val="24"/>
                <w:szCs w:val="24"/>
              </w:rPr>
              <w:t xml:space="preserve"> от Регламент (ЕС) № 651/2014, първоначална инвестиция в полза на нова стопанска дейност“ означава:</w:t>
            </w:r>
          </w:p>
          <w:p w:rsidR="00983749" w:rsidRPr="00983749" w:rsidRDefault="00983749" w:rsidP="00983749">
            <w:pPr>
              <w:spacing w:after="60" w:line="240" w:lineRule="auto"/>
              <w:jc w:val="both"/>
              <w:rPr>
                <w:rFonts w:eastAsia="Times New Roman" w:cstheme="minorHAnsi"/>
                <w:snapToGrid w:val="0"/>
                <w:sz w:val="24"/>
                <w:szCs w:val="24"/>
              </w:rPr>
            </w:pPr>
            <w:r w:rsidRPr="00983749">
              <w:rPr>
                <w:rFonts w:eastAsia="Times New Roman" w:cstheme="minorHAnsi"/>
                <w:snapToGrid w:val="0"/>
                <w:sz w:val="24"/>
                <w:szCs w:val="24"/>
              </w:rPr>
              <w:t>а) инвестиция в материални и нематериални активи, свързана със създаването на нов стопански обект или с диверсификацията на дейността на стопанския обект, при условие че новата дейност не е същата или подобна на дейността, упражнявана от стопанския обект в миналото;</w:t>
            </w:r>
          </w:p>
          <w:p w:rsidR="00983749" w:rsidRDefault="00983749" w:rsidP="00983749">
            <w:pPr>
              <w:spacing w:after="60" w:line="240" w:lineRule="auto"/>
              <w:jc w:val="both"/>
              <w:rPr>
                <w:rFonts w:eastAsia="Times New Roman" w:cstheme="minorHAnsi"/>
                <w:snapToGrid w:val="0"/>
                <w:sz w:val="24"/>
                <w:szCs w:val="24"/>
              </w:rPr>
            </w:pPr>
            <w:r w:rsidRPr="00983749">
              <w:rPr>
                <w:rFonts w:eastAsia="Times New Roman" w:cstheme="minorHAnsi"/>
                <w:snapToGrid w:val="0"/>
                <w:sz w:val="24"/>
                <w:szCs w:val="24"/>
              </w:rPr>
              <w:t>б) закупуване на активите на стопански обект, който е закрит или е щял да бъде закрит, ако не е бил закупен, и е закупен от инвеститор, който не е свързан с продавача, при условие че новата дейност, която трябва да се извършвана с придобитите активи, не е същата или подобна на извършваната дейност в стопанския обект преди закупуването;</w:t>
            </w:r>
          </w:p>
          <w:p w:rsidR="00983749" w:rsidRPr="0005794E" w:rsidRDefault="00983749" w:rsidP="00983749">
            <w:pPr>
              <w:spacing w:after="60" w:line="240" w:lineRule="auto"/>
              <w:jc w:val="both"/>
              <w:rPr>
                <w:rFonts w:eastAsia="Times New Roman" w:cstheme="minorHAnsi"/>
                <w:snapToGrid w:val="0"/>
                <w:sz w:val="24"/>
                <w:szCs w:val="24"/>
              </w:rPr>
            </w:pPr>
            <w:r w:rsidRPr="00983749">
              <w:rPr>
                <w:rFonts w:eastAsia="Times New Roman" w:cstheme="minorHAnsi"/>
                <w:snapToGrid w:val="0"/>
                <w:sz w:val="24"/>
                <w:szCs w:val="24"/>
              </w:rPr>
              <w:t xml:space="preserve">За целите на настоящата процедура </w:t>
            </w:r>
            <w:r>
              <w:rPr>
                <w:rFonts w:eastAsia="Times New Roman" w:cstheme="minorHAnsi"/>
                <w:snapToGrid w:val="0"/>
                <w:sz w:val="24"/>
                <w:szCs w:val="24"/>
              </w:rPr>
              <w:t>в</w:t>
            </w:r>
            <w:r w:rsidRPr="00983749">
              <w:rPr>
                <w:rFonts w:eastAsia="Times New Roman" w:cstheme="minorHAnsi"/>
                <w:snapToGrid w:val="0"/>
                <w:sz w:val="24"/>
                <w:szCs w:val="24"/>
              </w:rPr>
              <w:t xml:space="preserve"> случай че кандидат/партньор е голямо предприятие </w:t>
            </w:r>
            <w:r>
              <w:rPr>
                <w:rFonts w:eastAsia="Times New Roman" w:cstheme="minorHAnsi"/>
                <w:snapToGrid w:val="0"/>
                <w:sz w:val="24"/>
                <w:szCs w:val="24"/>
              </w:rPr>
              <w:t>и</w:t>
            </w:r>
            <w:r w:rsidRPr="00983749">
              <w:rPr>
                <w:rFonts w:eastAsia="Times New Roman" w:cstheme="minorHAnsi"/>
                <w:snapToGrid w:val="0"/>
                <w:sz w:val="24"/>
                <w:szCs w:val="24"/>
              </w:rPr>
              <w:t xml:space="preserve"> в рамките на предложението  мястото на изпълнение на инвестицията, предвидена от кандидата/партньора е в ЮЗР (NUTS-2), то е допустимо голямото предприятие да изпълнява единствено дейности, които имат за свой основен предмет осъществяването на първоначална инвестиция в полза на нова стопанска дейност в материални и/или нематериални активи САМО за създаване на нов стопански обект.</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ascii="Calibri" w:eastAsia="Times New Roman" w:hAnsi="Calibri" w:cs="Calibri"/>
                <w:b/>
                <w:color w:val="000000"/>
                <w:sz w:val="24"/>
                <w:szCs w:val="24"/>
                <w:lang w:eastAsia="bg-BG"/>
              </w:rPr>
            </w:pPr>
            <w:r w:rsidRPr="0005794E">
              <w:rPr>
                <w:rFonts w:ascii="Calibri" w:eastAsia="Times New Roman" w:hAnsi="Calibri" w:cs="Calibri"/>
                <w:b/>
                <w:color w:val="000000"/>
                <w:sz w:val="24"/>
                <w:szCs w:val="24"/>
                <w:lang w:eastAsia="bg-BG"/>
              </w:rPr>
              <w:t>Ресурсна ефективност</w:t>
            </w:r>
          </w:p>
        </w:tc>
        <w:tc>
          <w:tcPr>
            <w:tcW w:w="6831" w:type="dxa"/>
            <w:shd w:val="clear" w:color="auto" w:fill="F2F2F2" w:themeFill="background1" w:themeFillShade="F2"/>
          </w:tcPr>
          <w:p w:rsidR="002B6C66" w:rsidRPr="0005794E" w:rsidRDefault="00D66CB3"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И</w:t>
            </w:r>
            <w:r w:rsidR="002B6C66" w:rsidRPr="0005794E">
              <w:rPr>
                <w:rFonts w:eastAsia="Times New Roman" w:cstheme="minorHAnsi"/>
                <w:snapToGrid w:val="0"/>
                <w:sz w:val="24"/>
                <w:szCs w:val="24"/>
              </w:rPr>
              <w:t xml:space="preserve">зползване на ограничените ресурси на планетата по устойчив начин, като същевременно се свежда до минимум въздействието върху околната среда и се </w:t>
            </w:r>
            <w:r w:rsidR="00A702C7">
              <w:rPr>
                <w:rFonts w:eastAsia="Times New Roman" w:cstheme="minorHAnsi"/>
                <w:snapToGrid w:val="0"/>
                <w:sz w:val="24"/>
                <w:szCs w:val="24"/>
              </w:rPr>
              <w:t>осигурява</w:t>
            </w:r>
            <w:r w:rsidR="002B6C66" w:rsidRPr="0005794E">
              <w:rPr>
                <w:rFonts w:eastAsia="Times New Roman" w:cstheme="minorHAnsi"/>
                <w:snapToGrid w:val="0"/>
                <w:sz w:val="24"/>
                <w:szCs w:val="24"/>
              </w:rPr>
              <w:t xml:space="preserve"> възможност за икономически растеж (чрез относително премахване на зави</w:t>
            </w:r>
            <w:r w:rsidR="00A702C7">
              <w:rPr>
                <w:rFonts w:eastAsia="Times New Roman" w:cstheme="minorHAnsi"/>
                <w:snapToGrid w:val="0"/>
                <w:sz w:val="24"/>
                <w:szCs w:val="24"/>
              </w:rPr>
              <w:t xml:space="preserve">симостта от използването на суровини). </w:t>
            </w:r>
            <w:r w:rsidR="002B6C66" w:rsidRPr="0005794E">
              <w:rPr>
                <w:rFonts w:eastAsia="Times New Roman" w:cstheme="minorHAnsi"/>
                <w:snapToGrid w:val="0"/>
                <w:sz w:val="24"/>
                <w:szCs w:val="24"/>
              </w:rPr>
              <w:t>Ресурсната ефективност</w:t>
            </w:r>
            <w:r w:rsidR="00A702C7">
              <w:rPr>
                <w:rFonts w:eastAsia="Times New Roman" w:cstheme="minorHAnsi"/>
                <w:snapToGrid w:val="0"/>
                <w:sz w:val="24"/>
                <w:szCs w:val="24"/>
              </w:rPr>
              <w:t xml:space="preserve"> в преработващата промишленост обхваща</w:t>
            </w:r>
            <w:r w:rsidR="002B6C66" w:rsidRPr="0005794E">
              <w:rPr>
                <w:rFonts w:eastAsia="Times New Roman" w:cstheme="minorHAnsi"/>
                <w:snapToGrid w:val="0"/>
                <w:sz w:val="24"/>
                <w:szCs w:val="24"/>
              </w:rPr>
              <w:t xml:space="preserve"> връзката между изходната продукция и входните суровини. Тя показва колко ефективно се използват ресурсите за добавянето на икономическа стойност.</w:t>
            </w:r>
          </w:p>
          <w:p w:rsidR="002B6C66" w:rsidRPr="008E4D35" w:rsidRDefault="002B6C66" w:rsidP="00B943A2">
            <w:pPr>
              <w:spacing w:after="60" w:line="240" w:lineRule="auto"/>
              <w:jc w:val="both"/>
              <w:rPr>
                <w:rFonts w:eastAsia="Times New Roman" w:cstheme="minorHAnsi"/>
                <w:snapToGrid w:val="0"/>
                <w:sz w:val="24"/>
                <w:szCs w:val="24"/>
              </w:rPr>
            </w:pPr>
            <w:r w:rsidRPr="00A702C7">
              <w:rPr>
                <w:rFonts w:eastAsia="Times New Roman" w:cstheme="minorHAnsi"/>
                <w:snapToGrid w:val="0"/>
                <w:sz w:val="24"/>
                <w:szCs w:val="24"/>
              </w:rPr>
              <w:t xml:space="preserve">За целите на настоящата процедура под </w:t>
            </w:r>
            <w:r w:rsidR="00A702C7">
              <w:rPr>
                <w:rFonts w:eastAsia="Times New Roman" w:cstheme="minorHAnsi"/>
                <w:snapToGrid w:val="0"/>
                <w:sz w:val="24"/>
                <w:szCs w:val="24"/>
              </w:rPr>
              <w:t>„</w:t>
            </w:r>
            <w:r w:rsidRPr="00A702C7">
              <w:rPr>
                <w:rFonts w:eastAsia="Times New Roman" w:cstheme="minorHAnsi"/>
                <w:snapToGrid w:val="0"/>
                <w:sz w:val="24"/>
                <w:szCs w:val="24"/>
              </w:rPr>
              <w:t xml:space="preserve">ресурсна </w:t>
            </w:r>
            <w:r w:rsidRPr="00A702C7">
              <w:rPr>
                <w:rFonts w:eastAsia="Times New Roman" w:cstheme="minorHAnsi"/>
                <w:snapToGrid w:val="0"/>
                <w:sz w:val="24"/>
                <w:szCs w:val="24"/>
              </w:rPr>
              <w:lastRenderedPageBreak/>
              <w:t>ефективност</w:t>
            </w:r>
            <w:r w:rsidR="00A702C7">
              <w:rPr>
                <w:rFonts w:eastAsia="Times New Roman" w:cstheme="minorHAnsi"/>
                <w:snapToGrid w:val="0"/>
                <w:sz w:val="24"/>
                <w:szCs w:val="24"/>
                <w:lang w:val="en-US"/>
              </w:rPr>
              <w:t>”</w:t>
            </w:r>
            <w:r w:rsidRPr="00A702C7">
              <w:rPr>
                <w:rFonts w:eastAsia="Times New Roman" w:cstheme="minorHAnsi"/>
                <w:snapToGrid w:val="0"/>
                <w:sz w:val="24"/>
                <w:szCs w:val="24"/>
              </w:rPr>
              <w:t xml:space="preserve"> се имат предвид дейностите, свързани с </w:t>
            </w:r>
            <w:r w:rsidR="00A702C7" w:rsidRPr="00A702C7">
              <w:rPr>
                <w:rFonts w:eastAsia="Times New Roman" w:cstheme="minorHAnsi"/>
                <w:snapToGrid w:val="0"/>
                <w:sz w:val="24"/>
                <w:szCs w:val="24"/>
              </w:rPr>
              <w:t>предотвратяване  или намаляване образуването на отпадъци ч</w:t>
            </w:r>
            <w:r w:rsidR="00D66CB3">
              <w:rPr>
                <w:rFonts w:eastAsia="Times New Roman" w:cstheme="minorHAnsi"/>
                <w:snapToGrid w:val="0"/>
                <w:sz w:val="24"/>
                <w:szCs w:val="24"/>
              </w:rPr>
              <w:t xml:space="preserve">рез влагането им като суровина </w:t>
            </w:r>
            <w:r w:rsidR="00A702C7" w:rsidRPr="00A702C7">
              <w:rPr>
                <w:rFonts w:eastAsia="Times New Roman" w:cstheme="minorHAnsi"/>
                <w:snapToGrid w:val="0"/>
                <w:sz w:val="24"/>
                <w:szCs w:val="24"/>
              </w:rPr>
              <w:t xml:space="preserve">в производствения процес; </w:t>
            </w:r>
            <w:r w:rsidRPr="00A702C7">
              <w:rPr>
                <w:rFonts w:eastAsia="Times New Roman" w:cstheme="minorHAnsi"/>
                <w:snapToGrid w:val="0"/>
                <w:sz w:val="24"/>
                <w:szCs w:val="24"/>
              </w:rPr>
              <w:t>нама</w:t>
            </w:r>
            <w:r w:rsidR="00A702C7" w:rsidRPr="00A702C7">
              <w:rPr>
                <w:rFonts w:eastAsia="Times New Roman" w:cstheme="minorHAnsi"/>
                <w:snapToGrid w:val="0"/>
                <w:sz w:val="24"/>
                <w:szCs w:val="24"/>
              </w:rPr>
              <w:t>ляване разходването на суровини; ограничаване използването на опаковки от пластмаса и пластмасови продукти за еднократна употреба; повишаване на дълготрайността на продуктите, увеличаване на възможнос</w:t>
            </w:r>
            <w:r w:rsidR="00D66CB3">
              <w:rPr>
                <w:rFonts w:eastAsia="Times New Roman" w:cstheme="minorHAnsi"/>
                <w:snapToGrid w:val="0"/>
                <w:sz w:val="24"/>
                <w:szCs w:val="24"/>
              </w:rPr>
              <w:t>тите за модернизация и поправка (</w:t>
            </w:r>
            <w:r w:rsidR="00A702C7" w:rsidRPr="00A702C7">
              <w:rPr>
                <w:rFonts w:eastAsia="Times New Roman" w:cstheme="minorHAnsi"/>
                <w:snapToGrid w:val="0"/>
                <w:sz w:val="24"/>
                <w:szCs w:val="24"/>
              </w:rPr>
              <w:t>ремонт</w:t>
            </w:r>
            <w:r w:rsidR="00D66CB3">
              <w:rPr>
                <w:rFonts w:eastAsia="Times New Roman" w:cstheme="minorHAnsi"/>
                <w:snapToGrid w:val="0"/>
                <w:sz w:val="24"/>
                <w:szCs w:val="24"/>
              </w:rPr>
              <w:t>)</w:t>
            </w:r>
            <w:r w:rsidR="00A702C7" w:rsidRPr="00A702C7">
              <w:rPr>
                <w:rFonts w:eastAsia="Times New Roman" w:cstheme="minorHAnsi"/>
                <w:snapToGrid w:val="0"/>
                <w:sz w:val="24"/>
                <w:szCs w:val="24"/>
              </w:rPr>
              <w:t>, както и на възможностите за рециклирането им или за оползотворяване на отпадъците от продукти след извеждането им от употреба.</w:t>
            </w:r>
          </w:p>
        </w:tc>
      </w:tr>
      <w:tr w:rsidR="002B6C66" w:rsidRPr="008E4D35" w:rsidTr="00A33FEF">
        <w:tc>
          <w:tcPr>
            <w:tcW w:w="2633" w:type="dxa"/>
            <w:shd w:val="clear" w:color="auto" w:fill="D9D9D9" w:themeFill="background1" w:themeFillShade="D9"/>
          </w:tcPr>
          <w:p w:rsidR="002B6C66" w:rsidRPr="0005794E" w:rsidRDefault="002B6C66" w:rsidP="002B6C66">
            <w:pPr>
              <w:spacing w:before="120" w:after="120" w:line="240" w:lineRule="auto"/>
              <w:rPr>
                <w:rFonts w:ascii="Calibri" w:eastAsia="Times New Roman" w:hAnsi="Calibri" w:cs="Calibri"/>
                <w:b/>
                <w:color w:val="000000"/>
                <w:sz w:val="24"/>
                <w:szCs w:val="24"/>
                <w:lang w:eastAsia="bg-BG"/>
              </w:rPr>
            </w:pPr>
            <w:r w:rsidRPr="0005794E">
              <w:rPr>
                <w:rFonts w:ascii="Calibri" w:eastAsia="Times New Roman" w:hAnsi="Calibri" w:cs="Calibri"/>
                <w:b/>
                <w:color w:val="000000"/>
                <w:sz w:val="24"/>
                <w:szCs w:val="24"/>
                <w:lang w:eastAsia="bg-BG"/>
              </w:rPr>
              <w:lastRenderedPageBreak/>
              <w:t>Рециклиране</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Всяка дейност по оползотворяване, чрез която отпадъчните материали се преработват в продукти, материали или вещества за първоначалната им цел или за други цели. То включва преработването на органични материали, но не включва оползотворяване за получаване на енергия и преработване в материали, които ще се използват като горива или за насипни дейности.</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Ръководител на Структура за наблюдение и докладване</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Ръководителят на съответната СНД. Правомощията на Ръководител на Структура за наблюдение и докладване може да се упражняват и от овластено от него лице.</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Свързани лица</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lang w:val="en-US"/>
              </w:rPr>
              <w:t xml:space="preserve">(1) </w:t>
            </w:r>
            <w:r w:rsidRPr="0005794E">
              <w:rPr>
                <w:rFonts w:eastAsia="Times New Roman" w:cstheme="minorHAnsi"/>
                <w:snapToGrid w:val="0"/>
                <w:sz w:val="24"/>
                <w:szCs w:val="24"/>
              </w:rPr>
              <w:t>„Свързани лица” са: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2. работодател и работник;</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3. лицата, едното от които участва в управлението на дружеството на другото;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4. съдружниците;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6. лицата, чиято дейност се контролира пряко или косвено от трето лице;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7. лицата, които съвместно контролират пряко или косвено трето лице;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8. лицата, едното от които е търговски</w:t>
            </w:r>
            <w:r w:rsidRPr="0005794E">
              <w:rPr>
                <w:rFonts w:eastAsia="Times New Roman" w:cstheme="minorHAnsi"/>
                <w:snapToGrid w:val="0"/>
                <w:sz w:val="24"/>
                <w:szCs w:val="24"/>
                <w:lang w:val="en-US"/>
              </w:rPr>
              <w:t xml:space="preserve"> </w:t>
            </w:r>
            <w:r w:rsidRPr="0005794E">
              <w:rPr>
                <w:rFonts w:eastAsia="Times New Roman" w:cstheme="minorHAnsi"/>
                <w:snapToGrid w:val="0"/>
                <w:sz w:val="24"/>
                <w:szCs w:val="24"/>
              </w:rPr>
              <w:t>представител на другото;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9. лицата, едното от които е направило дарение в полза на другото.</w:t>
            </w:r>
          </w:p>
          <w:p w:rsidR="002B6C66" w:rsidRPr="0005794E" w:rsidRDefault="002B6C66" w:rsidP="00736749">
            <w:pPr>
              <w:spacing w:after="60" w:line="240" w:lineRule="auto"/>
              <w:jc w:val="both"/>
              <w:rPr>
                <w:rFonts w:eastAsia="Times New Roman" w:cstheme="minorHAnsi"/>
                <w:snapToGrid w:val="0"/>
                <w:sz w:val="24"/>
                <w:szCs w:val="24"/>
                <w:lang w:val="en-US"/>
              </w:rPr>
            </w:pPr>
            <w:r w:rsidRPr="0005794E">
              <w:rPr>
                <w:rFonts w:eastAsia="Times New Roman" w:cstheme="minorHAnsi"/>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Сделка между несвързани лица</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Сектор за производство на синтетични влакна</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Съгласно чл. 2, пар. 44 от Регламент (ЕС) № 651/2014</w:t>
            </w:r>
            <w:r w:rsidRPr="0005794E">
              <w:t xml:space="preserve"> </w:t>
            </w:r>
            <w:r w:rsidRPr="0005794E">
              <w:rPr>
                <w:rFonts w:eastAsia="Times New Roman" w:cstheme="minorHAnsi"/>
                <w:snapToGrid w:val="0"/>
                <w:sz w:val="24"/>
                <w:szCs w:val="24"/>
              </w:rPr>
              <w:t>„сектор за производство на синтетични влакна“ означава: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а) екструдиране/текстуриране на всички основни видове влакна и прежди на база полиестер, полиамид, акрил или пропилен, независимо от предназначението им; или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б) полимеризация (включително поликондензация), когато е интегрирана в процеса на екструдиране предвид използваното оборудване; или</w:t>
            </w:r>
          </w:p>
          <w:p w:rsidR="002B6C66" w:rsidRPr="0005794E" w:rsidRDefault="002B6C66" w:rsidP="00736749">
            <w:pPr>
              <w:spacing w:after="60" w:line="240" w:lineRule="auto"/>
              <w:jc w:val="both"/>
              <w:rPr>
                <w:rFonts w:cstheme="minorHAnsi"/>
                <w:sz w:val="24"/>
                <w:szCs w:val="24"/>
              </w:rPr>
            </w:pPr>
            <w:r w:rsidRPr="0005794E">
              <w:rPr>
                <w:rFonts w:eastAsia="Times New Roman" w:cstheme="minorHAnsi"/>
                <w:snapToGrid w:val="0"/>
                <w:sz w:val="24"/>
                <w:szCs w:val="24"/>
              </w:rPr>
              <w:t>в) всички спомагателни процеси, които са свързани с едновременното инсталиране на мощности за екструдиране/ текстуриране от потенциалния бенефициер или от друго дружество, принадлежащо към същата група, и които при конкретния вид стопанска дейност обикновено са интегрирани в тези мощности предвид използваното оборудване.</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Селскостопански продукт</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Продукти, изброени в Приложение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2B6C66" w:rsidRPr="008E4D35" w:rsidTr="00A33FEF">
        <w:tc>
          <w:tcPr>
            <w:tcW w:w="2633" w:type="dxa"/>
            <w:shd w:val="clear" w:color="auto" w:fill="D9D9D9" w:themeFill="background1" w:themeFillShade="D9"/>
          </w:tcPr>
          <w:p w:rsidR="002B6C66" w:rsidRPr="00D35DF3" w:rsidRDefault="002B6C66" w:rsidP="002B6C66">
            <w:pPr>
              <w:spacing w:before="100" w:beforeAutospacing="1" w:after="100" w:afterAutospacing="1" w:line="240" w:lineRule="auto"/>
              <w:rPr>
                <w:rFonts w:eastAsia="Times New Roman" w:cstheme="minorHAnsi"/>
                <w:b/>
                <w:snapToGrid w:val="0"/>
                <w:sz w:val="24"/>
                <w:szCs w:val="24"/>
              </w:rPr>
            </w:pPr>
            <w:r w:rsidRPr="00D35DF3">
              <w:rPr>
                <w:rFonts w:eastAsia="Times New Roman" w:cstheme="minorHAnsi"/>
                <w:b/>
                <w:snapToGrid w:val="0"/>
                <w:sz w:val="24"/>
                <w:szCs w:val="24"/>
              </w:rPr>
              <w:t>Сериозни нередности</w:t>
            </w:r>
          </w:p>
        </w:tc>
        <w:tc>
          <w:tcPr>
            <w:tcW w:w="6831" w:type="dxa"/>
            <w:shd w:val="clear" w:color="auto" w:fill="F2F2F2" w:themeFill="background1" w:themeFillShade="F2"/>
          </w:tcPr>
          <w:p w:rsidR="002B6C66" w:rsidRPr="00D35DF3" w:rsidRDefault="002B6C66" w:rsidP="00736749">
            <w:pPr>
              <w:spacing w:after="60" w:line="240" w:lineRule="auto"/>
              <w:jc w:val="both"/>
              <w:rPr>
                <w:rFonts w:eastAsia="Times New Roman" w:cstheme="minorHAnsi"/>
                <w:snapToGrid w:val="0"/>
                <w:sz w:val="24"/>
                <w:szCs w:val="24"/>
              </w:rPr>
            </w:pPr>
            <w:r w:rsidRPr="00D35DF3">
              <w:rPr>
                <w:rFonts w:eastAsia="Times New Roman" w:cstheme="minorHAnsi"/>
                <w:snapToGrid w:val="0"/>
                <w:sz w:val="24"/>
                <w:szCs w:val="24"/>
              </w:rPr>
              <w:t>За сериозни нередности се считат случаите на измама, корупция и конфликт на интереси.</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Стоманодобивен сектор</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Съгласно чл. 2, пар. 43 от Регламент (ЕС) № 651/2014</w:t>
            </w:r>
            <w:r w:rsidRPr="0005794E">
              <w:t xml:space="preserve"> </w:t>
            </w:r>
            <w:r w:rsidRPr="0005794E">
              <w:rPr>
                <w:rFonts w:eastAsia="Times New Roman" w:cstheme="minorHAnsi"/>
                <w:snapToGrid w:val="0"/>
                <w:sz w:val="24"/>
                <w:szCs w:val="24"/>
              </w:rPr>
              <w:t>„стоманодобивен сектор“ означава всички дейности, свързани с производството на един или повече от следните продукти: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а) чугун на блокове и феросплави: чугун за производство на стомана, леярски чугун и друг чугун за производство на стомана, шпигелайзен (желязно-манганови сплави) и високовъглеродни желязно-манганови сплави, без да се включват други феросплави;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w:t>
            </w:r>
            <w:r w:rsidRPr="0005794E">
              <w:rPr>
                <w:rFonts w:eastAsia="Times New Roman" w:cstheme="minorHAnsi"/>
                <w:snapToGrid w:val="0"/>
                <w:sz w:val="24"/>
                <w:szCs w:val="24"/>
              </w:rPr>
              <w:lastRenderedPageBreak/>
              <w:t>блуми, пръти и сляби, листове и листове покалаена ламарина, горещо валцувани коилси, с изключение на производство на лята стомана за леене от малки и средни леярни;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05794E">
              <w:rPr>
                <w:rFonts w:eastAsia="Times New Roman" w:cstheme="minorHAnsi"/>
                <w:snapToGrid w:val="0"/>
                <w:sz w:val="24"/>
                <w:szCs w:val="24"/>
                <w:lang w:val="en-US"/>
              </w:rPr>
              <w:t xml:space="preserve">mm </w:t>
            </w:r>
            <w:r w:rsidRPr="0005794E">
              <w:rPr>
                <w:rFonts w:eastAsia="Times New Roman" w:cstheme="minorHAnsi"/>
                <w:snapToGrid w:val="0"/>
                <w:sz w:val="24"/>
                <w:szCs w:val="24"/>
              </w:rPr>
              <w:t>и по</w:t>
            </w:r>
            <w:r w:rsidRPr="0005794E">
              <w:rPr>
                <w:rFonts w:eastAsia="Times New Roman" w:cstheme="minorHAnsi"/>
                <w:snapToGrid w:val="0"/>
                <w:sz w:val="24"/>
                <w:szCs w:val="24"/>
                <w:lang w:val="en-US"/>
              </w:rPr>
              <w:t xml:space="preserve"> </w:t>
            </w:r>
            <w:r w:rsidRPr="0005794E">
              <w:rPr>
                <w:rFonts w:eastAsia="Times New Roman" w:cstheme="minorHAnsi"/>
                <w:snapToGrid w:val="0"/>
                <w:sz w:val="24"/>
                <w:szCs w:val="24"/>
              </w:rPr>
              <w:t xml:space="preserve">- голяма, валцувани плоскости, профили и секции с дебелина по-малко от 80 </w:t>
            </w:r>
            <w:r w:rsidRPr="0005794E">
              <w:rPr>
                <w:rFonts w:eastAsia="Times New Roman" w:cstheme="minorHAnsi"/>
                <w:snapToGrid w:val="0"/>
                <w:sz w:val="24"/>
                <w:szCs w:val="24"/>
                <w:lang w:val="en-US"/>
              </w:rPr>
              <w:t xml:space="preserve">mm </w:t>
            </w:r>
            <w:r w:rsidRPr="0005794E">
              <w:rPr>
                <w:rFonts w:eastAsia="Times New Roman" w:cstheme="minorHAnsi"/>
                <w:snapToGrid w:val="0"/>
                <w:sz w:val="24"/>
                <w:szCs w:val="24"/>
              </w:rPr>
              <w:t xml:space="preserve">и плоскости по-тънки от 150 </w:t>
            </w:r>
            <w:r w:rsidRPr="0005794E">
              <w:rPr>
                <w:rFonts w:eastAsia="Times New Roman" w:cstheme="minorHAnsi"/>
                <w:snapToGrid w:val="0"/>
                <w:sz w:val="24"/>
                <w:szCs w:val="24"/>
                <w:lang w:val="en-US"/>
              </w:rPr>
              <w:t xml:space="preserve">mm, </w:t>
            </w:r>
            <w:r w:rsidRPr="0005794E">
              <w:rPr>
                <w:rFonts w:eastAsia="Times New Roman" w:cstheme="minorHAnsi"/>
                <w:snapToGrid w:val="0"/>
                <w:sz w:val="24"/>
                <w:szCs w:val="24"/>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05794E">
              <w:rPr>
                <w:rFonts w:eastAsia="Times New Roman" w:cstheme="minorHAnsi"/>
                <w:snapToGrid w:val="0"/>
                <w:sz w:val="24"/>
                <w:szCs w:val="24"/>
                <w:lang w:val="en-US"/>
              </w:rPr>
              <w:t xml:space="preserve">mm </w:t>
            </w:r>
            <w:r w:rsidRPr="0005794E">
              <w:rPr>
                <w:rFonts w:eastAsia="Times New Roman" w:cstheme="minorHAnsi"/>
                <w:snapToGrid w:val="0"/>
                <w:sz w:val="24"/>
                <w:szCs w:val="24"/>
              </w:rPr>
              <w:t xml:space="preserve">или повече, плосковалцовани продукти с универсално предназначение с дебелина 150 </w:t>
            </w:r>
            <w:r w:rsidRPr="0005794E">
              <w:rPr>
                <w:rFonts w:eastAsia="Times New Roman" w:cstheme="minorHAnsi"/>
                <w:snapToGrid w:val="0"/>
                <w:sz w:val="24"/>
                <w:szCs w:val="24"/>
                <w:lang w:val="en-US"/>
              </w:rPr>
              <w:t xml:space="preserve">mm </w:t>
            </w:r>
            <w:r w:rsidRPr="0005794E">
              <w:rPr>
                <w:rFonts w:eastAsia="Times New Roman" w:cstheme="minorHAnsi"/>
                <w:snapToGrid w:val="0"/>
                <w:sz w:val="24"/>
                <w:szCs w:val="24"/>
              </w:rPr>
              <w:t>или повече, с изключение на тел и продукти от тел, полирани пръти и железни отливки;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д) тръби: всички безшевни стоманени тръби, запоени стоманени тръби с диаметър, надхвърлящ 406,4 </w:t>
            </w:r>
            <w:r w:rsidRPr="0005794E">
              <w:rPr>
                <w:rFonts w:eastAsia="Times New Roman" w:cstheme="minorHAnsi"/>
                <w:snapToGrid w:val="0"/>
                <w:sz w:val="24"/>
                <w:szCs w:val="24"/>
                <w:lang w:val="en-US"/>
              </w:rPr>
              <w:t>mm;</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Структура за наблюдение и докладване</w:t>
            </w:r>
          </w:p>
        </w:tc>
        <w:tc>
          <w:tcPr>
            <w:tcW w:w="6831"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7B0864" w:rsidRPr="008E4D35" w:rsidTr="00A33FEF">
        <w:tc>
          <w:tcPr>
            <w:tcW w:w="2633" w:type="dxa"/>
            <w:shd w:val="clear" w:color="auto" w:fill="D9D9D9" w:themeFill="background1" w:themeFillShade="D9"/>
          </w:tcPr>
          <w:p w:rsidR="007B0864" w:rsidRPr="0005794E" w:rsidRDefault="007B0864"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Суровини/ресурси</w:t>
            </w:r>
          </w:p>
        </w:tc>
        <w:tc>
          <w:tcPr>
            <w:tcW w:w="6831" w:type="dxa"/>
            <w:shd w:val="clear" w:color="auto" w:fill="F2F2F2" w:themeFill="background1" w:themeFillShade="F2"/>
          </w:tcPr>
          <w:p w:rsidR="007B0864" w:rsidRPr="0005794E" w:rsidRDefault="007B0864" w:rsidP="00736749">
            <w:pPr>
              <w:spacing w:after="60" w:line="240" w:lineRule="auto"/>
              <w:jc w:val="both"/>
              <w:rPr>
                <w:rFonts w:eastAsia="Times New Roman" w:cstheme="minorHAnsi"/>
                <w:snapToGrid w:val="0"/>
                <w:sz w:val="24"/>
                <w:szCs w:val="24"/>
              </w:rPr>
            </w:pPr>
            <w:r w:rsidRPr="007B0864">
              <w:rPr>
                <w:rFonts w:eastAsia="Times New Roman" w:cstheme="minorHAnsi"/>
                <w:snapToGrid w:val="0"/>
                <w:sz w:val="24"/>
                <w:szCs w:val="24"/>
              </w:rPr>
              <w:t>Всички материали, които се влагат в производството на даден краен продукт и които в материално отношение представляват част от него (крайния продукт).</w:t>
            </w:r>
          </w:p>
        </w:tc>
      </w:tr>
      <w:tr w:rsidR="00CC4F74" w:rsidRPr="008E4D35" w:rsidTr="00A33FEF">
        <w:tc>
          <w:tcPr>
            <w:tcW w:w="2633" w:type="dxa"/>
            <w:shd w:val="clear" w:color="auto" w:fill="D9D9D9" w:themeFill="background1" w:themeFillShade="D9"/>
          </w:tcPr>
          <w:p w:rsidR="00CC4F74" w:rsidRPr="00E90C11" w:rsidRDefault="00CC4F74" w:rsidP="00E90C11">
            <w:pPr>
              <w:spacing w:before="100" w:beforeAutospacing="1" w:after="100" w:afterAutospacing="1" w:line="240" w:lineRule="auto"/>
              <w:rPr>
                <w:rFonts w:eastAsia="Times New Roman" w:cstheme="minorHAnsi"/>
                <w:b/>
                <w:snapToGrid w:val="0"/>
                <w:sz w:val="24"/>
                <w:szCs w:val="24"/>
              </w:rPr>
            </w:pPr>
            <w:r w:rsidRPr="00E90C11">
              <w:rPr>
                <w:rFonts w:eastAsia="Times New Roman" w:cstheme="minorHAnsi"/>
                <w:b/>
                <w:snapToGrid w:val="0"/>
                <w:sz w:val="24"/>
                <w:szCs w:val="24"/>
              </w:rPr>
              <w:t>Транспортен сектор</w:t>
            </w:r>
          </w:p>
        </w:tc>
        <w:tc>
          <w:tcPr>
            <w:tcW w:w="6831" w:type="dxa"/>
            <w:shd w:val="clear" w:color="auto" w:fill="F2F2F2" w:themeFill="background1" w:themeFillShade="F2"/>
          </w:tcPr>
          <w:p w:rsidR="00CC4F74" w:rsidRDefault="00CC4F74" w:rsidP="00CC4F74">
            <w:pPr>
              <w:spacing w:after="60" w:line="240" w:lineRule="auto"/>
              <w:jc w:val="both"/>
              <w:rPr>
                <w:rFonts w:eastAsia="Times New Roman" w:cstheme="minorHAnsi"/>
                <w:snapToGrid w:val="0"/>
                <w:sz w:val="24"/>
                <w:szCs w:val="24"/>
              </w:rPr>
            </w:pPr>
            <w:r w:rsidRPr="00CC4F74">
              <w:rPr>
                <w:rFonts w:eastAsia="Times New Roman" w:cstheme="minorHAnsi"/>
                <w:snapToGrid w:val="0"/>
                <w:sz w:val="24"/>
                <w:szCs w:val="24"/>
              </w:rPr>
              <w:t>Съгласно чл. 2, пар. 45 от Регламент (ЕС) № 651/2014 „транспортен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По-конкретно „транспортен сектор" означава следните дейности по КИД-2008:</w:t>
            </w:r>
          </w:p>
          <w:p w:rsidR="00F52595" w:rsidRPr="005155E4" w:rsidRDefault="00F52595" w:rsidP="00F52595">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5155E4">
              <w:rPr>
                <w:rFonts w:eastAsia="Times New Roman" w:cstheme="minorHAnsi"/>
                <w:snapToGrid w:val="0"/>
                <w:sz w:val="24"/>
                <w:szCs w:val="24"/>
              </w:rPr>
              <w:t xml:space="preserve">Н49 „Сухопътен транспорт“, с изключение на Н49.32 „Пътнически таксиметров транспорт“, Н49.42 „Услуги по </w:t>
            </w:r>
            <w:r w:rsidRPr="005155E4">
              <w:rPr>
                <w:rFonts w:eastAsia="Times New Roman" w:cstheme="minorHAnsi"/>
                <w:snapToGrid w:val="0"/>
                <w:sz w:val="24"/>
                <w:szCs w:val="24"/>
              </w:rPr>
              <w:lastRenderedPageBreak/>
              <w:t>преместване“, Н49.5 „Тръбопроводен транспорт“;</w:t>
            </w:r>
          </w:p>
          <w:p w:rsidR="00F52595" w:rsidRPr="005155E4" w:rsidRDefault="00F52595" w:rsidP="00F52595">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rsidR="00F52595" w:rsidRPr="00B20177" w:rsidRDefault="00F52595" w:rsidP="00F52595">
            <w:pPr>
              <w:spacing w:after="60" w:line="240" w:lineRule="auto"/>
              <w:jc w:val="both"/>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2B6C66" w:rsidRPr="008E4D35" w:rsidTr="00A33FEF">
        <w:tc>
          <w:tcPr>
            <w:tcW w:w="2633"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Транспортни средства</w:t>
            </w:r>
          </w:p>
        </w:tc>
        <w:tc>
          <w:tcPr>
            <w:tcW w:w="6831" w:type="dxa"/>
            <w:shd w:val="clear" w:color="auto" w:fill="F2F2F2" w:themeFill="background1" w:themeFillShade="F2"/>
          </w:tcPr>
          <w:p w:rsidR="002B6C66" w:rsidRPr="0005794E" w:rsidRDefault="002B6C66" w:rsidP="00736749">
            <w:pPr>
              <w:pStyle w:val="FootnoteText"/>
              <w:spacing w:after="60"/>
              <w:jc w:val="both"/>
              <w:rPr>
                <w:sz w:val="24"/>
                <w:szCs w:val="24"/>
              </w:rPr>
            </w:pPr>
            <w:r w:rsidRPr="0005794E">
              <w:rPr>
                <w:sz w:val="24"/>
                <w:szCs w:val="24"/>
              </w:rPr>
              <w:t>Включва следните дефиниции:</w:t>
            </w:r>
          </w:p>
          <w:p w:rsidR="002B6C66" w:rsidRPr="0005794E" w:rsidRDefault="002B6C66" w:rsidP="00736749">
            <w:pPr>
              <w:pStyle w:val="FootnoteText"/>
              <w:spacing w:after="60"/>
              <w:jc w:val="both"/>
              <w:rPr>
                <w:sz w:val="24"/>
                <w:szCs w:val="24"/>
              </w:rPr>
            </w:pPr>
            <w:r w:rsidRPr="0005794E">
              <w:rPr>
                <w:sz w:val="24"/>
                <w:szCs w:val="24"/>
              </w:rPr>
              <w:t xml:space="preserve"> - </w:t>
            </w:r>
            <w:r w:rsidRPr="0005794E">
              <w:rPr>
                <w:i/>
                <w:sz w:val="24"/>
                <w:szCs w:val="24"/>
              </w:rPr>
              <w:t>Съгласно Закона за движението по пътищата:</w:t>
            </w:r>
          </w:p>
          <w:p w:rsidR="002B6C66" w:rsidRPr="0005794E" w:rsidRDefault="002B6C66" w:rsidP="00736749">
            <w:pPr>
              <w:pStyle w:val="FootnoteText"/>
              <w:spacing w:after="60"/>
              <w:jc w:val="both"/>
              <w:rPr>
                <w:sz w:val="24"/>
                <w:szCs w:val="24"/>
              </w:rPr>
            </w:pPr>
            <w:r w:rsidRPr="0005794E">
              <w:rPr>
                <w:sz w:val="24"/>
                <w:szCs w:val="24"/>
              </w:rPr>
              <w:t>1. „Пътно превозно средство</w:t>
            </w:r>
            <w:r w:rsidRPr="0005794E">
              <w:rPr>
                <w:sz w:val="24"/>
                <w:szCs w:val="24"/>
                <w:lang w:val="en-US"/>
              </w:rPr>
              <w:t>”</w:t>
            </w:r>
            <w:r w:rsidRPr="0005794E">
              <w:rPr>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2B6C66" w:rsidRPr="0005794E" w:rsidRDefault="002B6C66" w:rsidP="00736749">
            <w:pPr>
              <w:pStyle w:val="FootnoteText"/>
              <w:spacing w:after="60"/>
              <w:jc w:val="both"/>
              <w:rPr>
                <w:sz w:val="24"/>
                <w:szCs w:val="24"/>
              </w:rPr>
            </w:pPr>
            <w:r w:rsidRPr="0005794E">
              <w:rPr>
                <w:sz w:val="24"/>
                <w:szCs w:val="24"/>
              </w:rPr>
              <w:t>2. „Моторно превозно средство</w:t>
            </w:r>
            <w:r w:rsidRPr="0005794E">
              <w:rPr>
                <w:sz w:val="24"/>
                <w:szCs w:val="24"/>
                <w:lang w:val="en-US"/>
              </w:rPr>
              <w:t>”</w:t>
            </w:r>
            <w:r w:rsidRPr="0005794E">
              <w:rPr>
                <w:sz w:val="24"/>
                <w:szCs w:val="24"/>
              </w:rPr>
              <w:t xml:space="preserve"> е пътно превозно средство, снабдено с двигател за придвижване, с изключение на релсовите превозни средства.</w:t>
            </w:r>
          </w:p>
          <w:p w:rsidR="002B6C66" w:rsidRPr="0005794E" w:rsidRDefault="002B6C66" w:rsidP="00736749">
            <w:pPr>
              <w:pStyle w:val="FootnoteText"/>
              <w:spacing w:after="60"/>
              <w:jc w:val="both"/>
              <w:rPr>
                <w:i/>
                <w:sz w:val="24"/>
                <w:szCs w:val="24"/>
              </w:rPr>
            </w:pPr>
            <w:r w:rsidRPr="0005794E">
              <w:rPr>
                <w:sz w:val="24"/>
                <w:szCs w:val="24"/>
              </w:rPr>
              <w:t xml:space="preserve">- </w:t>
            </w:r>
            <w:r w:rsidRPr="0005794E">
              <w:rPr>
                <w:i/>
                <w:sz w:val="24"/>
                <w:szCs w:val="24"/>
              </w:rPr>
              <w:t>Съгласно Закона за гражданското въздухоплаване:</w:t>
            </w:r>
          </w:p>
          <w:p w:rsidR="002B6C66" w:rsidRPr="0005794E" w:rsidRDefault="002B6C66" w:rsidP="00736749">
            <w:pPr>
              <w:pStyle w:val="FootnoteText"/>
              <w:spacing w:after="60"/>
              <w:jc w:val="both"/>
              <w:rPr>
                <w:sz w:val="24"/>
                <w:szCs w:val="24"/>
              </w:rPr>
            </w:pPr>
            <w:r w:rsidRPr="0005794E">
              <w:rPr>
                <w:sz w:val="24"/>
                <w:szCs w:val="24"/>
              </w:rPr>
              <w:t>1. „Въздухоплавателно средство</w:t>
            </w:r>
            <w:r w:rsidRPr="0005794E">
              <w:rPr>
                <w:sz w:val="24"/>
                <w:szCs w:val="24"/>
                <w:lang w:val="en-US"/>
              </w:rPr>
              <w:t>”</w:t>
            </w:r>
            <w:r w:rsidRPr="0005794E">
              <w:rPr>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B6C66" w:rsidRPr="0005794E" w:rsidRDefault="002B6C66" w:rsidP="00736749">
            <w:pPr>
              <w:pStyle w:val="FootnoteText"/>
              <w:spacing w:after="60"/>
              <w:jc w:val="both"/>
              <w:rPr>
                <w:sz w:val="24"/>
                <w:szCs w:val="24"/>
              </w:rPr>
            </w:pPr>
            <w:r w:rsidRPr="0005794E">
              <w:rPr>
                <w:sz w:val="24"/>
                <w:szCs w:val="24"/>
              </w:rPr>
              <w:t xml:space="preserve"> - </w:t>
            </w:r>
            <w:r w:rsidRPr="0005794E">
              <w:rPr>
                <w:i/>
                <w:sz w:val="24"/>
                <w:szCs w:val="24"/>
              </w:rPr>
              <w:t>Съгласно Закона за железопътния транспорт:</w:t>
            </w:r>
          </w:p>
          <w:p w:rsidR="002B6C66" w:rsidRPr="0005794E" w:rsidRDefault="002B6C66" w:rsidP="00736749">
            <w:pPr>
              <w:pStyle w:val="FootnoteText"/>
              <w:spacing w:after="60"/>
              <w:jc w:val="both"/>
              <w:rPr>
                <w:sz w:val="24"/>
                <w:szCs w:val="24"/>
              </w:rPr>
            </w:pPr>
            <w:r w:rsidRPr="0005794E">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rsidR="002B6C66" w:rsidRPr="0005794E" w:rsidRDefault="002B6C66" w:rsidP="00736749">
            <w:pPr>
              <w:pStyle w:val="FootnoteText"/>
              <w:spacing w:after="60"/>
              <w:jc w:val="both"/>
              <w:rPr>
                <w:sz w:val="24"/>
                <w:szCs w:val="24"/>
              </w:rPr>
            </w:pPr>
            <w:r w:rsidRPr="0005794E">
              <w:rPr>
                <w:sz w:val="24"/>
                <w:szCs w:val="24"/>
              </w:rPr>
              <w:t xml:space="preserve"> - </w:t>
            </w:r>
            <w:r w:rsidRPr="0005794E">
              <w:rPr>
                <w:i/>
                <w:sz w:val="24"/>
                <w:szCs w:val="24"/>
              </w:rPr>
              <w:t>Съгласно Закона за морските пространства, вътрешните водни пътища и пристанищата на Република България:</w:t>
            </w:r>
          </w:p>
          <w:p w:rsidR="002B6C66" w:rsidRPr="0005794E" w:rsidRDefault="002B6C66" w:rsidP="00736749">
            <w:pPr>
              <w:pStyle w:val="FootnoteText"/>
              <w:spacing w:after="60"/>
              <w:jc w:val="both"/>
              <w:rPr>
                <w:sz w:val="24"/>
                <w:szCs w:val="24"/>
              </w:rPr>
            </w:pPr>
            <w:r w:rsidRPr="0005794E">
              <w:rPr>
                <w:sz w:val="24"/>
                <w:szCs w:val="24"/>
              </w:rPr>
              <w:t>1. „Яхта”  е кораб, използван за туризъм, спорт, спортен риболов или развлечение.</w:t>
            </w:r>
          </w:p>
          <w:p w:rsidR="002B6C66" w:rsidRPr="0005794E" w:rsidRDefault="002B6C66" w:rsidP="00736749">
            <w:pPr>
              <w:pStyle w:val="FootnoteText"/>
              <w:spacing w:after="60"/>
              <w:jc w:val="both"/>
              <w:rPr>
                <w:sz w:val="24"/>
                <w:szCs w:val="24"/>
              </w:rPr>
            </w:pPr>
            <w:r w:rsidRPr="0005794E">
              <w:rPr>
                <w:sz w:val="24"/>
                <w:szCs w:val="24"/>
              </w:rPr>
              <w:t>2. „Кораб</w:t>
            </w:r>
            <w:r w:rsidRPr="0005794E">
              <w:rPr>
                <w:bCs/>
                <w:sz w:val="24"/>
                <w:szCs w:val="24"/>
              </w:rPr>
              <w:t>”</w:t>
            </w:r>
            <w:r w:rsidRPr="0005794E">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2B6C66" w:rsidRPr="008E4D35" w:rsidTr="00A33FEF">
        <w:tc>
          <w:tcPr>
            <w:tcW w:w="2633" w:type="dxa"/>
            <w:shd w:val="clear" w:color="auto" w:fill="D9D9D9" w:themeFill="background1" w:themeFillShade="D9"/>
          </w:tcPr>
          <w:p w:rsidR="002B6C66" w:rsidRPr="00BD1056" w:rsidRDefault="002B6C66" w:rsidP="002B6C66">
            <w:pPr>
              <w:spacing w:before="100" w:beforeAutospacing="1" w:after="100" w:afterAutospacing="1" w:line="240" w:lineRule="auto"/>
              <w:rPr>
                <w:rFonts w:cstheme="minorHAnsi"/>
                <w:sz w:val="24"/>
                <w:szCs w:val="24"/>
              </w:rPr>
            </w:pPr>
            <w:r w:rsidRPr="00BD1056">
              <w:rPr>
                <w:rFonts w:eastAsia="Times New Roman" w:cstheme="minorHAnsi"/>
                <w:b/>
                <w:snapToGrid w:val="0"/>
                <w:sz w:val="24"/>
                <w:szCs w:val="24"/>
              </w:rPr>
              <w:t>Търговия със селскостопански продукт</w:t>
            </w:r>
          </w:p>
        </w:tc>
        <w:tc>
          <w:tcPr>
            <w:tcW w:w="6831" w:type="dxa"/>
            <w:shd w:val="clear" w:color="auto" w:fill="F2F2F2" w:themeFill="background1" w:themeFillShade="F2"/>
          </w:tcPr>
          <w:p w:rsidR="002B6C66" w:rsidRPr="00BD1056" w:rsidRDefault="002B6C66" w:rsidP="00736749">
            <w:pPr>
              <w:spacing w:after="60" w:line="240" w:lineRule="auto"/>
              <w:jc w:val="both"/>
              <w:rPr>
                <w:rFonts w:eastAsia="Times New Roman" w:cstheme="minorHAnsi"/>
                <w:snapToGrid w:val="0"/>
                <w:sz w:val="24"/>
                <w:szCs w:val="24"/>
              </w:rPr>
            </w:pPr>
            <w:r w:rsidRPr="00BD1056">
              <w:rPr>
                <w:rFonts w:eastAsia="Times New Roman" w:cstheme="minorHAnsi"/>
                <w:snapToGrid w:val="0"/>
                <w:sz w:val="24"/>
                <w:szCs w:val="24"/>
              </w:rPr>
              <w:t xml:space="preserve">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w:t>
            </w:r>
            <w:r w:rsidRPr="00BD1056">
              <w:rPr>
                <w:rFonts w:eastAsia="Times New Roman" w:cstheme="minorHAnsi"/>
                <w:snapToGrid w:val="0"/>
                <w:sz w:val="24"/>
                <w:szCs w:val="24"/>
              </w:rPr>
              <w:lastRenderedPageBreak/>
              <w:t>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rsidR="002D0B4D" w:rsidRDefault="002D0B4D"/>
    <w:p w:rsidR="00811FBA" w:rsidRPr="00627F25" w:rsidRDefault="00811FBA">
      <w:pPr>
        <w:rPr>
          <w:lang w:val="en-US"/>
        </w:rPr>
      </w:pPr>
    </w:p>
    <w:sectPr w:rsidR="00811FBA" w:rsidRPr="00627F25" w:rsidSect="00B54D2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378" w:rsidRDefault="00093378" w:rsidP="00364204">
      <w:pPr>
        <w:spacing w:after="0" w:line="240" w:lineRule="auto"/>
      </w:pPr>
      <w:r>
        <w:separator/>
      </w:r>
    </w:p>
  </w:endnote>
  <w:endnote w:type="continuationSeparator" w:id="0">
    <w:p w:rsidR="00093378" w:rsidRDefault="00093378"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rsidR="00054EAC" w:rsidRDefault="00A45739">
        <w:pPr>
          <w:pStyle w:val="Footer"/>
          <w:jc w:val="center"/>
        </w:pPr>
        <w:r>
          <w:fldChar w:fldCharType="begin"/>
        </w:r>
        <w:r w:rsidR="00054EAC">
          <w:instrText xml:space="preserve"> PAGE   \* MERGEFORMAT </w:instrText>
        </w:r>
        <w:r>
          <w:fldChar w:fldCharType="separate"/>
        </w:r>
        <w:r w:rsidR="00152567">
          <w:rPr>
            <w:noProof/>
          </w:rPr>
          <w:t>1</w:t>
        </w:r>
        <w:r>
          <w:rPr>
            <w:noProof/>
          </w:rPr>
          <w:fldChar w:fldCharType="end"/>
        </w:r>
      </w:p>
    </w:sdtContent>
  </w:sdt>
  <w:p w:rsidR="001503F3" w:rsidRDefault="0015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378" w:rsidRDefault="00093378" w:rsidP="00364204">
      <w:pPr>
        <w:spacing w:after="0" w:line="240" w:lineRule="auto"/>
      </w:pPr>
      <w:r>
        <w:separator/>
      </w:r>
    </w:p>
  </w:footnote>
  <w:footnote w:type="continuationSeparator" w:id="0">
    <w:p w:rsidR="00093378" w:rsidRDefault="00093378"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C12" w:rsidRPr="001503F3" w:rsidRDefault="001503F3" w:rsidP="001503F3">
    <w:pPr>
      <w:pStyle w:val="Header"/>
      <w:jc w:val="center"/>
    </w:pPr>
    <w:r>
      <w:rPr>
        <w:noProof/>
        <w:lang w:eastAsia="bg-BG"/>
      </w:rPr>
      <w:drawing>
        <wp:inline distT="0" distB="0" distL="0" distR="0">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144B"/>
    <w:rsid w:val="000010DD"/>
    <w:rsid w:val="0000173C"/>
    <w:rsid w:val="00002456"/>
    <w:rsid w:val="00002D0D"/>
    <w:rsid w:val="0000386A"/>
    <w:rsid w:val="00003B43"/>
    <w:rsid w:val="00011987"/>
    <w:rsid w:val="00012502"/>
    <w:rsid w:val="00012CA5"/>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477AF"/>
    <w:rsid w:val="00051B86"/>
    <w:rsid w:val="00054EAC"/>
    <w:rsid w:val="000568E4"/>
    <w:rsid w:val="0005794E"/>
    <w:rsid w:val="00062143"/>
    <w:rsid w:val="000636EF"/>
    <w:rsid w:val="00067C3A"/>
    <w:rsid w:val="00070E3F"/>
    <w:rsid w:val="00071FD5"/>
    <w:rsid w:val="00074197"/>
    <w:rsid w:val="00082A66"/>
    <w:rsid w:val="00093378"/>
    <w:rsid w:val="000972C6"/>
    <w:rsid w:val="000A0132"/>
    <w:rsid w:val="000A3471"/>
    <w:rsid w:val="000A44E5"/>
    <w:rsid w:val="000A4E76"/>
    <w:rsid w:val="000B21C2"/>
    <w:rsid w:val="000B278A"/>
    <w:rsid w:val="000B38AD"/>
    <w:rsid w:val="000B4A2D"/>
    <w:rsid w:val="000B6360"/>
    <w:rsid w:val="000C2624"/>
    <w:rsid w:val="000C2A46"/>
    <w:rsid w:val="000C2CA8"/>
    <w:rsid w:val="000C6413"/>
    <w:rsid w:val="000C731A"/>
    <w:rsid w:val="000C7701"/>
    <w:rsid w:val="000D040C"/>
    <w:rsid w:val="000D418B"/>
    <w:rsid w:val="000D4A9F"/>
    <w:rsid w:val="000D7F0D"/>
    <w:rsid w:val="000E2800"/>
    <w:rsid w:val="000E43C4"/>
    <w:rsid w:val="000E4FFF"/>
    <w:rsid w:val="000E58F1"/>
    <w:rsid w:val="000F03A0"/>
    <w:rsid w:val="000F1D6F"/>
    <w:rsid w:val="000F48C5"/>
    <w:rsid w:val="000F5A47"/>
    <w:rsid w:val="000F6759"/>
    <w:rsid w:val="0010134B"/>
    <w:rsid w:val="001038E3"/>
    <w:rsid w:val="0010418D"/>
    <w:rsid w:val="00107683"/>
    <w:rsid w:val="0011077A"/>
    <w:rsid w:val="001123F2"/>
    <w:rsid w:val="00112DD2"/>
    <w:rsid w:val="001166DF"/>
    <w:rsid w:val="001172F3"/>
    <w:rsid w:val="00121FFF"/>
    <w:rsid w:val="00124DB3"/>
    <w:rsid w:val="0012614C"/>
    <w:rsid w:val="00133436"/>
    <w:rsid w:val="00135888"/>
    <w:rsid w:val="00135C9D"/>
    <w:rsid w:val="001367E8"/>
    <w:rsid w:val="00136F2F"/>
    <w:rsid w:val="001375DA"/>
    <w:rsid w:val="0014131C"/>
    <w:rsid w:val="00141474"/>
    <w:rsid w:val="00146219"/>
    <w:rsid w:val="00146A12"/>
    <w:rsid w:val="001472E2"/>
    <w:rsid w:val="00147A80"/>
    <w:rsid w:val="001503F3"/>
    <w:rsid w:val="00151004"/>
    <w:rsid w:val="00151B68"/>
    <w:rsid w:val="00152567"/>
    <w:rsid w:val="00152B69"/>
    <w:rsid w:val="001553A6"/>
    <w:rsid w:val="001566B9"/>
    <w:rsid w:val="00160AEC"/>
    <w:rsid w:val="0016138B"/>
    <w:rsid w:val="00163752"/>
    <w:rsid w:val="001637DA"/>
    <w:rsid w:val="00166ADB"/>
    <w:rsid w:val="00166B6A"/>
    <w:rsid w:val="001675DC"/>
    <w:rsid w:val="00176AD2"/>
    <w:rsid w:val="00177A75"/>
    <w:rsid w:val="00177AF4"/>
    <w:rsid w:val="001814B2"/>
    <w:rsid w:val="001814C4"/>
    <w:rsid w:val="001826B1"/>
    <w:rsid w:val="00190190"/>
    <w:rsid w:val="0019069B"/>
    <w:rsid w:val="00190A86"/>
    <w:rsid w:val="00190CD9"/>
    <w:rsid w:val="00192236"/>
    <w:rsid w:val="00192CE9"/>
    <w:rsid w:val="00194C58"/>
    <w:rsid w:val="00196D20"/>
    <w:rsid w:val="001A3B19"/>
    <w:rsid w:val="001A6C43"/>
    <w:rsid w:val="001B133A"/>
    <w:rsid w:val="001B13CE"/>
    <w:rsid w:val="001B21F3"/>
    <w:rsid w:val="001B3181"/>
    <w:rsid w:val="001B57E3"/>
    <w:rsid w:val="001B61A7"/>
    <w:rsid w:val="001B6CC2"/>
    <w:rsid w:val="001C2977"/>
    <w:rsid w:val="001C2D21"/>
    <w:rsid w:val="001D4084"/>
    <w:rsid w:val="001D505E"/>
    <w:rsid w:val="001D56B0"/>
    <w:rsid w:val="001E1B5F"/>
    <w:rsid w:val="001F0E0A"/>
    <w:rsid w:val="001F3349"/>
    <w:rsid w:val="001F54E6"/>
    <w:rsid w:val="001F61B8"/>
    <w:rsid w:val="00202226"/>
    <w:rsid w:val="00207A2E"/>
    <w:rsid w:val="002101D1"/>
    <w:rsid w:val="00212341"/>
    <w:rsid w:val="00214D85"/>
    <w:rsid w:val="0021679D"/>
    <w:rsid w:val="002174CE"/>
    <w:rsid w:val="00223C1A"/>
    <w:rsid w:val="00225F85"/>
    <w:rsid w:val="00226619"/>
    <w:rsid w:val="00226AD4"/>
    <w:rsid w:val="00235A35"/>
    <w:rsid w:val="002407B4"/>
    <w:rsid w:val="0024350C"/>
    <w:rsid w:val="0024419F"/>
    <w:rsid w:val="00244EF0"/>
    <w:rsid w:val="00255E88"/>
    <w:rsid w:val="00262C14"/>
    <w:rsid w:val="0026792A"/>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B6C66"/>
    <w:rsid w:val="002C72C6"/>
    <w:rsid w:val="002D0B4D"/>
    <w:rsid w:val="002D20A8"/>
    <w:rsid w:val="002D39FC"/>
    <w:rsid w:val="002D5C60"/>
    <w:rsid w:val="002E23A3"/>
    <w:rsid w:val="002E6130"/>
    <w:rsid w:val="002F178D"/>
    <w:rsid w:val="002F4983"/>
    <w:rsid w:val="002F59B2"/>
    <w:rsid w:val="00301649"/>
    <w:rsid w:val="0030180E"/>
    <w:rsid w:val="00302201"/>
    <w:rsid w:val="00305BE5"/>
    <w:rsid w:val="003063D3"/>
    <w:rsid w:val="00306628"/>
    <w:rsid w:val="003075C6"/>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36360"/>
    <w:rsid w:val="00342683"/>
    <w:rsid w:val="00350080"/>
    <w:rsid w:val="00350A75"/>
    <w:rsid w:val="0035527E"/>
    <w:rsid w:val="003601E3"/>
    <w:rsid w:val="00363FB2"/>
    <w:rsid w:val="00364204"/>
    <w:rsid w:val="00364C8A"/>
    <w:rsid w:val="00366DBA"/>
    <w:rsid w:val="00367C18"/>
    <w:rsid w:val="00372A83"/>
    <w:rsid w:val="00377AF7"/>
    <w:rsid w:val="0038024A"/>
    <w:rsid w:val="00380C77"/>
    <w:rsid w:val="003875EB"/>
    <w:rsid w:val="00392471"/>
    <w:rsid w:val="00392A15"/>
    <w:rsid w:val="003934F3"/>
    <w:rsid w:val="0039519A"/>
    <w:rsid w:val="003B17C6"/>
    <w:rsid w:val="003C0135"/>
    <w:rsid w:val="003C0505"/>
    <w:rsid w:val="003C0A9A"/>
    <w:rsid w:val="003C0F45"/>
    <w:rsid w:val="003C29ED"/>
    <w:rsid w:val="003C370C"/>
    <w:rsid w:val="003C6657"/>
    <w:rsid w:val="003C78E7"/>
    <w:rsid w:val="003D1460"/>
    <w:rsid w:val="003D47EC"/>
    <w:rsid w:val="003D5F84"/>
    <w:rsid w:val="003D7676"/>
    <w:rsid w:val="003E2225"/>
    <w:rsid w:val="003E54ED"/>
    <w:rsid w:val="003E7DFA"/>
    <w:rsid w:val="003F42BA"/>
    <w:rsid w:val="003F63FF"/>
    <w:rsid w:val="003F74C3"/>
    <w:rsid w:val="00403D6C"/>
    <w:rsid w:val="0041142E"/>
    <w:rsid w:val="00413F4A"/>
    <w:rsid w:val="0041624B"/>
    <w:rsid w:val="004229D9"/>
    <w:rsid w:val="00424C2D"/>
    <w:rsid w:val="00425D7E"/>
    <w:rsid w:val="00434D2A"/>
    <w:rsid w:val="004376E5"/>
    <w:rsid w:val="00443FF4"/>
    <w:rsid w:val="00444395"/>
    <w:rsid w:val="00445BC4"/>
    <w:rsid w:val="0045024B"/>
    <w:rsid w:val="00450719"/>
    <w:rsid w:val="00453858"/>
    <w:rsid w:val="00455CF7"/>
    <w:rsid w:val="00457584"/>
    <w:rsid w:val="00461EE4"/>
    <w:rsid w:val="00465D1D"/>
    <w:rsid w:val="00467B0D"/>
    <w:rsid w:val="004711F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A15B3"/>
    <w:rsid w:val="004A2098"/>
    <w:rsid w:val="004A2FFC"/>
    <w:rsid w:val="004B177E"/>
    <w:rsid w:val="004B3485"/>
    <w:rsid w:val="004B5B5A"/>
    <w:rsid w:val="004B677A"/>
    <w:rsid w:val="004C05CB"/>
    <w:rsid w:val="004C1271"/>
    <w:rsid w:val="004C6D46"/>
    <w:rsid w:val="004C7034"/>
    <w:rsid w:val="004D5241"/>
    <w:rsid w:val="004D59DD"/>
    <w:rsid w:val="004E0B74"/>
    <w:rsid w:val="004E15B4"/>
    <w:rsid w:val="004E6D9F"/>
    <w:rsid w:val="004F67CB"/>
    <w:rsid w:val="004F7ED2"/>
    <w:rsid w:val="00502F9C"/>
    <w:rsid w:val="00505041"/>
    <w:rsid w:val="00506983"/>
    <w:rsid w:val="00507AB6"/>
    <w:rsid w:val="005155E4"/>
    <w:rsid w:val="00521819"/>
    <w:rsid w:val="005240A2"/>
    <w:rsid w:val="00527C13"/>
    <w:rsid w:val="00533E95"/>
    <w:rsid w:val="00533EFA"/>
    <w:rsid w:val="005346FD"/>
    <w:rsid w:val="00534F20"/>
    <w:rsid w:val="005372C1"/>
    <w:rsid w:val="00544385"/>
    <w:rsid w:val="00545558"/>
    <w:rsid w:val="00550BC0"/>
    <w:rsid w:val="005510C5"/>
    <w:rsid w:val="005620E1"/>
    <w:rsid w:val="00562463"/>
    <w:rsid w:val="00562CDD"/>
    <w:rsid w:val="005638EF"/>
    <w:rsid w:val="0057352F"/>
    <w:rsid w:val="005759FF"/>
    <w:rsid w:val="00590097"/>
    <w:rsid w:val="0059354F"/>
    <w:rsid w:val="00594DF4"/>
    <w:rsid w:val="00597183"/>
    <w:rsid w:val="005A0232"/>
    <w:rsid w:val="005A0674"/>
    <w:rsid w:val="005B109C"/>
    <w:rsid w:val="005B1470"/>
    <w:rsid w:val="005B33FE"/>
    <w:rsid w:val="005B629B"/>
    <w:rsid w:val="005B66E8"/>
    <w:rsid w:val="005B7691"/>
    <w:rsid w:val="005C3A6A"/>
    <w:rsid w:val="005C7631"/>
    <w:rsid w:val="005D31D2"/>
    <w:rsid w:val="005D5C12"/>
    <w:rsid w:val="005D5D2C"/>
    <w:rsid w:val="005D7DBC"/>
    <w:rsid w:val="005E04B9"/>
    <w:rsid w:val="005E0513"/>
    <w:rsid w:val="005E077F"/>
    <w:rsid w:val="005E3985"/>
    <w:rsid w:val="005E3ADC"/>
    <w:rsid w:val="005F3542"/>
    <w:rsid w:val="005F5A43"/>
    <w:rsid w:val="005F5D85"/>
    <w:rsid w:val="005F7830"/>
    <w:rsid w:val="006019AC"/>
    <w:rsid w:val="00607E15"/>
    <w:rsid w:val="00611F32"/>
    <w:rsid w:val="00615938"/>
    <w:rsid w:val="006235CE"/>
    <w:rsid w:val="00624B99"/>
    <w:rsid w:val="0062729B"/>
    <w:rsid w:val="00627F25"/>
    <w:rsid w:val="00631172"/>
    <w:rsid w:val="00634237"/>
    <w:rsid w:val="00642ED2"/>
    <w:rsid w:val="00647A60"/>
    <w:rsid w:val="00650331"/>
    <w:rsid w:val="006531C8"/>
    <w:rsid w:val="00655140"/>
    <w:rsid w:val="00655AB9"/>
    <w:rsid w:val="00661A59"/>
    <w:rsid w:val="00664A83"/>
    <w:rsid w:val="00666480"/>
    <w:rsid w:val="00666644"/>
    <w:rsid w:val="006667AD"/>
    <w:rsid w:val="006675E7"/>
    <w:rsid w:val="00673E61"/>
    <w:rsid w:val="00677E30"/>
    <w:rsid w:val="0068167D"/>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062B"/>
    <w:rsid w:val="006E266D"/>
    <w:rsid w:val="006E3606"/>
    <w:rsid w:val="006E55B8"/>
    <w:rsid w:val="006E74DD"/>
    <w:rsid w:val="006F5552"/>
    <w:rsid w:val="007110EB"/>
    <w:rsid w:val="0071256E"/>
    <w:rsid w:val="007228E6"/>
    <w:rsid w:val="0072643D"/>
    <w:rsid w:val="007268F0"/>
    <w:rsid w:val="00726A24"/>
    <w:rsid w:val="00733821"/>
    <w:rsid w:val="00734B42"/>
    <w:rsid w:val="00736749"/>
    <w:rsid w:val="00741F45"/>
    <w:rsid w:val="007433EA"/>
    <w:rsid w:val="0074385D"/>
    <w:rsid w:val="0074665C"/>
    <w:rsid w:val="00750D4C"/>
    <w:rsid w:val="00756B45"/>
    <w:rsid w:val="00761D80"/>
    <w:rsid w:val="00764CC7"/>
    <w:rsid w:val="0076625B"/>
    <w:rsid w:val="0076760F"/>
    <w:rsid w:val="007676BF"/>
    <w:rsid w:val="00767968"/>
    <w:rsid w:val="007708C4"/>
    <w:rsid w:val="00770B65"/>
    <w:rsid w:val="00775161"/>
    <w:rsid w:val="007759E7"/>
    <w:rsid w:val="0078029D"/>
    <w:rsid w:val="00781585"/>
    <w:rsid w:val="007830DC"/>
    <w:rsid w:val="00784610"/>
    <w:rsid w:val="00785637"/>
    <w:rsid w:val="00792531"/>
    <w:rsid w:val="007969E0"/>
    <w:rsid w:val="007A349E"/>
    <w:rsid w:val="007A6782"/>
    <w:rsid w:val="007B0864"/>
    <w:rsid w:val="007B2C0A"/>
    <w:rsid w:val="007B5FF0"/>
    <w:rsid w:val="007B60CB"/>
    <w:rsid w:val="007D00F2"/>
    <w:rsid w:val="007E18D5"/>
    <w:rsid w:val="007E2301"/>
    <w:rsid w:val="007E48B3"/>
    <w:rsid w:val="007E4C7D"/>
    <w:rsid w:val="007F047F"/>
    <w:rsid w:val="007F0904"/>
    <w:rsid w:val="007F4874"/>
    <w:rsid w:val="007F4E6D"/>
    <w:rsid w:val="007F75CF"/>
    <w:rsid w:val="00800A99"/>
    <w:rsid w:val="00804F54"/>
    <w:rsid w:val="00805079"/>
    <w:rsid w:val="0080517F"/>
    <w:rsid w:val="008074CF"/>
    <w:rsid w:val="00811FBA"/>
    <w:rsid w:val="008128DE"/>
    <w:rsid w:val="00821649"/>
    <w:rsid w:val="0082616B"/>
    <w:rsid w:val="00827E71"/>
    <w:rsid w:val="00830485"/>
    <w:rsid w:val="00830B4E"/>
    <w:rsid w:val="00831362"/>
    <w:rsid w:val="00832CCD"/>
    <w:rsid w:val="00835439"/>
    <w:rsid w:val="008423D6"/>
    <w:rsid w:val="00844602"/>
    <w:rsid w:val="00844A97"/>
    <w:rsid w:val="008541FA"/>
    <w:rsid w:val="00856494"/>
    <w:rsid w:val="0085705F"/>
    <w:rsid w:val="00857CD1"/>
    <w:rsid w:val="00862EEE"/>
    <w:rsid w:val="00870BA5"/>
    <w:rsid w:val="00870D1D"/>
    <w:rsid w:val="00874C42"/>
    <w:rsid w:val="00875315"/>
    <w:rsid w:val="008763B3"/>
    <w:rsid w:val="00876B7B"/>
    <w:rsid w:val="00880021"/>
    <w:rsid w:val="00883F2E"/>
    <w:rsid w:val="00884591"/>
    <w:rsid w:val="008A3B65"/>
    <w:rsid w:val="008A7455"/>
    <w:rsid w:val="008B34A3"/>
    <w:rsid w:val="008B34EF"/>
    <w:rsid w:val="008B4517"/>
    <w:rsid w:val="008B59D6"/>
    <w:rsid w:val="008C0322"/>
    <w:rsid w:val="008C5169"/>
    <w:rsid w:val="008D22C2"/>
    <w:rsid w:val="008D51DE"/>
    <w:rsid w:val="008E0822"/>
    <w:rsid w:val="008E2E2B"/>
    <w:rsid w:val="008E3E46"/>
    <w:rsid w:val="008E4C68"/>
    <w:rsid w:val="008E4D35"/>
    <w:rsid w:val="008E72B2"/>
    <w:rsid w:val="008F0DB8"/>
    <w:rsid w:val="008F29AD"/>
    <w:rsid w:val="008F2DBC"/>
    <w:rsid w:val="00901DB9"/>
    <w:rsid w:val="00903088"/>
    <w:rsid w:val="00903CF4"/>
    <w:rsid w:val="00907DA1"/>
    <w:rsid w:val="0091098E"/>
    <w:rsid w:val="00911F09"/>
    <w:rsid w:val="009200B0"/>
    <w:rsid w:val="009228BD"/>
    <w:rsid w:val="00922D50"/>
    <w:rsid w:val="00924D9B"/>
    <w:rsid w:val="00927191"/>
    <w:rsid w:val="0093063E"/>
    <w:rsid w:val="009323AD"/>
    <w:rsid w:val="00934B28"/>
    <w:rsid w:val="009350D8"/>
    <w:rsid w:val="00935650"/>
    <w:rsid w:val="00936946"/>
    <w:rsid w:val="00942D3D"/>
    <w:rsid w:val="00946C97"/>
    <w:rsid w:val="00950D49"/>
    <w:rsid w:val="00950DAB"/>
    <w:rsid w:val="0095223F"/>
    <w:rsid w:val="0095447F"/>
    <w:rsid w:val="009578F7"/>
    <w:rsid w:val="00960116"/>
    <w:rsid w:val="00963992"/>
    <w:rsid w:val="00965DAB"/>
    <w:rsid w:val="00983749"/>
    <w:rsid w:val="0099371B"/>
    <w:rsid w:val="009944A0"/>
    <w:rsid w:val="00995611"/>
    <w:rsid w:val="009972D5"/>
    <w:rsid w:val="009A2721"/>
    <w:rsid w:val="009B0FAC"/>
    <w:rsid w:val="009B112E"/>
    <w:rsid w:val="009C0196"/>
    <w:rsid w:val="009C10E2"/>
    <w:rsid w:val="009C6305"/>
    <w:rsid w:val="009D0973"/>
    <w:rsid w:val="009D42C1"/>
    <w:rsid w:val="009D632B"/>
    <w:rsid w:val="009E1F73"/>
    <w:rsid w:val="009E7115"/>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33FEF"/>
    <w:rsid w:val="00A455D5"/>
    <w:rsid w:val="00A45739"/>
    <w:rsid w:val="00A50921"/>
    <w:rsid w:val="00A51771"/>
    <w:rsid w:val="00A52C19"/>
    <w:rsid w:val="00A624A8"/>
    <w:rsid w:val="00A626F9"/>
    <w:rsid w:val="00A641AE"/>
    <w:rsid w:val="00A64487"/>
    <w:rsid w:val="00A645E0"/>
    <w:rsid w:val="00A702C7"/>
    <w:rsid w:val="00A704B4"/>
    <w:rsid w:val="00A7385E"/>
    <w:rsid w:val="00A761D9"/>
    <w:rsid w:val="00A81890"/>
    <w:rsid w:val="00A8680A"/>
    <w:rsid w:val="00A8715F"/>
    <w:rsid w:val="00A87ED4"/>
    <w:rsid w:val="00A90EA8"/>
    <w:rsid w:val="00AA0FF5"/>
    <w:rsid w:val="00AA45A9"/>
    <w:rsid w:val="00AA532F"/>
    <w:rsid w:val="00AA5F85"/>
    <w:rsid w:val="00AA71E6"/>
    <w:rsid w:val="00AB0788"/>
    <w:rsid w:val="00AB2A3A"/>
    <w:rsid w:val="00AB66B3"/>
    <w:rsid w:val="00AC0C92"/>
    <w:rsid w:val="00AC4184"/>
    <w:rsid w:val="00AC5A69"/>
    <w:rsid w:val="00AC6F3F"/>
    <w:rsid w:val="00AC7737"/>
    <w:rsid w:val="00AD10E6"/>
    <w:rsid w:val="00AD128E"/>
    <w:rsid w:val="00AD16F4"/>
    <w:rsid w:val="00AD2903"/>
    <w:rsid w:val="00AD39DA"/>
    <w:rsid w:val="00AD4279"/>
    <w:rsid w:val="00AE06FF"/>
    <w:rsid w:val="00AE2167"/>
    <w:rsid w:val="00AE3148"/>
    <w:rsid w:val="00B00DDA"/>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20DD"/>
    <w:rsid w:val="00B943A2"/>
    <w:rsid w:val="00B94C58"/>
    <w:rsid w:val="00B96F15"/>
    <w:rsid w:val="00BA0060"/>
    <w:rsid w:val="00BA0725"/>
    <w:rsid w:val="00BA0C03"/>
    <w:rsid w:val="00BA21BC"/>
    <w:rsid w:val="00BA33AB"/>
    <w:rsid w:val="00BB0EE9"/>
    <w:rsid w:val="00BB50C6"/>
    <w:rsid w:val="00BC06E5"/>
    <w:rsid w:val="00BD1056"/>
    <w:rsid w:val="00BD6E52"/>
    <w:rsid w:val="00BE455B"/>
    <w:rsid w:val="00BE5E65"/>
    <w:rsid w:val="00BE64B4"/>
    <w:rsid w:val="00BF0ABA"/>
    <w:rsid w:val="00BF1675"/>
    <w:rsid w:val="00BF171D"/>
    <w:rsid w:val="00BF4676"/>
    <w:rsid w:val="00BF468E"/>
    <w:rsid w:val="00C06E8E"/>
    <w:rsid w:val="00C10228"/>
    <w:rsid w:val="00C1144B"/>
    <w:rsid w:val="00C1285C"/>
    <w:rsid w:val="00C1463B"/>
    <w:rsid w:val="00C14652"/>
    <w:rsid w:val="00C21CC0"/>
    <w:rsid w:val="00C22321"/>
    <w:rsid w:val="00C227AA"/>
    <w:rsid w:val="00C2416F"/>
    <w:rsid w:val="00C245AE"/>
    <w:rsid w:val="00C2521E"/>
    <w:rsid w:val="00C31ADB"/>
    <w:rsid w:val="00C34E93"/>
    <w:rsid w:val="00C35B51"/>
    <w:rsid w:val="00C40790"/>
    <w:rsid w:val="00C43BA0"/>
    <w:rsid w:val="00C470C9"/>
    <w:rsid w:val="00C500B5"/>
    <w:rsid w:val="00C5289A"/>
    <w:rsid w:val="00C5357B"/>
    <w:rsid w:val="00C60101"/>
    <w:rsid w:val="00C6236D"/>
    <w:rsid w:val="00C628A4"/>
    <w:rsid w:val="00C63F59"/>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53E9"/>
    <w:rsid w:val="00CA653D"/>
    <w:rsid w:val="00CA6BFB"/>
    <w:rsid w:val="00CA74D3"/>
    <w:rsid w:val="00CA770A"/>
    <w:rsid w:val="00CB0C05"/>
    <w:rsid w:val="00CB12DF"/>
    <w:rsid w:val="00CB383A"/>
    <w:rsid w:val="00CC4F74"/>
    <w:rsid w:val="00CC68C5"/>
    <w:rsid w:val="00CD1EFC"/>
    <w:rsid w:val="00CD4E7B"/>
    <w:rsid w:val="00CE1B66"/>
    <w:rsid w:val="00CE2905"/>
    <w:rsid w:val="00CE2EFD"/>
    <w:rsid w:val="00CF0900"/>
    <w:rsid w:val="00CF0B63"/>
    <w:rsid w:val="00CF381D"/>
    <w:rsid w:val="00D012AB"/>
    <w:rsid w:val="00D013C8"/>
    <w:rsid w:val="00D0247F"/>
    <w:rsid w:val="00D077BE"/>
    <w:rsid w:val="00D135FE"/>
    <w:rsid w:val="00D232CC"/>
    <w:rsid w:val="00D307CA"/>
    <w:rsid w:val="00D31E18"/>
    <w:rsid w:val="00D34868"/>
    <w:rsid w:val="00D35DF3"/>
    <w:rsid w:val="00D36727"/>
    <w:rsid w:val="00D37325"/>
    <w:rsid w:val="00D43BD4"/>
    <w:rsid w:val="00D43E3C"/>
    <w:rsid w:val="00D44314"/>
    <w:rsid w:val="00D44A32"/>
    <w:rsid w:val="00D45A1C"/>
    <w:rsid w:val="00D45B42"/>
    <w:rsid w:val="00D54E1F"/>
    <w:rsid w:val="00D55A28"/>
    <w:rsid w:val="00D55C30"/>
    <w:rsid w:val="00D55DC2"/>
    <w:rsid w:val="00D63106"/>
    <w:rsid w:val="00D66CB3"/>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C5D4B"/>
    <w:rsid w:val="00DC6AE2"/>
    <w:rsid w:val="00DC7F64"/>
    <w:rsid w:val="00DD1DE4"/>
    <w:rsid w:val="00DD38D3"/>
    <w:rsid w:val="00DD4BB9"/>
    <w:rsid w:val="00DE24B1"/>
    <w:rsid w:val="00DE4338"/>
    <w:rsid w:val="00DE5013"/>
    <w:rsid w:val="00DF094A"/>
    <w:rsid w:val="00DF2DF7"/>
    <w:rsid w:val="00DF5409"/>
    <w:rsid w:val="00DF71C8"/>
    <w:rsid w:val="00DF7E05"/>
    <w:rsid w:val="00E020D3"/>
    <w:rsid w:val="00E036B5"/>
    <w:rsid w:val="00E03C0C"/>
    <w:rsid w:val="00E05EA5"/>
    <w:rsid w:val="00E0744A"/>
    <w:rsid w:val="00E12165"/>
    <w:rsid w:val="00E1337B"/>
    <w:rsid w:val="00E1594C"/>
    <w:rsid w:val="00E17783"/>
    <w:rsid w:val="00E20EE5"/>
    <w:rsid w:val="00E22F48"/>
    <w:rsid w:val="00E252C2"/>
    <w:rsid w:val="00E2578D"/>
    <w:rsid w:val="00E304D8"/>
    <w:rsid w:val="00E3259B"/>
    <w:rsid w:val="00E32E04"/>
    <w:rsid w:val="00E3682E"/>
    <w:rsid w:val="00E36D1F"/>
    <w:rsid w:val="00E37D29"/>
    <w:rsid w:val="00E40454"/>
    <w:rsid w:val="00E42994"/>
    <w:rsid w:val="00E43262"/>
    <w:rsid w:val="00E435BF"/>
    <w:rsid w:val="00E5613B"/>
    <w:rsid w:val="00E61138"/>
    <w:rsid w:val="00E61A4F"/>
    <w:rsid w:val="00E6244E"/>
    <w:rsid w:val="00E6542B"/>
    <w:rsid w:val="00E721EF"/>
    <w:rsid w:val="00E75BC1"/>
    <w:rsid w:val="00E80306"/>
    <w:rsid w:val="00E836C2"/>
    <w:rsid w:val="00E83EEB"/>
    <w:rsid w:val="00E86682"/>
    <w:rsid w:val="00E90C11"/>
    <w:rsid w:val="00E93050"/>
    <w:rsid w:val="00E96267"/>
    <w:rsid w:val="00EA1E54"/>
    <w:rsid w:val="00EA26E5"/>
    <w:rsid w:val="00EA4313"/>
    <w:rsid w:val="00EA4E4D"/>
    <w:rsid w:val="00EA64C2"/>
    <w:rsid w:val="00EB0D94"/>
    <w:rsid w:val="00EB0F3E"/>
    <w:rsid w:val="00EB6598"/>
    <w:rsid w:val="00EC2304"/>
    <w:rsid w:val="00EC6570"/>
    <w:rsid w:val="00EE034D"/>
    <w:rsid w:val="00EE101E"/>
    <w:rsid w:val="00EE1F5C"/>
    <w:rsid w:val="00EE7F6C"/>
    <w:rsid w:val="00EF28C8"/>
    <w:rsid w:val="00EF2B15"/>
    <w:rsid w:val="00EF62C6"/>
    <w:rsid w:val="00F001FE"/>
    <w:rsid w:val="00F008CC"/>
    <w:rsid w:val="00F01208"/>
    <w:rsid w:val="00F05855"/>
    <w:rsid w:val="00F05B45"/>
    <w:rsid w:val="00F06A3C"/>
    <w:rsid w:val="00F14642"/>
    <w:rsid w:val="00F15327"/>
    <w:rsid w:val="00F15645"/>
    <w:rsid w:val="00F15A96"/>
    <w:rsid w:val="00F16C2F"/>
    <w:rsid w:val="00F25879"/>
    <w:rsid w:val="00F27621"/>
    <w:rsid w:val="00F41D4C"/>
    <w:rsid w:val="00F4264C"/>
    <w:rsid w:val="00F46AA0"/>
    <w:rsid w:val="00F50826"/>
    <w:rsid w:val="00F52595"/>
    <w:rsid w:val="00F54783"/>
    <w:rsid w:val="00F547D3"/>
    <w:rsid w:val="00F54E65"/>
    <w:rsid w:val="00F56BC0"/>
    <w:rsid w:val="00F6168F"/>
    <w:rsid w:val="00F61DA5"/>
    <w:rsid w:val="00F62670"/>
    <w:rsid w:val="00F64BAF"/>
    <w:rsid w:val="00F6569B"/>
    <w:rsid w:val="00F702F0"/>
    <w:rsid w:val="00F73D81"/>
    <w:rsid w:val="00F73ECF"/>
    <w:rsid w:val="00F74603"/>
    <w:rsid w:val="00F83726"/>
    <w:rsid w:val="00F85D95"/>
    <w:rsid w:val="00FA5719"/>
    <w:rsid w:val="00FC03E3"/>
    <w:rsid w:val="00FC13E2"/>
    <w:rsid w:val="00FD2BCA"/>
    <w:rsid w:val="00FD6EAD"/>
    <w:rsid w:val="00FE3CF7"/>
    <w:rsid w:val="00FE5D62"/>
    <w:rsid w:val="00FE60F7"/>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80A25"/>
  <w15:docId w15:val="{7F25E272-2828-4C52-8642-3D93C1CC2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 w:type="character" w:customStyle="1" w:styleId="legaldocreference">
    <w:name w:val="legaldocreference"/>
    <w:basedOn w:val="DefaultParagraphFont"/>
    <w:rsid w:val="00AA5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351837560">
      <w:bodyDiv w:val="1"/>
      <w:marLeft w:val="0"/>
      <w:marRight w:val="0"/>
      <w:marTop w:val="0"/>
      <w:marBottom w:val="0"/>
      <w:divBdr>
        <w:top w:val="none" w:sz="0" w:space="0" w:color="auto"/>
        <w:left w:val="none" w:sz="0" w:space="0" w:color="auto"/>
        <w:bottom w:val="none" w:sz="0" w:space="0" w:color="auto"/>
        <w:right w:val="none" w:sz="0" w:space="0" w:color="auto"/>
      </w:divBdr>
      <w:divsChild>
        <w:div w:id="919488042">
          <w:marLeft w:val="0"/>
          <w:marRight w:val="0"/>
          <w:marTop w:val="0"/>
          <w:marBottom w:val="0"/>
          <w:divBdr>
            <w:top w:val="none" w:sz="0" w:space="0" w:color="auto"/>
            <w:left w:val="none" w:sz="0" w:space="0" w:color="auto"/>
            <w:bottom w:val="none" w:sz="0" w:space="0" w:color="auto"/>
            <w:right w:val="none" w:sz="0" w:space="0" w:color="auto"/>
          </w:divBdr>
        </w:div>
        <w:div w:id="1397896131">
          <w:marLeft w:val="0"/>
          <w:marRight w:val="0"/>
          <w:marTop w:val="0"/>
          <w:marBottom w:val="0"/>
          <w:divBdr>
            <w:top w:val="none" w:sz="0" w:space="0" w:color="auto"/>
            <w:left w:val="none" w:sz="0" w:space="0" w:color="auto"/>
            <w:bottom w:val="none" w:sz="0" w:space="0" w:color="auto"/>
            <w:right w:val="none" w:sz="0" w:space="0" w:color="auto"/>
          </w:divBdr>
        </w:div>
        <w:div w:id="1762023496">
          <w:marLeft w:val="0"/>
          <w:marRight w:val="0"/>
          <w:marTop w:val="0"/>
          <w:marBottom w:val="0"/>
          <w:divBdr>
            <w:top w:val="none" w:sz="0" w:space="0" w:color="auto"/>
            <w:left w:val="none" w:sz="0" w:space="0" w:color="auto"/>
            <w:bottom w:val="none" w:sz="0" w:space="0" w:color="auto"/>
            <w:right w:val="none" w:sz="0" w:space="0" w:color="auto"/>
          </w:divBdr>
        </w:div>
        <w:div w:id="1779256682">
          <w:marLeft w:val="0"/>
          <w:marRight w:val="0"/>
          <w:marTop w:val="0"/>
          <w:marBottom w:val="0"/>
          <w:divBdr>
            <w:top w:val="none" w:sz="0" w:space="0" w:color="auto"/>
            <w:left w:val="none" w:sz="0" w:space="0" w:color="auto"/>
            <w:bottom w:val="none" w:sz="0" w:space="0" w:color="auto"/>
            <w:right w:val="none" w:sz="0" w:space="0" w:color="auto"/>
          </w:divBdr>
        </w:div>
        <w:div w:id="2080401100">
          <w:marLeft w:val="0"/>
          <w:marRight w:val="0"/>
          <w:marTop w:val="0"/>
          <w:marBottom w:val="0"/>
          <w:divBdr>
            <w:top w:val="none" w:sz="0" w:space="0" w:color="auto"/>
            <w:left w:val="none" w:sz="0" w:space="0" w:color="auto"/>
            <w:bottom w:val="none" w:sz="0" w:space="0" w:color="auto"/>
            <w:right w:val="none" w:sz="0" w:space="0" w:color="auto"/>
          </w:divBdr>
        </w:div>
      </w:divsChild>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B761-351C-49FC-AB9F-2D6BCEA48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5369</Words>
  <Characters>30607</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Administrator</cp:lastModifiedBy>
  <cp:revision>12</cp:revision>
  <cp:lastPrinted>2022-07-12T14:57:00Z</cp:lastPrinted>
  <dcterms:created xsi:type="dcterms:W3CDTF">2023-01-18T12:10:00Z</dcterms:created>
  <dcterms:modified xsi:type="dcterms:W3CDTF">2023-02-01T09:42:00Z</dcterms:modified>
</cp:coreProperties>
</file>