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A7A54A" w14:textId="77777777" w:rsidR="00DD4BB9" w:rsidRPr="00226619" w:rsidRDefault="00DD4BB9" w:rsidP="007F4E6D">
      <w:pPr>
        <w:tabs>
          <w:tab w:val="center" w:pos="4536"/>
          <w:tab w:val="right" w:pos="9072"/>
        </w:tabs>
        <w:spacing w:after="0" w:line="240" w:lineRule="auto"/>
        <w:jc w:val="right"/>
        <w:rPr>
          <w:rFonts w:ascii="Calibri" w:eastAsia="Calibri" w:hAnsi="Calibri" w:cs="Times New Roman"/>
          <w:b/>
          <w:i/>
          <w:lang w:val="en-US"/>
        </w:rPr>
      </w:pPr>
      <w:bookmarkStart w:id="0" w:name="_GoBack"/>
      <w:bookmarkEnd w:id="0"/>
    </w:p>
    <w:p w14:paraId="597CC1A7" w14:textId="77777777" w:rsidR="00A56608" w:rsidRDefault="00A56608" w:rsidP="007F4E6D">
      <w:pPr>
        <w:tabs>
          <w:tab w:val="center" w:pos="4536"/>
          <w:tab w:val="right" w:pos="9072"/>
        </w:tabs>
        <w:spacing w:after="0" w:line="240" w:lineRule="auto"/>
        <w:jc w:val="right"/>
        <w:rPr>
          <w:rFonts w:ascii="Calibri" w:eastAsia="Calibri" w:hAnsi="Calibri" w:cs="Times New Roman"/>
          <w:b/>
          <w:i/>
        </w:rPr>
      </w:pPr>
    </w:p>
    <w:p w14:paraId="221DFF3C" w14:textId="77777777" w:rsidR="00C1144B" w:rsidRPr="005B33FE" w:rsidRDefault="00350080" w:rsidP="007F4E6D">
      <w:pPr>
        <w:tabs>
          <w:tab w:val="center" w:pos="4536"/>
          <w:tab w:val="right" w:pos="9072"/>
        </w:tabs>
        <w:spacing w:after="0" w:line="240" w:lineRule="auto"/>
        <w:jc w:val="right"/>
        <w:rPr>
          <w:rFonts w:ascii="Calibri" w:eastAsia="Calibri" w:hAnsi="Calibri" w:cs="Times New Roman"/>
          <w:b/>
          <w:i/>
        </w:rPr>
      </w:pPr>
      <w:r w:rsidRPr="00CE2905">
        <w:rPr>
          <w:rFonts w:ascii="Calibri" w:eastAsia="Calibri" w:hAnsi="Calibri" w:cs="Times New Roman"/>
          <w:b/>
          <w:i/>
        </w:rPr>
        <w:t>Приложе</w:t>
      </w:r>
      <w:r w:rsidRPr="00CB4FB5">
        <w:rPr>
          <w:rFonts w:ascii="Calibri" w:eastAsia="Calibri" w:hAnsi="Calibri" w:cs="Times New Roman"/>
          <w:b/>
          <w:i/>
        </w:rPr>
        <w:t xml:space="preserve">ние </w:t>
      </w:r>
      <w:r w:rsidR="000C1AF1" w:rsidRPr="00CB4FB5">
        <w:rPr>
          <w:rFonts w:ascii="Calibri" w:eastAsia="Calibri" w:hAnsi="Calibri" w:cs="Times New Roman"/>
          <w:b/>
          <w:i/>
        </w:rPr>
        <w:t>12</w:t>
      </w:r>
    </w:p>
    <w:p w14:paraId="73D552EC" w14:textId="77777777" w:rsidR="00045584" w:rsidRDefault="00045584" w:rsidP="00C1144B">
      <w:pPr>
        <w:spacing w:after="0" w:line="240" w:lineRule="auto"/>
        <w:rPr>
          <w:rFonts w:eastAsia="Times New Roman" w:cstheme="minorHAnsi"/>
          <w:b/>
          <w:snapToGrid w:val="0"/>
          <w:kern w:val="28"/>
          <w:sz w:val="24"/>
          <w:szCs w:val="24"/>
        </w:rPr>
      </w:pPr>
    </w:p>
    <w:p w14:paraId="59DB156E" w14:textId="77777777" w:rsidR="00A56608" w:rsidRDefault="00A56608" w:rsidP="00C1144B">
      <w:pPr>
        <w:spacing w:after="0" w:line="240" w:lineRule="auto"/>
        <w:rPr>
          <w:rFonts w:eastAsia="Times New Roman" w:cstheme="minorHAnsi"/>
          <w:b/>
          <w:snapToGrid w:val="0"/>
          <w:kern w:val="28"/>
          <w:sz w:val="24"/>
          <w:szCs w:val="24"/>
        </w:rPr>
      </w:pPr>
    </w:p>
    <w:p w14:paraId="44D1F3CE" w14:textId="77777777" w:rsidR="00C1144B" w:rsidRPr="008E4D35" w:rsidRDefault="007F4E6D" w:rsidP="00C1144B">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 </w:t>
      </w:r>
      <w:r w:rsidR="00C1144B" w:rsidRPr="008E4D35">
        <w:rPr>
          <w:rFonts w:eastAsia="Times New Roman" w:cstheme="minorHAnsi"/>
          <w:b/>
          <w:snapToGrid w:val="0"/>
          <w:kern w:val="28"/>
          <w:sz w:val="24"/>
          <w:szCs w:val="24"/>
        </w:rPr>
        <w:t>ИЗПОЛЗВАНИ СЪКРАЩЕНИЯ</w:t>
      </w:r>
      <w:r w:rsidR="001B13CE">
        <w:rPr>
          <w:rFonts w:eastAsia="Times New Roman" w:cstheme="minorHAnsi"/>
          <w:b/>
          <w:snapToGrid w:val="0"/>
          <w:kern w:val="28"/>
          <w:sz w:val="24"/>
          <w:szCs w:val="24"/>
        </w:rPr>
        <w:t>:</w:t>
      </w:r>
    </w:p>
    <w:p w14:paraId="4582ED51" w14:textId="77777777" w:rsidR="00C1144B" w:rsidRPr="008E4D35" w:rsidRDefault="00C1144B" w:rsidP="00C1144B">
      <w:pPr>
        <w:spacing w:after="0" w:line="240" w:lineRule="auto"/>
        <w:rPr>
          <w:rFonts w:eastAsia="Times New Roman" w:cstheme="minorHAnsi"/>
          <w:b/>
          <w:snapToGrid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C1144B" w:rsidRPr="008E4D35" w14:paraId="3909A04D" w14:textId="77777777" w:rsidTr="00DD4BB9">
        <w:tc>
          <w:tcPr>
            <w:tcW w:w="1124" w:type="pct"/>
            <w:shd w:val="clear" w:color="auto" w:fill="D9D9D9"/>
          </w:tcPr>
          <w:p w14:paraId="4AD72134" w14:textId="77777777" w:rsidR="00C1144B" w:rsidRPr="008E4D35" w:rsidRDefault="007D08E6"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АПК</w:t>
            </w:r>
          </w:p>
        </w:tc>
        <w:tc>
          <w:tcPr>
            <w:tcW w:w="3876" w:type="pct"/>
            <w:shd w:val="clear" w:color="auto" w:fill="F2F2F2" w:themeFill="background1" w:themeFillShade="F2"/>
          </w:tcPr>
          <w:p w14:paraId="3A21AD7E" w14:textId="77777777" w:rsidR="00C1144B" w:rsidRPr="002F4983" w:rsidRDefault="007D08E6" w:rsidP="007D08E6">
            <w:pPr>
              <w:spacing w:after="0" w:line="240" w:lineRule="auto"/>
              <w:ind w:left="288" w:right="288"/>
              <w:jc w:val="both"/>
              <w:rPr>
                <w:rFonts w:eastAsia="Times New Roman" w:cstheme="minorHAnsi"/>
                <w:b/>
                <w:snapToGrid w:val="0"/>
                <w:sz w:val="24"/>
                <w:szCs w:val="24"/>
              </w:rPr>
            </w:pPr>
            <w:r w:rsidRPr="007D08E6">
              <w:rPr>
                <w:rFonts w:eastAsia="Times New Roman" w:cstheme="minorHAnsi"/>
                <w:b/>
                <w:snapToGrid w:val="0"/>
                <w:sz w:val="24"/>
                <w:szCs w:val="24"/>
              </w:rPr>
              <w:t>Административнопроцесуал</w:t>
            </w:r>
            <w:r>
              <w:rPr>
                <w:rFonts w:eastAsia="Times New Roman" w:cstheme="minorHAnsi"/>
                <w:b/>
                <w:snapToGrid w:val="0"/>
                <w:sz w:val="24"/>
                <w:szCs w:val="24"/>
              </w:rPr>
              <w:t>е</w:t>
            </w:r>
            <w:r w:rsidRPr="007D08E6">
              <w:rPr>
                <w:rFonts w:eastAsia="Times New Roman" w:cstheme="minorHAnsi"/>
                <w:b/>
                <w:snapToGrid w:val="0"/>
                <w:sz w:val="24"/>
                <w:szCs w:val="24"/>
              </w:rPr>
              <w:t>н кодекс</w:t>
            </w:r>
          </w:p>
        </w:tc>
      </w:tr>
      <w:tr w:rsidR="007D08E6" w:rsidRPr="008E4D35" w14:paraId="4B5FAA4C" w14:textId="77777777" w:rsidTr="00DD4BB9">
        <w:tc>
          <w:tcPr>
            <w:tcW w:w="1124" w:type="pct"/>
            <w:shd w:val="clear" w:color="auto" w:fill="D9D9D9"/>
          </w:tcPr>
          <w:p w14:paraId="41578888" w14:textId="77777777" w:rsidR="007D08E6" w:rsidRPr="008E4D35" w:rsidRDefault="007D08E6" w:rsidP="007D08E6">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ВЕИ</w:t>
            </w:r>
          </w:p>
        </w:tc>
        <w:tc>
          <w:tcPr>
            <w:tcW w:w="3876" w:type="pct"/>
            <w:shd w:val="clear" w:color="auto" w:fill="F2F2F2" w:themeFill="background1" w:themeFillShade="F2"/>
          </w:tcPr>
          <w:p w14:paraId="561DAC16"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Pr>
                <w:rFonts w:eastAsia="Times New Roman" w:cstheme="minorHAnsi"/>
                <w:b/>
                <w:snapToGrid w:val="0"/>
                <w:sz w:val="24"/>
                <w:szCs w:val="24"/>
              </w:rPr>
              <w:t>В</w:t>
            </w:r>
            <w:r w:rsidRPr="00087D44">
              <w:rPr>
                <w:rFonts w:eastAsia="Times New Roman" w:cstheme="minorHAnsi"/>
                <w:b/>
                <w:snapToGrid w:val="0"/>
                <w:sz w:val="24"/>
                <w:szCs w:val="24"/>
              </w:rPr>
              <w:t>ъзобновяеми енергийни източници</w:t>
            </w:r>
          </w:p>
        </w:tc>
      </w:tr>
      <w:tr w:rsidR="007D08E6" w:rsidRPr="008E4D35" w14:paraId="58B833AC" w14:textId="77777777" w:rsidTr="00DD4BB9">
        <w:tc>
          <w:tcPr>
            <w:tcW w:w="1124" w:type="pct"/>
            <w:shd w:val="clear" w:color="auto" w:fill="D9D9D9"/>
          </w:tcPr>
          <w:p w14:paraId="30150B70"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ДДС</w:t>
            </w:r>
          </w:p>
        </w:tc>
        <w:tc>
          <w:tcPr>
            <w:tcW w:w="3876" w:type="pct"/>
            <w:shd w:val="clear" w:color="auto" w:fill="F2F2F2" w:themeFill="background1" w:themeFillShade="F2"/>
          </w:tcPr>
          <w:p w14:paraId="32649BC2"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Данък добавена стойност</w:t>
            </w:r>
          </w:p>
        </w:tc>
      </w:tr>
      <w:tr w:rsidR="007D08E6" w:rsidRPr="008E4D35" w14:paraId="5F78B780" w14:textId="77777777" w:rsidTr="00DD4BB9">
        <w:tc>
          <w:tcPr>
            <w:tcW w:w="1124" w:type="pct"/>
            <w:shd w:val="clear" w:color="auto" w:fill="D9D9D9"/>
          </w:tcPr>
          <w:p w14:paraId="2DA3314A"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ДОПК</w:t>
            </w:r>
          </w:p>
        </w:tc>
        <w:tc>
          <w:tcPr>
            <w:tcW w:w="3876" w:type="pct"/>
            <w:shd w:val="clear" w:color="auto" w:fill="F2F2F2" w:themeFill="background1" w:themeFillShade="F2"/>
          </w:tcPr>
          <w:p w14:paraId="68A6BB9F" w14:textId="77777777" w:rsidR="007D08E6" w:rsidRPr="002F4983" w:rsidRDefault="007D08E6" w:rsidP="007D08E6">
            <w:pPr>
              <w:spacing w:after="0" w:line="240" w:lineRule="auto"/>
              <w:ind w:left="289" w:right="289"/>
              <w:jc w:val="both"/>
              <w:rPr>
                <w:rFonts w:eastAsia="Times New Roman" w:cstheme="minorHAnsi"/>
                <w:b/>
                <w:snapToGrid w:val="0"/>
                <w:sz w:val="24"/>
                <w:szCs w:val="24"/>
              </w:rPr>
            </w:pPr>
            <w:r w:rsidRPr="002F4983">
              <w:rPr>
                <w:rFonts w:eastAsia="Times New Roman" w:cstheme="minorHAnsi"/>
                <w:b/>
                <w:snapToGrid w:val="0"/>
                <w:sz w:val="24"/>
                <w:szCs w:val="24"/>
              </w:rPr>
              <w:t>Данъчно-осигурител</w:t>
            </w:r>
            <w:r w:rsidRPr="002F4983">
              <w:rPr>
                <w:rFonts w:eastAsia="Times New Roman" w:cstheme="minorHAnsi"/>
                <w:b/>
                <w:snapToGrid w:val="0"/>
                <w:sz w:val="24"/>
                <w:szCs w:val="24"/>
                <w:lang w:val="en-US"/>
              </w:rPr>
              <w:t>e</w:t>
            </w:r>
            <w:r w:rsidRPr="002F4983">
              <w:rPr>
                <w:rFonts w:eastAsia="Times New Roman" w:cstheme="minorHAnsi"/>
                <w:b/>
                <w:snapToGrid w:val="0"/>
                <w:sz w:val="24"/>
                <w:szCs w:val="24"/>
              </w:rPr>
              <w:t>н процесуален кодекс</w:t>
            </w:r>
          </w:p>
        </w:tc>
      </w:tr>
      <w:tr w:rsidR="007D08E6" w:rsidRPr="008E4D35" w14:paraId="58D31366" w14:textId="77777777" w:rsidTr="00DD4BB9">
        <w:tc>
          <w:tcPr>
            <w:tcW w:w="1124" w:type="pct"/>
            <w:shd w:val="clear" w:color="auto" w:fill="D9D9D9"/>
          </w:tcPr>
          <w:p w14:paraId="35248331"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ЕК</w:t>
            </w:r>
          </w:p>
        </w:tc>
        <w:tc>
          <w:tcPr>
            <w:tcW w:w="3876" w:type="pct"/>
            <w:shd w:val="clear" w:color="auto" w:fill="F2F2F2" w:themeFill="background1" w:themeFillShade="F2"/>
          </w:tcPr>
          <w:p w14:paraId="54C9B289"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Европейска комисия</w:t>
            </w:r>
          </w:p>
        </w:tc>
      </w:tr>
      <w:tr w:rsidR="007D08E6" w:rsidRPr="008E4D35" w14:paraId="2BF2EABC" w14:textId="77777777" w:rsidTr="00DD4BB9">
        <w:tc>
          <w:tcPr>
            <w:tcW w:w="1124" w:type="pct"/>
            <w:shd w:val="clear" w:color="auto" w:fill="D9D9D9"/>
          </w:tcPr>
          <w:p w14:paraId="349C23E5"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ЕО</w:t>
            </w:r>
          </w:p>
        </w:tc>
        <w:tc>
          <w:tcPr>
            <w:tcW w:w="3876" w:type="pct"/>
            <w:shd w:val="clear" w:color="auto" w:fill="F2F2F2" w:themeFill="background1" w:themeFillShade="F2"/>
          </w:tcPr>
          <w:p w14:paraId="6519DAFC"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Европейска общност</w:t>
            </w:r>
          </w:p>
        </w:tc>
      </w:tr>
      <w:tr w:rsidR="007D08E6" w:rsidRPr="008E4D35" w14:paraId="2A57FA8C" w14:textId="77777777" w:rsidTr="00DD4BB9">
        <w:tc>
          <w:tcPr>
            <w:tcW w:w="1124" w:type="pct"/>
            <w:shd w:val="clear" w:color="auto" w:fill="D9D9D9"/>
          </w:tcPr>
          <w:p w14:paraId="21240B6F"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w:t>
            </w:r>
          </w:p>
        </w:tc>
        <w:tc>
          <w:tcPr>
            <w:tcW w:w="3876" w:type="pct"/>
            <w:shd w:val="clear" w:color="auto" w:fill="F2F2F2" w:themeFill="background1" w:themeFillShade="F2"/>
          </w:tcPr>
          <w:p w14:paraId="7ED772B1"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Европейски съюз</w:t>
            </w:r>
          </w:p>
        </w:tc>
      </w:tr>
      <w:tr w:rsidR="007D08E6" w:rsidRPr="008E4D35" w14:paraId="4C551B2E" w14:textId="77777777" w:rsidTr="00DD4BB9">
        <w:tc>
          <w:tcPr>
            <w:tcW w:w="1124" w:type="pct"/>
            <w:shd w:val="clear" w:color="auto" w:fill="D9D9D9"/>
          </w:tcPr>
          <w:p w14:paraId="0C338549" w14:textId="77777777" w:rsidR="007D08E6" w:rsidRPr="008E4D35" w:rsidRDefault="007D08E6" w:rsidP="007D08E6">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ЗБР</w:t>
            </w:r>
          </w:p>
        </w:tc>
        <w:tc>
          <w:tcPr>
            <w:tcW w:w="3876" w:type="pct"/>
            <w:shd w:val="clear" w:color="auto" w:fill="F2F2F2" w:themeFill="background1" w:themeFillShade="F2"/>
          </w:tcPr>
          <w:p w14:paraId="2F8CEC61"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Pr>
                <w:rFonts w:eastAsia="Times New Roman" w:cstheme="minorHAnsi"/>
                <w:b/>
                <w:snapToGrid w:val="0"/>
                <w:sz w:val="24"/>
                <w:szCs w:val="24"/>
              </w:rPr>
              <w:t>Закон</w:t>
            </w:r>
            <w:r w:rsidRPr="00E43ADE">
              <w:rPr>
                <w:rFonts w:eastAsia="Times New Roman" w:cstheme="minorHAnsi"/>
                <w:b/>
                <w:snapToGrid w:val="0"/>
                <w:sz w:val="24"/>
                <w:szCs w:val="24"/>
              </w:rPr>
              <w:t xml:space="preserve"> за биологичното разнообразие</w:t>
            </w:r>
          </w:p>
        </w:tc>
      </w:tr>
      <w:tr w:rsidR="007D08E6" w:rsidRPr="008E4D35" w14:paraId="361A2C86" w14:textId="77777777" w:rsidTr="00DD4BB9">
        <w:tc>
          <w:tcPr>
            <w:tcW w:w="1124" w:type="pct"/>
            <w:shd w:val="clear" w:color="auto" w:fill="D9D9D9"/>
          </w:tcPr>
          <w:p w14:paraId="78009AA9" w14:textId="77777777" w:rsidR="007D08E6" w:rsidRPr="008E4D35" w:rsidRDefault="007D08E6" w:rsidP="007D08E6">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ЗЕ</w:t>
            </w:r>
          </w:p>
        </w:tc>
        <w:tc>
          <w:tcPr>
            <w:tcW w:w="3876" w:type="pct"/>
            <w:shd w:val="clear" w:color="auto" w:fill="F2F2F2" w:themeFill="background1" w:themeFillShade="F2"/>
          </w:tcPr>
          <w:p w14:paraId="4A3A3543"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Pr>
                <w:rFonts w:eastAsia="Times New Roman" w:cstheme="minorHAnsi"/>
                <w:b/>
                <w:snapToGrid w:val="0"/>
                <w:sz w:val="24"/>
                <w:szCs w:val="24"/>
              </w:rPr>
              <w:t>Закон</w:t>
            </w:r>
            <w:r w:rsidRPr="004271F5">
              <w:rPr>
                <w:rFonts w:eastAsia="Times New Roman" w:cstheme="minorHAnsi"/>
                <w:b/>
                <w:snapToGrid w:val="0"/>
                <w:sz w:val="24"/>
                <w:szCs w:val="24"/>
              </w:rPr>
              <w:t xml:space="preserve"> за енергетиката</w:t>
            </w:r>
          </w:p>
        </w:tc>
      </w:tr>
      <w:tr w:rsidR="007D08E6" w:rsidRPr="008E4D35" w14:paraId="61DC995E" w14:textId="77777777" w:rsidTr="00DD4BB9">
        <w:tc>
          <w:tcPr>
            <w:tcW w:w="1124" w:type="pct"/>
            <w:shd w:val="clear" w:color="auto" w:fill="D9D9D9"/>
          </w:tcPr>
          <w:p w14:paraId="252ADAB6"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4271F5">
              <w:rPr>
                <w:rFonts w:eastAsia="Times New Roman" w:cstheme="minorHAnsi"/>
                <w:b/>
                <w:snapToGrid w:val="0"/>
                <w:sz w:val="24"/>
                <w:szCs w:val="24"/>
              </w:rPr>
              <w:t>ЗЕВИ</w:t>
            </w:r>
          </w:p>
        </w:tc>
        <w:tc>
          <w:tcPr>
            <w:tcW w:w="3876" w:type="pct"/>
            <w:shd w:val="clear" w:color="auto" w:fill="F2F2F2" w:themeFill="background1" w:themeFillShade="F2"/>
          </w:tcPr>
          <w:p w14:paraId="78153D46"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Pr>
                <w:rFonts w:eastAsia="Times New Roman" w:cstheme="minorHAnsi"/>
                <w:b/>
                <w:snapToGrid w:val="0"/>
                <w:sz w:val="24"/>
                <w:szCs w:val="24"/>
              </w:rPr>
              <w:t>Закон</w:t>
            </w:r>
            <w:r w:rsidRPr="004271F5">
              <w:rPr>
                <w:rFonts w:eastAsia="Times New Roman" w:cstheme="minorHAnsi"/>
                <w:b/>
                <w:snapToGrid w:val="0"/>
                <w:sz w:val="24"/>
                <w:szCs w:val="24"/>
              </w:rPr>
              <w:t xml:space="preserve"> за енерг</w:t>
            </w:r>
            <w:r>
              <w:rPr>
                <w:rFonts w:eastAsia="Times New Roman" w:cstheme="minorHAnsi"/>
                <w:b/>
                <w:snapToGrid w:val="0"/>
                <w:sz w:val="24"/>
                <w:szCs w:val="24"/>
              </w:rPr>
              <w:t>ията от възобновяеми източници</w:t>
            </w:r>
          </w:p>
        </w:tc>
      </w:tr>
      <w:tr w:rsidR="007D08E6" w:rsidRPr="008E4D35" w14:paraId="25FA6CA8" w14:textId="77777777" w:rsidTr="00DD4BB9">
        <w:tc>
          <w:tcPr>
            <w:tcW w:w="1124" w:type="pct"/>
            <w:shd w:val="clear" w:color="auto" w:fill="D9D9D9"/>
          </w:tcPr>
          <w:p w14:paraId="66F49D90" w14:textId="77777777" w:rsidR="007D08E6" w:rsidRPr="004271F5" w:rsidRDefault="007D08E6" w:rsidP="007D08E6">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lang w:val="en-US"/>
              </w:rPr>
              <w:t>ЗЕЕ</w:t>
            </w:r>
          </w:p>
        </w:tc>
        <w:tc>
          <w:tcPr>
            <w:tcW w:w="3876" w:type="pct"/>
            <w:shd w:val="clear" w:color="auto" w:fill="F2F2F2" w:themeFill="background1" w:themeFillShade="F2"/>
          </w:tcPr>
          <w:p w14:paraId="514D852A"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4271F5">
              <w:rPr>
                <w:rFonts w:eastAsia="Times New Roman" w:cstheme="minorHAnsi"/>
                <w:b/>
                <w:snapToGrid w:val="0"/>
                <w:sz w:val="24"/>
                <w:szCs w:val="24"/>
              </w:rPr>
              <w:t>Закон за енергийната ефективност</w:t>
            </w:r>
          </w:p>
        </w:tc>
      </w:tr>
      <w:tr w:rsidR="007D08E6" w:rsidRPr="008E4D35" w14:paraId="2360988B" w14:textId="77777777" w:rsidTr="00DD4BB9">
        <w:tc>
          <w:tcPr>
            <w:tcW w:w="1124" w:type="pct"/>
            <w:shd w:val="clear" w:color="auto" w:fill="D9D9D9"/>
          </w:tcPr>
          <w:p w14:paraId="13273F0D"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ЗМСП</w:t>
            </w:r>
          </w:p>
        </w:tc>
        <w:tc>
          <w:tcPr>
            <w:tcW w:w="3876" w:type="pct"/>
            <w:shd w:val="clear" w:color="auto" w:fill="F2F2F2" w:themeFill="background1" w:themeFillShade="F2"/>
          </w:tcPr>
          <w:p w14:paraId="63AA9D47"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Закон за малките и средните предприятия</w:t>
            </w:r>
          </w:p>
        </w:tc>
      </w:tr>
      <w:tr w:rsidR="007D08E6" w:rsidRPr="008E4D35" w14:paraId="14034D3A" w14:textId="77777777" w:rsidTr="00DD4BB9">
        <w:tc>
          <w:tcPr>
            <w:tcW w:w="1124" w:type="pct"/>
            <w:shd w:val="clear" w:color="auto" w:fill="D9D9D9"/>
          </w:tcPr>
          <w:p w14:paraId="4BC8C79D" w14:textId="77777777" w:rsidR="007D08E6" w:rsidRPr="008E4D35" w:rsidRDefault="007D08E6" w:rsidP="007D08E6">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ЗООС</w:t>
            </w:r>
          </w:p>
        </w:tc>
        <w:tc>
          <w:tcPr>
            <w:tcW w:w="3876" w:type="pct"/>
            <w:shd w:val="clear" w:color="auto" w:fill="F2F2F2" w:themeFill="background1" w:themeFillShade="F2"/>
          </w:tcPr>
          <w:p w14:paraId="709EB7EF"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Pr>
                <w:rFonts w:eastAsia="Times New Roman" w:cstheme="minorHAnsi"/>
                <w:b/>
                <w:snapToGrid w:val="0"/>
                <w:sz w:val="24"/>
                <w:szCs w:val="24"/>
              </w:rPr>
              <w:t>Закон</w:t>
            </w:r>
            <w:r w:rsidRPr="00E43ADE">
              <w:rPr>
                <w:rFonts w:eastAsia="Times New Roman" w:cstheme="minorHAnsi"/>
                <w:b/>
                <w:snapToGrid w:val="0"/>
                <w:sz w:val="24"/>
                <w:szCs w:val="24"/>
              </w:rPr>
              <w:t xml:space="preserve"> за опазване на околната среда</w:t>
            </w:r>
          </w:p>
        </w:tc>
      </w:tr>
      <w:tr w:rsidR="007D08E6" w:rsidRPr="008E4D35" w14:paraId="6E739CDF" w14:textId="77777777" w:rsidTr="00DD4BB9">
        <w:tc>
          <w:tcPr>
            <w:tcW w:w="1124" w:type="pct"/>
            <w:shd w:val="clear" w:color="auto" w:fill="D9D9D9"/>
          </w:tcPr>
          <w:p w14:paraId="5DB67838"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ЗОП</w:t>
            </w:r>
          </w:p>
        </w:tc>
        <w:tc>
          <w:tcPr>
            <w:tcW w:w="3876" w:type="pct"/>
            <w:shd w:val="clear" w:color="auto" w:fill="F2F2F2" w:themeFill="background1" w:themeFillShade="F2"/>
          </w:tcPr>
          <w:p w14:paraId="3C2EE77E"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Закон за обществените поръчки</w:t>
            </w:r>
          </w:p>
        </w:tc>
      </w:tr>
      <w:tr w:rsidR="007D08E6" w:rsidRPr="008E4D35" w14:paraId="5B406A4E" w14:textId="77777777" w:rsidTr="00DD4BB9">
        <w:tc>
          <w:tcPr>
            <w:tcW w:w="1124" w:type="pct"/>
            <w:shd w:val="clear" w:color="auto" w:fill="D9D9D9"/>
          </w:tcPr>
          <w:p w14:paraId="6455F784"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ЗТР</w:t>
            </w:r>
            <w:r>
              <w:rPr>
                <w:rFonts w:eastAsia="Times New Roman" w:cstheme="minorHAnsi"/>
                <w:b/>
                <w:snapToGrid w:val="0"/>
                <w:sz w:val="24"/>
                <w:szCs w:val="24"/>
              </w:rPr>
              <w:t>РЮЛНЦ</w:t>
            </w:r>
          </w:p>
        </w:tc>
        <w:tc>
          <w:tcPr>
            <w:tcW w:w="3876" w:type="pct"/>
            <w:shd w:val="clear" w:color="auto" w:fill="F2F2F2" w:themeFill="background1" w:themeFillShade="F2"/>
          </w:tcPr>
          <w:p w14:paraId="5105815B"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Закон за търговския регистър и регистъра на юридическите лица с нестопанска цел</w:t>
            </w:r>
          </w:p>
        </w:tc>
      </w:tr>
      <w:tr w:rsidR="007D08E6" w:rsidRPr="008E4D35" w14:paraId="17854980" w14:textId="77777777" w:rsidTr="00DD4BB9">
        <w:tc>
          <w:tcPr>
            <w:tcW w:w="1124" w:type="pct"/>
            <w:shd w:val="clear" w:color="auto" w:fill="D9D9D9"/>
          </w:tcPr>
          <w:p w14:paraId="513B21E7" w14:textId="77777777" w:rsidR="007D08E6" w:rsidRPr="008E4D35" w:rsidRDefault="007D08E6" w:rsidP="007D08E6">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ЗУТ</w:t>
            </w:r>
          </w:p>
        </w:tc>
        <w:tc>
          <w:tcPr>
            <w:tcW w:w="3876" w:type="pct"/>
            <w:shd w:val="clear" w:color="auto" w:fill="F2F2F2" w:themeFill="background1" w:themeFillShade="F2"/>
          </w:tcPr>
          <w:p w14:paraId="64908683"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Pr>
                <w:rFonts w:eastAsia="Times New Roman" w:cstheme="minorHAnsi"/>
                <w:b/>
                <w:snapToGrid w:val="0"/>
                <w:sz w:val="24"/>
                <w:szCs w:val="24"/>
              </w:rPr>
              <w:t>Закон</w:t>
            </w:r>
            <w:r w:rsidRPr="004271F5">
              <w:rPr>
                <w:rFonts w:eastAsia="Times New Roman" w:cstheme="minorHAnsi"/>
                <w:b/>
                <w:snapToGrid w:val="0"/>
                <w:sz w:val="24"/>
                <w:szCs w:val="24"/>
              </w:rPr>
              <w:t xml:space="preserve"> за устройство на територията</w:t>
            </w:r>
          </w:p>
        </w:tc>
      </w:tr>
      <w:tr w:rsidR="007D08E6" w:rsidRPr="008E4D35" w14:paraId="2565119C" w14:textId="77777777" w:rsidTr="00DD4BB9">
        <w:tc>
          <w:tcPr>
            <w:tcW w:w="1124" w:type="pct"/>
            <w:shd w:val="clear" w:color="auto" w:fill="D9D9D9"/>
          </w:tcPr>
          <w:p w14:paraId="6F617B47" w14:textId="77777777" w:rsidR="007D08E6" w:rsidRPr="00034209" w:rsidRDefault="007D08E6" w:rsidP="007D08E6">
            <w:pPr>
              <w:spacing w:after="0" w:line="240" w:lineRule="auto"/>
              <w:ind w:left="288" w:right="288"/>
              <w:rPr>
                <w:rFonts w:eastAsia="Times New Roman" w:cstheme="minorHAnsi"/>
                <w:b/>
                <w:snapToGrid w:val="0"/>
                <w:sz w:val="24"/>
                <w:szCs w:val="24"/>
              </w:rPr>
            </w:pPr>
            <w:r w:rsidRPr="00034209">
              <w:rPr>
                <w:rFonts w:eastAsia="Times New Roman" w:cstheme="minorHAnsi"/>
                <w:b/>
                <w:snapToGrid w:val="0"/>
                <w:sz w:val="24"/>
                <w:szCs w:val="24"/>
              </w:rPr>
              <w:t>ИСМ</w:t>
            </w:r>
          </w:p>
        </w:tc>
        <w:tc>
          <w:tcPr>
            <w:tcW w:w="3876" w:type="pct"/>
            <w:shd w:val="clear" w:color="auto" w:fill="F2F2F2" w:themeFill="background1" w:themeFillShade="F2"/>
          </w:tcPr>
          <w:p w14:paraId="09C35373"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Информационна система за Механизма – ИСУН 2020, раздел НПВУ</w:t>
            </w:r>
          </w:p>
        </w:tc>
      </w:tr>
      <w:tr w:rsidR="007D08E6" w:rsidRPr="008E4D35" w14:paraId="21A1064D" w14:textId="77777777" w:rsidTr="00DD4BB9">
        <w:tc>
          <w:tcPr>
            <w:tcW w:w="1124" w:type="pct"/>
            <w:shd w:val="clear" w:color="auto" w:fill="D9D9D9"/>
          </w:tcPr>
          <w:p w14:paraId="3161554E" w14:textId="77777777" w:rsidR="007D08E6" w:rsidRPr="00034209" w:rsidRDefault="007D08E6" w:rsidP="007D08E6">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ИСУН 2020</w:t>
            </w:r>
          </w:p>
        </w:tc>
        <w:tc>
          <w:tcPr>
            <w:tcW w:w="3876" w:type="pct"/>
            <w:shd w:val="clear" w:color="auto" w:fill="F2F2F2" w:themeFill="background1" w:themeFillShade="F2"/>
          </w:tcPr>
          <w:p w14:paraId="7E125DAF"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Информационна система за управление и наблюдение на средствата от ЕС в България 2020</w:t>
            </w:r>
          </w:p>
        </w:tc>
      </w:tr>
      <w:tr w:rsidR="007D08E6" w:rsidRPr="008E4D35" w14:paraId="5E124ECC" w14:textId="77777777" w:rsidTr="00DD4BB9">
        <w:tc>
          <w:tcPr>
            <w:tcW w:w="1124" w:type="pct"/>
            <w:shd w:val="clear" w:color="auto" w:fill="D9D9D9"/>
          </w:tcPr>
          <w:p w14:paraId="397B7809"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КЕП</w:t>
            </w:r>
          </w:p>
        </w:tc>
        <w:tc>
          <w:tcPr>
            <w:tcW w:w="3876" w:type="pct"/>
            <w:shd w:val="clear" w:color="auto" w:fill="F2F2F2" w:themeFill="background1" w:themeFillShade="F2"/>
          </w:tcPr>
          <w:p w14:paraId="50B8D6B9"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Квалифициран електронен подпис</w:t>
            </w:r>
          </w:p>
        </w:tc>
      </w:tr>
      <w:tr w:rsidR="007D08E6" w:rsidRPr="008E4D35" w14:paraId="75CCCAD3" w14:textId="77777777" w:rsidTr="00DD4BB9">
        <w:tc>
          <w:tcPr>
            <w:tcW w:w="1124" w:type="pct"/>
            <w:shd w:val="clear" w:color="auto" w:fill="D9D9D9"/>
          </w:tcPr>
          <w:p w14:paraId="7F65CEE8" w14:textId="77777777" w:rsidR="007D08E6" w:rsidRPr="008E4D35" w:rsidRDefault="007D08E6" w:rsidP="007D08E6">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КИД-</w:t>
            </w:r>
            <w:r w:rsidRPr="008E4D35">
              <w:rPr>
                <w:rFonts w:eastAsia="Times New Roman" w:cstheme="minorHAnsi"/>
                <w:b/>
                <w:snapToGrid w:val="0"/>
                <w:sz w:val="24"/>
                <w:szCs w:val="24"/>
              </w:rPr>
              <w:t>2008</w:t>
            </w:r>
          </w:p>
        </w:tc>
        <w:tc>
          <w:tcPr>
            <w:tcW w:w="3876" w:type="pct"/>
            <w:shd w:val="clear" w:color="auto" w:fill="F2F2F2" w:themeFill="background1" w:themeFillShade="F2"/>
          </w:tcPr>
          <w:p w14:paraId="7FBFA292"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 xml:space="preserve">Класификация на икономическите дейности </w:t>
            </w:r>
            <w:r>
              <w:rPr>
                <w:rFonts w:eastAsia="Times New Roman" w:cstheme="minorHAnsi"/>
                <w:b/>
                <w:snapToGrid w:val="0"/>
                <w:sz w:val="24"/>
                <w:szCs w:val="24"/>
              </w:rPr>
              <w:t>(КИД-</w:t>
            </w:r>
            <w:r w:rsidRPr="002F4983">
              <w:rPr>
                <w:rFonts w:eastAsia="Times New Roman" w:cstheme="minorHAnsi"/>
                <w:b/>
                <w:snapToGrid w:val="0"/>
                <w:sz w:val="24"/>
                <w:szCs w:val="24"/>
              </w:rPr>
              <w:t>2008</w:t>
            </w:r>
            <w:r>
              <w:rPr>
                <w:rFonts w:eastAsia="Times New Roman" w:cstheme="minorHAnsi"/>
                <w:b/>
                <w:snapToGrid w:val="0"/>
                <w:sz w:val="24"/>
                <w:szCs w:val="24"/>
              </w:rPr>
              <w:t>)</w:t>
            </w:r>
          </w:p>
        </w:tc>
      </w:tr>
      <w:tr w:rsidR="007D08E6" w:rsidRPr="008E4D35" w14:paraId="6DD9C7BF" w14:textId="77777777" w:rsidTr="00DD4BB9">
        <w:tc>
          <w:tcPr>
            <w:tcW w:w="1124" w:type="pct"/>
            <w:shd w:val="clear" w:color="auto" w:fill="D9D9D9"/>
          </w:tcPr>
          <w:p w14:paraId="4C8DF05F" w14:textId="77777777" w:rsidR="007D08E6" w:rsidRDefault="007D08E6" w:rsidP="007D08E6">
            <w:pPr>
              <w:spacing w:after="0" w:line="240" w:lineRule="auto"/>
              <w:ind w:left="288" w:right="288"/>
              <w:rPr>
                <w:rFonts w:eastAsia="Times New Roman" w:cstheme="minorHAnsi"/>
                <w:b/>
                <w:snapToGrid w:val="0"/>
                <w:sz w:val="24"/>
                <w:szCs w:val="24"/>
              </w:rPr>
            </w:pPr>
            <w:r w:rsidRPr="00087D44">
              <w:rPr>
                <w:rFonts w:eastAsia="Times New Roman" w:cstheme="minorHAnsi"/>
                <w:b/>
                <w:snapToGrid w:val="0"/>
                <w:sz w:val="24"/>
                <w:szCs w:val="24"/>
              </w:rPr>
              <w:t>kW</w:t>
            </w:r>
          </w:p>
        </w:tc>
        <w:tc>
          <w:tcPr>
            <w:tcW w:w="3876" w:type="pct"/>
            <w:shd w:val="clear" w:color="auto" w:fill="F2F2F2" w:themeFill="background1" w:themeFillShade="F2"/>
          </w:tcPr>
          <w:p w14:paraId="7C4B3FC1" w14:textId="77777777" w:rsidR="007D08E6" w:rsidRPr="00087D44" w:rsidRDefault="007D08E6" w:rsidP="007D08E6">
            <w:pPr>
              <w:spacing w:after="0" w:line="240" w:lineRule="auto"/>
              <w:ind w:left="288" w:right="288"/>
              <w:jc w:val="both"/>
              <w:rPr>
                <w:rFonts w:eastAsia="Times New Roman" w:cstheme="minorHAnsi"/>
                <w:b/>
                <w:snapToGrid w:val="0"/>
                <w:sz w:val="24"/>
                <w:szCs w:val="24"/>
                <w:lang w:val="en-US"/>
              </w:rPr>
            </w:pPr>
            <w:r>
              <w:rPr>
                <w:rFonts w:eastAsia="Times New Roman" w:cstheme="minorHAnsi"/>
                <w:b/>
                <w:snapToGrid w:val="0"/>
                <w:sz w:val="24"/>
                <w:szCs w:val="24"/>
              </w:rPr>
              <w:t>Киловат</w:t>
            </w:r>
          </w:p>
        </w:tc>
      </w:tr>
      <w:tr w:rsidR="007D08E6" w:rsidRPr="008E4D35" w14:paraId="609C9F5A" w14:textId="77777777" w:rsidTr="00DD4BB9">
        <w:tc>
          <w:tcPr>
            <w:tcW w:w="1124" w:type="pct"/>
            <w:shd w:val="clear" w:color="auto" w:fill="D9D9D9"/>
          </w:tcPr>
          <w:p w14:paraId="56D0D54F" w14:textId="77777777" w:rsidR="007D08E6" w:rsidRPr="008E4D35" w:rsidRDefault="007D08E6" w:rsidP="007D08E6">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МВУ</w:t>
            </w:r>
          </w:p>
        </w:tc>
        <w:tc>
          <w:tcPr>
            <w:tcW w:w="3876" w:type="pct"/>
            <w:shd w:val="clear" w:color="auto" w:fill="F2F2F2" w:themeFill="background1" w:themeFillShade="F2"/>
          </w:tcPr>
          <w:p w14:paraId="24941955"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Механизъм за възстановяване и устойчивост</w:t>
            </w:r>
          </w:p>
        </w:tc>
      </w:tr>
      <w:tr w:rsidR="007D08E6" w:rsidRPr="008E4D35" w14:paraId="27DCA4BD" w14:textId="77777777" w:rsidTr="00DD4BB9">
        <w:tc>
          <w:tcPr>
            <w:tcW w:w="1124" w:type="pct"/>
            <w:shd w:val="clear" w:color="auto" w:fill="D9D9D9"/>
          </w:tcPr>
          <w:p w14:paraId="739A38DA"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w:t>
            </w:r>
            <w:r>
              <w:rPr>
                <w:rFonts w:eastAsia="Times New Roman" w:cstheme="minorHAnsi"/>
                <w:b/>
                <w:snapToGrid w:val="0"/>
                <w:sz w:val="24"/>
                <w:szCs w:val="24"/>
              </w:rPr>
              <w:t>Р</w:t>
            </w:r>
          </w:p>
        </w:tc>
        <w:tc>
          <w:tcPr>
            <w:tcW w:w="3876" w:type="pct"/>
            <w:shd w:val="clear" w:color="auto" w:fill="F2F2F2" w:themeFill="background1" w:themeFillShade="F2"/>
          </w:tcPr>
          <w:p w14:paraId="7E83F861"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Министерство на иновациите и растежа</w:t>
            </w:r>
          </w:p>
        </w:tc>
      </w:tr>
      <w:tr w:rsidR="007D08E6" w:rsidRPr="008E4D35" w14:paraId="5723DD9E" w14:textId="77777777" w:rsidTr="00DD4BB9">
        <w:tc>
          <w:tcPr>
            <w:tcW w:w="1124" w:type="pct"/>
            <w:shd w:val="clear" w:color="auto" w:fill="D9D9D9"/>
          </w:tcPr>
          <w:p w14:paraId="56A8B81B"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МС</w:t>
            </w:r>
          </w:p>
        </w:tc>
        <w:tc>
          <w:tcPr>
            <w:tcW w:w="3876" w:type="pct"/>
            <w:shd w:val="clear" w:color="auto" w:fill="F2F2F2" w:themeFill="background1" w:themeFillShade="F2"/>
          </w:tcPr>
          <w:p w14:paraId="21ABCEA9"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Министерски съвет</w:t>
            </w:r>
          </w:p>
        </w:tc>
      </w:tr>
      <w:tr w:rsidR="007D08E6" w:rsidRPr="008E4D35" w14:paraId="2F36E5FC" w14:textId="77777777" w:rsidTr="00DD4BB9">
        <w:tc>
          <w:tcPr>
            <w:tcW w:w="1124" w:type="pct"/>
            <w:shd w:val="clear" w:color="auto" w:fill="D9D9D9"/>
          </w:tcPr>
          <w:p w14:paraId="15F9E765"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МСП</w:t>
            </w:r>
          </w:p>
        </w:tc>
        <w:tc>
          <w:tcPr>
            <w:tcW w:w="3876" w:type="pct"/>
            <w:shd w:val="clear" w:color="auto" w:fill="F2F2F2" w:themeFill="background1" w:themeFillShade="F2"/>
          </w:tcPr>
          <w:p w14:paraId="2F2EBDDF"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Малки и средни предприятия</w:t>
            </w:r>
          </w:p>
        </w:tc>
      </w:tr>
      <w:tr w:rsidR="007D08E6" w:rsidRPr="008E4D35" w14:paraId="14734B92" w14:textId="77777777" w:rsidTr="00DD4BB9">
        <w:tc>
          <w:tcPr>
            <w:tcW w:w="1124" w:type="pct"/>
            <w:shd w:val="clear" w:color="auto" w:fill="D9D9D9"/>
          </w:tcPr>
          <w:p w14:paraId="6821C372"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087D44">
              <w:rPr>
                <w:rFonts w:eastAsia="Times New Roman" w:cstheme="minorHAnsi"/>
                <w:b/>
                <w:snapToGrid w:val="0"/>
                <w:sz w:val="24"/>
                <w:szCs w:val="24"/>
              </w:rPr>
              <w:t>MW</w:t>
            </w:r>
          </w:p>
        </w:tc>
        <w:tc>
          <w:tcPr>
            <w:tcW w:w="3876" w:type="pct"/>
            <w:shd w:val="clear" w:color="auto" w:fill="F2F2F2" w:themeFill="background1" w:themeFillShade="F2"/>
          </w:tcPr>
          <w:p w14:paraId="7253D084" w14:textId="77777777" w:rsidR="007D08E6" w:rsidRPr="00087D44" w:rsidRDefault="007D08E6" w:rsidP="007D08E6">
            <w:pPr>
              <w:spacing w:after="0" w:line="240" w:lineRule="auto"/>
              <w:ind w:left="288" w:right="288"/>
              <w:jc w:val="both"/>
              <w:rPr>
                <w:rFonts w:eastAsia="Times New Roman" w:cstheme="minorHAnsi"/>
                <w:b/>
                <w:snapToGrid w:val="0"/>
                <w:sz w:val="24"/>
                <w:szCs w:val="24"/>
                <w:lang w:val="en-US"/>
              </w:rPr>
            </w:pPr>
            <w:r>
              <w:rPr>
                <w:rFonts w:eastAsia="Times New Roman" w:cstheme="minorHAnsi"/>
                <w:b/>
                <w:snapToGrid w:val="0"/>
                <w:sz w:val="24"/>
                <w:szCs w:val="24"/>
              </w:rPr>
              <w:t>Мегават</w:t>
            </w:r>
            <w:r>
              <w:rPr>
                <w:rFonts w:eastAsia="Times New Roman" w:cstheme="minorHAnsi"/>
                <w:b/>
                <w:snapToGrid w:val="0"/>
                <w:sz w:val="24"/>
                <w:szCs w:val="24"/>
                <w:lang w:val="en-US"/>
              </w:rPr>
              <w:t xml:space="preserve"> (1 MW = 1 000 kW = 1 000 000 W)</w:t>
            </w:r>
          </w:p>
        </w:tc>
      </w:tr>
      <w:tr w:rsidR="007D08E6" w:rsidRPr="008E4D35" w14:paraId="2676FC36" w14:textId="77777777" w:rsidTr="00DD4BB9">
        <w:tc>
          <w:tcPr>
            <w:tcW w:w="1124" w:type="pct"/>
            <w:shd w:val="clear" w:color="auto" w:fill="D9D9D9"/>
          </w:tcPr>
          <w:p w14:paraId="2626DE02" w14:textId="77777777" w:rsidR="007D08E6" w:rsidRPr="008E4D35" w:rsidRDefault="007D08E6" w:rsidP="007D08E6">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НПВУ</w:t>
            </w:r>
          </w:p>
        </w:tc>
        <w:tc>
          <w:tcPr>
            <w:tcW w:w="3876" w:type="pct"/>
            <w:shd w:val="clear" w:color="auto" w:fill="F2F2F2" w:themeFill="background1" w:themeFillShade="F2"/>
          </w:tcPr>
          <w:p w14:paraId="3C1FAE85"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Национален план за възстановяване и устойчивост</w:t>
            </w:r>
          </w:p>
        </w:tc>
      </w:tr>
      <w:tr w:rsidR="007D08E6" w:rsidRPr="008E4D35" w14:paraId="12474D1D" w14:textId="77777777" w:rsidTr="00DD4BB9">
        <w:tc>
          <w:tcPr>
            <w:tcW w:w="1124" w:type="pct"/>
            <w:shd w:val="clear" w:color="auto" w:fill="D9D9D9"/>
          </w:tcPr>
          <w:p w14:paraId="3DB65991"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НСИ</w:t>
            </w:r>
          </w:p>
        </w:tc>
        <w:tc>
          <w:tcPr>
            <w:tcW w:w="3876" w:type="pct"/>
            <w:shd w:val="clear" w:color="auto" w:fill="F2F2F2" w:themeFill="background1" w:themeFillShade="F2"/>
          </w:tcPr>
          <w:p w14:paraId="1796E120"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Национален статистически институт</w:t>
            </w:r>
          </w:p>
        </w:tc>
      </w:tr>
      <w:tr w:rsidR="007D08E6" w:rsidRPr="008E4D35" w14:paraId="069ED624" w14:textId="77777777" w:rsidTr="00DD4BB9">
        <w:tc>
          <w:tcPr>
            <w:tcW w:w="1124" w:type="pct"/>
            <w:shd w:val="clear" w:color="auto" w:fill="D9D9D9"/>
          </w:tcPr>
          <w:p w14:paraId="546605C2" w14:textId="77777777" w:rsidR="007D08E6" w:rsidRPr="008E4D35" w:rsidRDefault="007D08E6" w:rsidP="007D08E6">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ПИТ</w:t>
            </w:r>
          </w:p>
        </w:tc>
        <w:tc>
          <w:tcPr>
            <w:tcW w:w="3876" w:type="pct"/>
            <w:shd w:val="clear" w:color="auto" w:fill="F2F2F2" w:themeFill="background1" w:themeFillShade="F2"/>
          </w:tcPr>
          <w:p w14:paraId="68F7D477"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Програма за икономическа трансформация</w:t>
            </w:r>
          </w:p>
        </w:tc>
      </w:tr>
      <w:tr w:rsidR="007D08E6" w:rsidRPr="008E4D35" w14:paraId="6A8569D8" w14:textId="77777777" w:rsidTr="00DD4BB9">
        <w:tc>
          <w:tcPr>
            <w:tcW w:w="1124" w:type="pct"/>
            <w:shd w:val="clear" w:color="auto" w:fill="D9D9D9"/>
          </w:tcPr>
          <w:p w14:paraId="1689CEB0"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ПМС</w:t>
            </w:r>
          </w:p>
        </w:tc>
        <w:tc>
          <w:tcPr>
            <w:tcW w:w="3876" w:type="pct"/>
            <w:shd w:val="clear" w:color="auto" w:fill="F2F2F2" w:themeFill="background1" w:themeFillShade="F2"/>
          </w:tcPr>
          <w:p w14:paraId="3FCB04D6"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Постановление на Министерски съвет</w:t>
            </w:r>
          </w:p>
        </w:tc>
      </w:tr>
      <w:tr w:rsidR="007D08E6" w:rsidRPr="008E4D35" w14:paraId="251A6D4B" w14:textId="77777777" w:rsidTr="00DD4BB9">
        <w:tc>
          <w:tcPr>
            <w:tcW w:w="1124" w:type="pct"/>
            <w:shd w:val="clear" w:color="auto" w:fill="D9D9D9"/>
          </w:tcPr>
          <w:p w14:paraId="1B3A7716" w14:textId="77777777" w:rsidR="007D08E6" w:rsidRPr="00DA7AAF" w:rsidRDefault="007D08E6" w:rsidP="007D08E6">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СНД</w:t>
            </w:r>
          </w:p>
        </w:tc>
        <w:tc>
          <w:tcPr>
            <w:tcW w:w="3876" w:type="pct"/>
            <w:shd w:val="clear" w:color="auto" w:fill="F2F2F2" w:themeFill="background1" w:themeFillShade="F2"/>
          </w:tcPr>
          <w:p w14:paraId="2CF744E2"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Структура за наблюдение и докладване</w:t>
            </w:r>
          </w:p>
        </w:tc>
      </w:tr>
      <w:tr w:rsidR="007D08E6" w:rsidRPr="008E4D35" w14:paraId="330642F6" w14:textId="77777777" w:rsidTr="00DD4BB9">
        <w:tc>
          <w:tcPr>
            <w:tcW w:w="1124" w:type="pct"/>
            <w:shd w:val="clear" w:color="auto" w:fill="D9D9D9"/>
          </w:tcPr>
          <w:p w14:paraId="01DF8BE6"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ФК</w:t>
            </w:r>
          </w:p>
        </w:tc>
        <w:tc>
          <w:tcPr>
            <w:tcW w:w="3876" w:type="pct"/>
            <w:shd w:val="clear" w:color="auto" w:fill="F2F2F2" w:themeFill="background1" w:themeFillShade="F2"/>
          </w:tcPr>
          <w:p w14:paraId="7806AC20"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Формуляр за кандидатстване</w:t>
            </w:r>
          </w:p>
        </w:tc>
      </w:tr>
      <w:tr w:rsidR="007D08E6" w:rsidRPr="008E4D35" w14:paraId="377D4BE3" w14:textId="77777777" w:rsidTr="00DD4BB9">
        <w:tc>
          <w:tcPr>
            <w:tcW w:w="1124" w:type="pct"/>
            <w:shd w:val="clear" w:color="auto" w:fill="D9D9D9"/>
          </w:tcPr>
          <w:p w14:paraId="1243A12D"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ЮЗР</w:t>
            </w:r>
          </w:p>
        </w:tc>
        <w:tc>
          <w:tcPr>
            <w:tcW w:w="3876" w:type="pct"/>
            <w:shd w:val="clear" w:color="auto" w:fill="F2F2F2" w:themeFill="background1" w:themeFillShade="F2"/>
          </w:tcPr>
          <w:p w14:paraId="478AEB9A"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 xml:space="preserve">Югозападен район </w:t>
            </w:r>
          </w:p>
        </w:tc>
      </w:tr>
    </w:tbl>
    <w:p w14:paraId="5CD50E3E" w14:textId="77777777" w:rsidR="00DA3619" w:rsidRDefault="00DA3619">
      <w:pPr>
        <w:rPr>
          <w:rFonts w:cstheme="minorHAnsi"/>
          <w:sz w:val="24"/>
          <w:szCs w:val="24"/>
        </w:rPr>
      </w:pPr>
    </w:p>
    <w:p w14:paraId="74904500" w14:textId="77777777" w:rsidR="00A56608" w:rsidRPr="008E4D35" w:rsidRDefault="00A56608">
      <w:pPr>
        <w:rPr>
          <w:rFonts w:cstheme="minorHAnsi"/>
          <w:sz w:val="24"/>
          <w:szCs w:val="24"/>
        </w:rPr>
      </w:pPr>
    </w:p>
    <w:p w14:paraId="5DB40117" w14:textId="77777777" w:rsidR="00F56BC0" w:rsidRDefault="007F4E6D" w:rsidP="00F56BC0">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II. </w:t>
      </w:r>
      <w:r w:rsidR="00DF094A" w:rsidRPr="008E4D35">
        <w:rPr>
          <w:rFonts w:eastAsia="Times New Roman" w:cstheme="minorHAnsi"/>
          <w:b/>
          <w:snapToGrid w:val="0"/>
          <w:kern w:val="28"/>
          <w:sz w:val="24"/>
          <w:szCs w:val="24"/>
        </w:rPr>
        <w:t>ОСНОВНИ ДЕФИНИЦИИ</w:t>
      </w:r>
      <w:r w:rsidR="009B0FAC">
        <w:rPr>
          <w:rFonts w:eastAsia="Times New Roman" w:cstheme="minorHAnsi"/>
          <w:b/>
          <w:snapToGrid w:val="0"/>
          <w:kern w:val="28"/>
          <w:sz w:val="24"/>
          <w:szCs w:val="24"/>
        </w:rPr>
        <w:t>:</w:t>
      </w:r>
    </w:p>
    <w:p w14:paraId="5D9AC55E" w14:textId="77777777" w:rsidR="00E12165" w:rsidRPr="008E4D35" w:rsidRDefault="00E12165" w:rsidP="00F56BC0">
      <w:pPr>
        <w:spacing w:after="0" w:line="240" w:lineRule="auto"/>
        <w:rPr>
          <w:rFonts w:eastAsia="Times New Roman" w:cstheme="minorHAnsi"/>
          <w:b/>
          <w:snapToGrid w:val="0"/>
          <w:kern w:val="28"/>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3"/>
        <w:gridCol w:w="6831"/>
      </w:tblGrid>
      <w:tr w:rsidR="00FA5719" w:rsidRPr="008E4D35" w14:paraId="4096632C" w14:textId="77777777" w:rsidTr="002E07CC">
        <w:tc>
          <w:tcPr>
            <w:tcW w:w="2633" w:type="dxa"/>
            <w:shd w:val="clear" w:color="auto" w:fill="E6E6E6"/>
          </w:tcPr>
          <w:p w14:paraId="15928436" w14:textId="77777777" w:rsidR="00FA5719" w:rsidRDefault="00FA5719" w:rsidP="00F14642">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Горски продукт</w:t>
            </w:r>
          </w:p>
        </w:tc>
        <w:tc>
          <w:tcPr>
            <w:tcW w:w="6831" w:type="dxa"/>
            <w:shd w:val="clear" w:color="auto" w:fill="F3F3F3"/>
          </w:tcPr>
          <w:p w14:paraId="30E6D606" w14:textId="77777777" w:rsidR="00FA5719" w:rsidRPr="002F4983" w:rsidRDefault="00FA5719" w:rsidP="00BE32F9">
            <w:pPr>
              <w:spacing w:after="120" w:line="240" w:lineRule="auto"/>
              <w:jc w:val="both"/>
              <w:rPr>
                <w:rFonts w:eastAsia="Times New Roman" w:cstheme="minorHAnsi"/>
                <w:snapToGrid w:val="0"/>
                <w:sz w:val="24"/>
                <w:szCs w:val="24"/>
              </w:rPr>
            </w:pPr>
            <w:r w:rsidRPr="002F4983">
              <w:rPr>
                <w:rFonts w:eastAsia="Times New Roman" w:cstheme="minorHAnsi"/>
                <w:snapToGrid w:val="0"/>
                <w:sz w:val="24"/>
                <w:szCs w:val="24"/>
              </w:rPr>
              <w:t>Дървесина и недървесни горски продукти. „Недървесни горски продукти" са смола, борина, сено, кори, лико, семена, гъби, лечебни и ароматни растения или части от тях, лишеи, мъхове, горски плодове, зеленина, коледни елхи, листников фураж, животни, които не са дивеч.</w:t>
            </w:r>
          </w:p>
          <w:p w14:paraId="22AD65D2" w14:textId="77777777" w:rsidR="00FA5719" w:rsidRPr="002F4983" w:rsidRDefault="00FA5719" w:rsidP="00BE32F9">
            <w:pPr>
              <w:spacing w:after="0"/>
              <w:jc w:val="both"/>
              <w:rPr>
                <w:rFonts w:eastAsia="Times New Roman" w:cstheme="minorHAnsi"/>
                <w:snapToGrid w:val="0"/>
                <w:sz w:val="24"/>
                <w:szCs w:val="24"/>
              </w:rPr>
            </w:pPr>
            <w:r w:rsidRPr="002F4983">
              <w:rPr>
                <w:rFonts w:eastAsia="Times New Roman" w:cstheme="minorHAnsi"/>
                <w:snapToGrid w:val="0"/>
                <w:sz w:val="24"/>
                <w:szCs w:val="24"/>
              </w:rPr>
              <w:t>Дефиницията включва и продукти от следните производства преди индустриалната преработка на дървесината:</w:t>
            </w:r>
          </w:p>
          <w:p w14:paraId="7127E142" w14:textId="77777777" w:rsidR="00FA5719" w:rsidRPr="002F4983" w:rsidRDefault="00FA5719" w:rsidP="00BE32F9">
            <w:pPr>
              <w:pStyle w:val="ListParagraph"/>
              <w:numPr>
                <w:ilvl w:val="0"/>
                <w:numId w:val="2"/>
              </w:numPr>
              <w:spacing w:before="120" w:after="0" w:line="240" w:lineRule="auto"/>
              <w:ind w:left="340" w:hanging="340"/>
              <w:jc w:val="both"/>
              <w:rPr>
                <w:rFonts w:eastAsia="Times New Roman" w:cstheme="minorHAnsi"/>
                <w:snapToGrid w:val="0"/>
                <w:sz w:val="24"/>
                <w:szCs w:val="24"/>
              </w:rPr>
            </w:pPr>
            <w:r w:rsidRPr="002F4983">
              <w:rPr>
                <w:rFonts w:eastAsia="Times New Roman" w:cstheme="minorHAnsi"/>
                <w:snapToGrid w:val="0"/>
                <w:sz w:val="24"/>
                <w:szCs w:val="24"/>
              </w:rPr>
              <w:t xml:space="preserve">Машинно обработване на дървен материал чрез бичене, фрезоване, комбинирано или рязане или развиване; </w:t>
            </w:r>
          </w:p>
          <w:p w14:paraId="21F9951E" w14:textId="77777777" w:rsidR="00FA5719" w:rsidRPr="002F4983" w:rsidRDefault="00FA5719" w:rsidP="00FA5719">
            <w:pPr>
              <w:numPr>
                <w:ilvl w:val="0"/>
                <w:numId w:val="2"/>
              </w:numPr>
              <w:spacing w:after="0" w:line="240" w:lineRule="auto"/>
              <w:ind w:left="317" w:hanging="317"/>
              <w:jc w:val="both"/>
              <w:rPr>
                <w:rFonts w:eastAsia="Times New Roman" w:cstheme="minorHAnsi"/>
                <w:snapToGrid w:val="0"/>
                <w:sz w:val="24"/>
                <w:szCs w:val="24"/>
              </w:rPr>
            </w:pPr>
            <w:r w:rsidRPr="002F4983">
              <w:rPr>
                <w:rFonts w:eastAsia="Times New Roman" w:cstheme="minorHAnsi"/>
                <w:snapToGrid w:val="0"/>
                <w:sz w:val="24"/>
                <w:szCs w:val="24"/>
              </w:rPr>
              <w:t xml:space="preserve">Нарязване, сортиране, рендосване, профилиране, окрайчване, фасониране и шлайфане; </w:t>
            </w:r>
          </w:p>
          <w:p w14:paraId="7EDA685A" w14:textId="77777777" w:rsidR="00FA5719" w:rsidRPr="002F4983" w:rsidRDefault="00FA5719" w:rsidP="00FA5719">
            <w:pPr>
              <w:numPr>
                <w:ilvl w:val="0"/>
                <w:numId w:val="2"/>
              </w:numPr>
              <w:spacing w:after="0" w:line="240" w:lineRule="auto"/>
              <w:ind w:left="317" w:hanging="317"/>
              <w:jc w:val="both"/>
              <w:rPr>
                <w:rFonts w:eastAsia="Times New Roman" w:cstheme="minorHAnsi"/>
                <w:snapToGrid w:val="0"/>
                <w:sz w:val="24"/>
                <w:szCs w:val="24"/>
              </w:rPr>
            </w:pPr>
            <w:r w:rsidRPr="002F4983">
              <w:rPr>
                <w:rFonts w:eastAsia="Times New Roman" w:cstheme="minorHAnsi"/>
                <w:snapToGrid w:val="0"/>
                <w:sz w:val="24"/>
                <w:szCs w:val="24"/>
              </w:rPr>
              <w:t xml:space="preserve">Сушене и импрегниране на дървен материал; </w:t>
            </w:r>
          </w:p>
          <w:p w14:paraId="1BE23757" w14:textId="77777777" w:rsidR="00FA5719" w:rsidRPr="002F4983" w:rsidRDefault="00FA5719" w:rsidP="00FA5719">
            <w:pPr>
              <w:numPr>
                <w:ilvl w:val="0"/>
                <w:numId w:val="2"/>
              </w:numPr>
              <w:spacing w:after="0" w:line="240" w:lineRule="auto"/>
              <w:ind w:left="317" w:hanging="317"/>
              <w:jc w:val="both"/>
              <w:rPr>
                <w:rFonts w:eastAsia="Times New Roman" w:cstheme="minorHAnsi"/>
                <w:snapToGrid w:val="0"/>
                <w:sz w:val="24"/>
                <w:szCs w:val="24"/>
              </w:rPr>
            </w:pPr>
            <w:r w:rsidRPr="002F4983">
              <w:rPr>
                <w:rFonts w:eastAsia="Times New Roman" w:cstheme="minorHAnsi"/>
                <w:snapToGrid w:val="0"/>
                <w:sz w:val="24"/>
                <w:szCs w:val="24"/>
              </w:rPr>
              <w:t>Производство</w:t>
            </w:r>
            <w:r w:rsidRPr="002F4983">
              <w:rPr>
                <w:rFonts w:ascii="Calibri" w:eastAsia="Times New Roman" w:hAnsi="Calibri" w:cs="Calibri"/>
                <w:i/>
                <w:iCs/>
              </w:rPr>
              <w:t xml:space="preserve"> </w:t>
            </w:r>
            <w:r w:rsidRPr="002F4983">
              <w:rPr>
                <w:rFonts w:eastAsia="Times New Roman" w:cstheme="minorHAnsi"/>
                <w:snapToGrid w:val="0"/>
                <w:sz w:val="24"/>
                <w:szCs w:val="24"/>
              </w:rPr>
              <w:t xml:space="preserve">на дървесен талаш, дървесно брашно, технологични трески, дървесни пелети и брикети от необработени дървени материали, вършина и други дървесни отпадъци; </w:t>
            </w:r>
          </w:p>
          <w:p w14:paraId="5071B4C9" w14:textId="77777777" w:rsidR="00FA5719" w:rsidRPr="002F4983" w:rsidRDefault="00FA5719" w:rsidP="00FA5719">
            <w:pPr>
              <w:numPr>
                <w:ilvl w:val="0"/>
                <w:numId w:val="2"/>
              </w:numPr>
              <w:spacing w:after="0" w:line="240" w:lineRule="auto"/>
              <w:ind w:left="317" w:hanging="317"/>
              <w:jc w:val="both"/>
              <w:rPr>
                <w:rFonts w:eastAsia="Times New Roman" w:cstheme="minorHAnsi"/>
                <w:snapToGrid w:val="0"/>
                <w:sz w:val="24"/>
                <w:szCs w:val="24"/>
              </w:rPr>
            </w:pPr>
            <w:r w:rsidRPr="002F4983">
              <w:rPr>
                <w:rFonts w:eastAsia="Times New Roman" w:cstheme="minorHAnsi"/>
                <w:snapToGrid w:val="0"/>
                <w:sz w:val="24"/>
                <w:szCs w:val="24"/>
              </w:rPr>
              <w:t xml:space="preserve">Производство на колове или колчета: белене, цепене, заостряне, пакетиране; </w:t>
            </w:r>
          </w:p>
          <w:p w14:paraId="353154FE" w14:textId="77777777" w:rsidR="00FA5719" w:rsidRPr="002F4983" w:rsidRDefault="00FA5719" w:rsidP="00BE32F9">
            <w:pPr>
              <w:spacing w:after="120" w:line="240" w:lineRule="auto"/>
              <w:ind w:left="340" w:hanging="340"/>
              <w:jc w:val="both"/>
              <w:rPr>
                <w:rFonts w:eastAsia="Times New Roman" w:cstheme="minorHAnsi"/>
                <w:snapToGrid w:val="0"/>
                <w:sz w:val="24"/>
                <w:szCs w:val="24"/>
              </w:rPr>
            </w:pPr>
            <w:r w:rsidRPr="002F4983">
              <w:rPr>
                <w:rFonts w:eastAsia="Times New Roman" w:cstheme="minorHAnsi"/>
                <w:snapToGrid w:val="0"/>
                <w:sz w:val="24"/>
                <w:szCs w:val="24"/>
              </w:rPr>
              <w:t>6. Производство на дърва за горене: рязане, цепене</w:t>
            </w:r>
            <w:r w:rsidRPr="002F4983">
              <w:rPr>
                <w:rFonts w:ascii="Calibri" w:eastAsia="Times New Roman" w:hAnsi="Calibri" w:cs="Calibri"/>
                <w:i/>
                <w:iCs/>
              </w:rPr>
              <w:t xml:space="preserve">,  </w:t>
            </w:r>
            <w:r w:rsidRPr="002F4983">
              <w:rPr>
                <w:rFonts w:eastAsia="Times New Roman" w:cstheme="minorHAnsi"/>
                <w:snapToGrid w:val="0"/>
                <w:sz w:val="24"/>
                <w:szCs w:val="24"/>
              </w:rPr>
              <w:t>пакетиране.</w:t>
            </w:r>
          </w:p>
        </w:tc>
      </w:tr>
      <w:tr w:rsidR="00AE0775" w:rsidRPr="008E4D35" w14:paraId="23D70BA7" w14:textId="77777777" w:rsidTr="002E07CC">
        <w:tc>
          <w:tcPr>
            <w:tcW w:w="2633" w:type="dxa"/>
            <w:shd w:val="clear" w:color="auto" w:fill="E6E6E6"/>
          </w:tcPr>
          <w:p w14:paraId="64677316" w14:textId="77777777" w:rsidR="00AE0775" w:rsidRPr="008E4D35" w:rsidRDefault="00AE0775" w:rsidP="00AE0775">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Група предприятия</w:t>
            </w:r>
          </w:p>
        </w:tc>
        <w:tc>
          <w:tcPr>
            <w:tcW w:w="6831" w:type="dxa"/>
            <w:shd w:val="clear" w:color="auto" w:fill="F3F3F3"/>
          </w:tcPr>
          <w:p w14:paraId="6FB7069B" w14:textId="77777777" w:rsidR="00AE0775" w:rsidRDefault="00AE0775" w:rsidP="00AE0775">
            <w:pPr>
              <w:spacing w:before="100" w:beforeAutospacing="1" w:after="0" w:line="240" w:lineRule="auto"/>
              <w:jc w:val="both"/>
            </w:pPr>
            <w:r>
              <w:rPr>
                <w:rFonts w:eastAsia="Times New Roman" w:cstheme="minorHAnsi"/>
                <w:snapToGrid w:val="0"/>
                <w:sz w:val="24"/>
                <w:szCs w:val="24"/>
              </w:rPr>
              <w:t>„Г</w:t>
            </w:r>
            <w:r w:rsidRPr="00655AB9">
              <w:rPr>
                <w:rFonts w:eastAsia="Times New Roman" w:cstheme="minorHAnsi"/>
                <w:snapToGrid w:val="0"/>
                <w:sz w:val="24"/>
                <w:szCs w:val="24"/>
              </w:rPr>
              <w:t>рупа" означава предприятие майка и всички не</w:t>
            </w:r>
            <w:r>
              <w:rPr>
                <w:rFonts w:eastAsia="Times New Roman" w:cstheme="minorHAnsi"/>
                <w:snapToGrid w:val="0"/>
                <w:sz w:val="24"/>
                <w:szCs w:val="24"/>
              </w:rPr>
              <w:t xml:space="preserve">гови дъщерни предприятия, като: </w:t>
            </w:r>
            <w:r w:rsidRPr="00655AB9">
              <w:rPr>
                <w:rFonts w:eastAsia="Times New Roman" w:cstheme="minorHAnsi"/>
                <w:snapToGrid w:val="0"/>
                <w:sz w:val="24"/>
                <w:szCs w:val="24"/>
              </w:rPr>
              <w:t>"предприятие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r>
              <w:rPr>
                <w:rFonts w:eastAsia="Times New Roman" w:cstheme="minorHAnsi"/>
                <w:snapToGrid w:val="0"/>
                <w:sz w:val="24"/>
                <w:szCs w:val="24"/>
              </w:rPr>
              <w:t>.</w:t>
            </w:r>
          </w:p>
          <w:p w14:paraId="5B854C90" w14:textId="77777777" w:rsidR="00AE0775" w:rsidRDefault="00AE0775" w:rsidP="00AE0775">
            <w:pPr>
              <w:spacing w:after="100" w:afterAutospacing="1" w:line="240" w:lineRule="auto"/>
              <w:jc w:val="both"/>
              <w:rPr>
                <w:rFonts w:eastAsia="Times New Roman" w:cstheme="minorHAnsi"/>
                <w:snapToGrid w:val="0"/>
                <w:sz w:val="24"/>
                <w:szCs w:val="24"/>
              </w:rPr>
            </w:pPr>
            <w:r w:rsidRPr="000F5A47">
              <w:rPr>
                <w:rFonts w:eastAsia="Times New Roman" w:cstheme="minorHAnsi"/>
                <w:snapToGrid w:val="0"/>
                <w:sz w:val="24"/>
                <w:szCs w:val="24"/>
              </w:rPr>
              <w:t>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възможността общия източник на контрол да се осъществява, както от предприятия, така и от физически ли</w:t>
            </w:r>
            <w:r>
              <w:rPr>
                <w:rFonts w:eastAsia="Times New Roman" w:cstheme="minorHAnsi"/>
                <w:snapToGrid w:val="0"/>
                <w:sz w:val="24"/>
                <w:szCs w:val="24"/>
              </w:rPr>
              <w:t>ца, участващи в управлението им</w:t>
            </w:r>
            <w:r w:rsidRPr="000F5A47">
              <w:rPr>
                <w:rFonts w:eastAsia="Times New Roman" w:cstheme="minorHAnsi"/>
                <w:snapToGrid w:val="0"/>
                <w:sz w:val="24"/>
                <w:szCs w:val="24"/>
              </w:rPr>
              <w:t>.</w:t>
            </w:r>
          </w:p>
        </w:tc>
      </w:tr>
      <w:tr w:rsidR="0019069B" w:rsidRPr="008E4D35" w14:paraId="7D6A2A6A" w14:textId="77777777" w:rsidTr="002E07CC">
        <w:tc>
          <w:tcPr>
            <w:tcW w:w="2633" w:type="dxa"/>
            <w:shd w:val="clear" w:color="auto" w:fill="E6E6E6"/>
          </w:tcPr>
          <w:p w14:paraId="0BE6C942" w14:textId="77777777" w:rsidR="0019069B" w:rsidRPr="008E4D35" w:rsidRDefault="00C7142D" w:rsidP="00F14642">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Д</w:t>
            </w:r>
            <w:r w:rsidR="00CD1EFC" w:rsidRPr="00CD1EFC">
              <w:rPr>
                <w:rFonts w:eastAsia="Times New Roman" w:cstheme="minorHAnsi"/>
                <w:b/>
                <w:snapToGrid w:val="0"/>
                <w:sz w:val="24"/>
                <w:szCs w:val="24"/>
              </w:rPr>
              <w:t>ата на започване на работата по предложението за изпълнение на инвестиция</w:t>
            </w:r>
          </w:p>
        </w:tc>
        <w:tc>
          <w:tcPr>
            <w:tcW w:w="6831" w:type="dxa"/>
            <w:shd w:val="clear" w:color="auto" w:fill="F3F3F3"/>
          </w:tcPr>
          <w:p w14:paraId="2FC3964F" w14:textId="77777777" w:rsidR="0019069B" w:rsidRPr="002F4983" w:rsidRDefault="009944A0" w:rsidP="00B63442">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 xml:space="preserve">Означава първото от следните събития: </w:t>
            </w:r>
            <w:r w:rsidR="00B63442" w:rsidRPr="002F4983">
              <w:rPr>
                <w:rFonts w:eastAsia="Times New Roman" w:cstheme="minorHAnsi"/>
                <w:snapToGrid w:val="0"/>
                <w:sz w:val="24"/>
                <w:szCs w:val="24"/>
              </w:rPr>
              <w:t xml:space="preserve">започване на </w:t>
            </w:r>
            <w:r w:rsidRPr="002F4983">
              <w:rPr>
                <w:rFonts w:eastAsia="Times New Roman" w:cstheme="minorHAnsi"/>
                <w:snapToGrid w:val="0"/>
                <w:sz w:val="24"/>
                <w:szCs w:val="24"/>
              </w:rPr>
              <w:t>работи</w:t>
            </w:r>
            <w:r w:rsidR="00B63442" w:rsidRPr="002F4983">
              <w:rPr>
                <w:rFonts w:eastAsia="Times New Roman" w:cstheme="minorHAnsi"/>
                <w:snapToGrid w:val="0"/>
                <w:sz w:val="24"/>
                <w:szCs w:val="24"/>
              </w:rPr>
              <w:t>те, свързани с инвестицията</w:t>
            </w:r>
            <w:r w:rsidRPr="002F4983">
              <w:rPr>
                <w:rFonts w:eastAsia="Times New Roman" w:cstheme="minorHAnsi"/>
                <w:snapToGrid w:val="0"/>
                <w:sz w:val="24"/>
                <w:szCs w:val="24"/>
              </w:rPr>
              <w:t xml:space="preserve"> или поемане на първия правнообвързващ ангажимент за поръчка на оборудване</w:t>
            </w:r>
            <w:r w:rsidR="005240A2" w:rsidRPr="002F4983">
              <w:rPr>
                <w:rFonts w:eastAsia="Times New Roman" w:cstheme="minorHAnsi"/>
                <w:snapToGrid w:val="0"/>
                <w:sz w:val="24"/>
                <w:szCs w:val="24"/>
              </w:rPr>
              <w:t>, предоставяне</w:t>
            </w:r>
            <w:r w:rsidR="00EA26E5" w:rsidRPr="002F4983">
              <w:rPr>
                <w:rFonts w:eastAsia="Times New Roman" w:cstheme="minorHAnsi"/>
                <w:snapToGrid w:val="0"/>
                <w:sz w:val="24"/>
                <w:szCs w:val="24"/>
              </w:rPr>
              <w:t xml:space="preserve"> на услуга</w:t>
            </w:r>
            <w:r w:rsidRPr="002F4983">
              <w:rPr>
                <w:rFonts w:eastAsia="Times New Roman" w:cstheme="minorHAnsi"/>
                <w:snapToGrid w:val="0"/>
                <w:sz w:val="24"/>
                <w:szCs w:val="24"/>
              </w:rPr>
              <w:t xml:space="preserve"> или всеки друг ангажимент, който прави инвестицията необратима. </w:t>
            </w:r>
          </w:p>
        </w:tc>
      </w:tr>
      <w:tr w:rsidR="0019069B" w:rsidRPr="008E4D35" w14:paraId="5BF79916" w14:textId="77777777" w:rsidTr="002E07CC">
        <w:tc>
          <w:tcPr>
            <w:tcW w:w="2633" w:type="dxa"/>
            <w:shd w:val="clear" w:color="auto" w:fill="E6E6E6"/>
          </w:tcPr>
          <w:p w14:paraId="6CEA1CEA" w14:textId="77777777" w:rsidR="0019069B" w:rsidRPr="008E4D35" w:rsidRDefault="0019069B"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lastRenderedPageBreak/>
              <w:t>Дейност</w:t>
            </w:r>
          </w:p>
        </w:tc>
        <w:tc>
          <w:tcPr>
            <w:tcW w:w="6831" w:type="dxa"/>
            <w:shd w:val="clear" w:color="auto" w:fill="F3F3F3"/>
          </w:tcPr>
          <w:p w14:paraId="6C643950" w14:textId="77777777" w:rsidR="0019069B" w:rsidRPr="002F4983" w:rsidRDefault="0019069B" w:rsidP="00F14642">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w:t>
            </w:r>
            <w:r w:rsidR="00C7142D" w:rsidRPr="002F4983">
              <w:rPr>
                <w:rFonts w:eastAsia="Times New Roman" w:cstheme="minorHAnsi"/>
                <w:snapToGrid w:val="0"/>
                <w:sz w:val="24"/>
                <w:szCs w:val="24"/>
              </w:rPr>
              <w:t>зпълнението на съответната инвестиция</w:t>
            </w:r>
            <w:r w:rsidRPr="002F4983">
              <w:rPr>
                <w:rFonts w:eastAsia="Times New Roman" w:cstheme="minorHAnsi"/>
                <w:snapToGrid w:val="0"/>
                <w:sz w:val="24"/>
                <w:szCs w:val="24"/>
              </w:rPr>
              <w:t>.</w:t>
            </w:r>
          </w:p>
        </w:tc>
      </w:tr>
      <w:tr w:rsidR="00051B86" w:rsidRPr="008E4D35" w14:paraId="5D71FCB0" w14:textId="77777777" w:rsidTr="002E07CC">
        <w:tc>
          <w:tcPr>
            <w:tcW w:w="2633" w:type="dxa"/>
            <w:shd w:val="clear" w:color="auto" w:fill="E6E6E6"/>
          </w:tcPr>
          <w:p w14:paraId="44B8D7E7" w14:textId="77777777" w:rsidR="00051B86" w:rsidRPr="00D74A7C" w:rsidRDefault="004C7034" w:rsidP="00F14642">
            <w:pPr>
              <w:spacing w:before="100" w:beforeAutospacing="1" w:after="100" w:afterAutospacing="1" w:line="240" w:lineRule="auto"/>
              <w:rPr>
                <w:rFonts w:eastAsia="Times New Roman" w:cstheme="minorHAnsi"/>
                <w:b/>
                <w:snapToGrid w:val="0"/>
                <w:sz w:val="24"/>
                <w:szCs w:val="24"/>
              </w:rPr>
            </w:pPr>
            <w:r w:rsidRPr="00D74A7C">
              <w:rPr>
                <w:rFonts w:eastAsia="Times New Roman" w:cstheme="minorHAnsi"/>
                <w:b/>
                <w:snapToGrid w:val="0"/>
                <w:sz w:val="24"/>
                <w:szCs w:val="24"/>
              </w:rPr>
              <w:t>Договор за финансиране</w:t>
            </w:r>
          </w:p>
        </w:tc>
        <w:tc>
          <w:tcPr>
            <w:tcW w:w="6831" w:type="dxa"/>
            <w:shd w:val="clear" w:color="auto" w:fill="F3F3F3"/>
          </w:tcPr>
          <w:p w14:paraId="023F9CE0" w14:textId="77777777" w:rsidR="00051B86" w:rsidRPr="002F4983" w:rsidRDefault="00E252C2" w:rsidP="00E252C2">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Договор</w:t>
            </w:r>
            <w:r w:rsidR="00CC68C5" w:rsidRPr="002F4983">
              <w:rPr>
                <w:rFonts w:eastAsia="Times New Roman" w:cstheme="minorHAnsi"/>
                <w:snapToGrid w:val="0"/>
                <w:sz w:val="24"/>
                <w:szCs w:val="24"/>
              </w:rPr>
              <w:t xml:space="preserve"> </w:t>
            </w:r>
            <w:r w:rsidRPr="002F4983">
              <w:rPr>
                <w:rFonts w:eastAsia="Times New Roman" w:cstheme="minorHAnsi"/>
                <w:snapToGrid w:val="0"/>
                <w:sz w:val="24"/>
                <w:szCs w:val="24"/>
              </w:rPr>
              <w:t xml:space="preserve">за предоставяне на средствата от Механизма </w:t>
            </w:r>
            <w:r w:rsidR="00D74A7C" w:rsidRPr="002F4983">
              <w:rPr>
                <w:rFonts w:eastAsia="Times New Roman" w:cstheme="minorHAnsi"/>
                <w:snapToGrid w:val="0"/>
                <w:sz w:val="24"/>
                <w:szCs w:val="24"/>
              </w:rPr>
              <w:t>за възстановяване и устойчивост от Ръководителя на С</w:t>
            </w:r>
            <w:r w:rsidRPr="002F4983">
              <w:rPr>
                <w:rFonts w:eastAsia="Times New Roman" w:cstheme="minorHAnsi"/>
                <w:snapToGrid w:val="0"/>
                <w:sz w:val="24"/>
                <w:szCs w:val="24"/>
              </w:rPr>
              <w:t>труктурата за наблюдение и докладване въз основа на одобрено предложение за изпълнение на инвестиция.</w:t>
            </w:r>
          </w:p>
        </w:tc>
      </w:tr>
      <w:tr w:rsidR="007E2AD1" w:rsidRPr="008E4D35" w14:paraId="229262D8" w14:textId="77777777" w:rsidTr="002E07CC">
        <w:tc>
          <w:tcPr>
            <w:tcW w:w="2633" w:type="dxa"/>
            <w:shd w:val="clear" w:color="auto" w:fill="E6E6E6"/>
          </w:tcPr>
          <w:p w14:paraId="258020AD" w14:textId="77777777" w:rsidR="007E2AD1" w:rsidRPr="00A56608" w:rsidRDefault="007E2AD1" w:rsidP="00051B86">
            <w:pPr>
              <w:spacing w:before="100" w:beforeAutospacing="1" w:after="100" w:afterAutospacing="1" w:line="240" w:lineRule="auto"/>
              <w:rPr>
                <w:rFonts w:eastAsia="Times New Roman" w:cstheme="minorHAnsi"/>
                <w:b/>
                <w:snapToGrid w:val="0"/>
                <w:sz w:val="24"/>
                <w:szCs w:val="24"/>
              </w:rPr>
            </w:pPr>
            <w:r w:rsidRPr="00A56608">
              <w:rPr>
                <w:rFonts w:eastAsia="Times New Roman" w:cstheme="minorHAnsi"/>
                <w:b/>
                <w:snapToGrid w:val="0"/>
                <w:sz w:val="24"/>
                <w:szCs w:val="24"/>
              </w:rPr>
              <w:t>Енергия за собствено потребление</w:t>
            </w:r>
          </w:p>
        </w:tc>
        <w:tc>
          <w:tcPr>
            <w:tcW w:w="6831" w:type="dxa"/>
            <w:shd w:val="clear" w:color="auto" w:fill="F3F3F3"/>
          </w:tcPr>
          <w:p w14:paraId="3F7264D0" w14:textId="77777777" w:rsidR="007E2AD1" w:rsidRPr="002F4983" w:rsidRDefault="007E2AD1" w:rsidP="00051B86">
            <w:pPr>
              <w:spacing w:before="100" w:beforeAutospacing="1" w:after="100" w:afterAutospacing="1" w:line="240" w:lineRule="auto"/>
              <w:jc w:val="both"/>
              <w:rPr>
                <w:rFonts w:ascii="Calibri" w:eastAsia="Calibri" w:hAnsi="Calibri" w:cs="Times New Roman"/>
                <w:bCs/>
                <w:sz w:val="24"/>
                <w:szCs w:val="24"/>
              </w:rPr>
            </w:pPr>
            <w:r w:rsidRPr="007E2AD1">
              <w:rPr>
                <w:rFonts w:ascii="Calibri" w:eastAsia="Calibri" w:hAnsi="Calibri" w:cs="Times New Roman"/>
                <w:bCs/>
                <w:sz w:val="24"/>
                <w:szCs w:val="24"/>
              </w:rPr>
              <w:t>"Енергия за собствено потребление" е количеството енергия, използвано за снабдяване на обекти, клонове и предприятия на собственика на съоръженията и инсталациите за производство на енергия от възобновяеми източници (съгласно § 1, т. 7 от Допълнителните разпоредби на ЗЕВИ).</w:t>
            </w:r>
          </w:p>
        </w:tc>
      </w:tr>
      <w:tr w:rsidR="0024621C" w:rsidRPr="008E4D35" w14:paraId="0F7DE6A4" w14:textId="77777777" w:rsidTr="002E07CC">
        <w:tc>
          <w:tcPr>
            <w:tcW w:w="2633" w:type="dxa"/>
            <w:shd w:val="clear" w:color="auto" w:fill="E6E6E6"/>
          </w:tcPr>
          <w:p w14:paraId="64E6C5CB" w14:textId="77777777" w:rsidR="0024621C" w:rsidRPr="00A56608" w:rsidRDefault="0024621C" w:rsidP="00051B86">
            <w:pPr>
              <w:spacing w:before="100" w:beforeAutospacing="1" w:after="100" w:afterAutospacing="1" w:line="240" w:lineRule="auto"/>
              <w:rPr>
                <w:rFonts w:eastAsia="Times New Roman" w:cstheme="minorHAnsi"/>
                <w:b/>
                <w:snapToGrid w:val="0"/>
                <w:sz w:val="24"/>
                <w:szCs w:val="24"/>
              </w:rPr>
            </w:pPr>
            <w:r w:rsidRPr="00A56608">
              <w:rPr>
                <w:rFonts w:eastAsia="Times New Roman" w:cstheme="minorHAnsi"/>
                <w:b/>
                <w:snapToGrid w:val="0"/>
                <w:sz w:val="24"/>
                <w:szCs w:val="24"/>
              </w:rPr>
              <w:t>Енергия от възобновяеми източници</w:t>
            </w:r>
          </w:p>
        </w:tc>
        <w:tc>
          <w:tcPr>
            <w:tcW w:w="6831" w:type="dxa"/>
            <w:shd w:val="clear" w:color="auto" w:fill="F3F3F3"/>
          </w:tcPr>
          <w:p w14:paraId="043EE7F9" w14:textId="77777777" w:rsidR="0024621C" w:rsidRPr="0024621C" w:rsidRDefault="0024621C" w:rsidP="0024621C">
            <w:pPr>
              <w:spacing w:before="60" w:after="60" w:line="240" w:lineRule="auto"/>
              <w:jc w:val="both"/>
              <w:rPr>
                <w:rFonts w:eastAsia="Times New Roman" w:cstheme="minorHAnsi"/>
                <w:snapToGrid w:val="0"/>
                <w:sz w:val="24"/>
                <w:szCs w:val="24"/>
              </w:rPr>
            </w:pPr>
            <w:r w:rsidRPr="0024621C">
              <w:rPr>
                <w:rFonts w:eastAsia="Times New Roman" w:cstheme="minorHAnsi"/>
                <w:snapToGrid w:val="0"/>
                <w:sz w:val="24"/>
                <w:szCs w:val="24"/>
              </w:rPr>
              <w:t>Съгласно чл. 2 от Директива (ЕС) 2019/944 на Европейския парламент и на Съвета от 5 юни 2019 година относно общите правила за вътрешния пазар на електроенергия и за изменение на Директива 2012/27/ЕС:</w:t>
            </w:r>
          </w:p>
          <w:p w14:paraId="7C55EC28" w14:textId="77777777" w:rsidR="0024621C" w:rsidRPr="0024621C" w:rsidRDefault="0024621C" w:rsidP="0024621C">
            <w:pPr>
              <w:spacing w:before="60" w:after="60" w:line="240" w:lineRule="auto"/>
              <w:jc w:val="both"/>
              <w:rPr>
                <w:rFonts w:eastAsia="Times New Roman" w:cstheme="minorHAnsi"/>
                <w:snapToGrid w:val="0"/>
                <w:sz w:val="24"/>
                <w:szCs w:val="24"/>
              </w:rPr>
            </w:pPr>
            <w:r>
              <w:rPr>
                <w:rFonts w:eastAsia="Times New Roman" w:cstheme="minorHAnsi"/>
                <w:snapToGrid w:val="0"/>
                <w:sz w:val="24"/>
                <w:szCs w:val="24"/>
                <w:lang w:val="en-US"/>
              </w:rPr>
              <w:t xml:space="preserve">- </w:t>
            </w:r>
            <w:r w:rsidRPr="0024621C">
              <w:rPr>
                <w:rFonts w:eastAsia="Times New Roman" w:cstheme="minorHAnsi"/>
                <w:snapToGrid w:val="0"/>
                <w:sz w:val="24"/>
                <w:szCs w:val="24"/>
              </w:rPr>
              <w:t>т.</w:t>
            </w:r>
            <w:r>
              <w:rPr>
                <w:rFonts w:eastAsia="Times New Roman" w:cstheme="minorHAnsi"/>
                <w:snapToGrid w:val="0"/>
                <w:sz w:val="24"/>
                <w:szCs w:val="24"/>
                <w:lang w:val="en-US"/>
              </w:rPr>
              <w:t xml:space="preserve"> </w:t>
            </w:r>
            <w:r w:rsidRPr="0024621C">
              <w:rPr>
                <w:rFonts w:eastAsia="Times New Roman" w:cstheme="minorHAnsi"/>
                <w:snapToGrid w:val="0"/>
                <w:sz w:val="24"/>
                <w:szCs w:val="24"/>
              </w:rPr>
              <w:t>31) „Енергия от възобновяеми източници“ или „възобновяема енергия“ означава енергия от възобновяеми неизкопаеми източници, а именно вятърна, слънчева (слънчева термична и слънчева фотоволтаична) и геотермална енергия, енергия от околната среда, енергия от приливите и отливите, от вълните и друга океанска енергия, водноелектрическа енергия, биомаса, сметищен газ, газ от пречиствателни станции за отпадъчни води и биогазове;</w:t>
            </w:r>
          </w:p>
          <w:p w14:paraId="0751BD49" w14:textId="77777777" w:rsidR="0024621C" w:rsidRPr="0024621C" w:rsidRDefault="0024621C" w:rsidP="0024621C">
            <w:pPr>
              <w:spacing w:before="60" w:after="60" w:line="240" w:lineRule="auto"/>
              <w:jc w:val="both"/>
              <w:rPr>
                <w:rFonts w:eastAsia="Times New Roman" w:cstheme="minorHAnsi"/>
                <w:snapToGrid w:val="0"/>
                <w:sz w:val="24"/>
                <w:szCs w:val="24"/>
              </w:rPr>
            </w:pPr>
            <w:r>
              <w:rPr>
                <w:rFonts w:eastAsia="Times New Roman" w:cstheme="minorHAnsi"/>
                <w:snapToGrid w:val="0"/>
                <w:sz w:val="24"/>
                <w:szCs w:val="24"/>
                <w:lang w:val="en-US"/>
              </w:rPr>
              <w:t xml:space="preserve">- </w:t>
            </w:r>
            <w:r w:rsidRPr="0024621C">
              <w:rPr>
                <w:rFonts w:eastAsia="Times New Roman" w:cstheme="minorHAnsi"/>
                <w:snapToGrid w:val="0"/>
                <w:sz w:val="24"/>
                <w:szCs w:val="24"/>
              </w:rPr>
              <w:t>т.</w:t>
            </w:r>
            <w:r>
              <w:rPr>
                <w:rFonts w:eastAsia="Times New Roman" w:cstheme="minorHAnsi"/>
                <w:snapToGrid w:val="0"/>
                <w:sz w:val="24"/>
                <w:szCs w:val="24"/>
                <w:lang w:val="en-US"/>
              </w:rPr>
              <w:t xml:space="preserve"> </w:t>
            </w:r>
            <w:r w:rsidRPr="0024621C">
              <w:rPr>
                <w:rFonts w:eastAsia="Times New Roman" w:cstheme="minorHAnsi"/>
                <w:snapToGrid w:val="0"/>
                <w:sz w:val="24"/>
                <w:szCs w:val="24"/>
              </w:rPr>
              <w:t>59) „съхраняване на енергия“ означава, в рамките на електроенергийната система, отлагане на крайното ползване на електроенергията до момент, който е по-късен от момента на нейното произвеждане или преобразуване във форма на енергия, която може да се съхранява, съхраняването на тази енергия и последващото ѝ обратно преобразуване в електроенергия или използване в друг енергиен носител;</w:t>
            </w:r>
          </w:p>
          <w:p w14:paraId="1E26AFB0" w14:textId="77777777" w:rsidR="0024621C" w:rsidRDefault="0024621C" w:rsidP="0024621C">
            <w:pPr>
              <w:spacing w:before="60" w:after="60" w:line="240" w:lineRule="auto"/>
              <w:jc w:val="both"/>
              <w:rPr>
                <w:rFonts w:eastAsia="Times New Roman" w:cstheme="minorHAnsi"/>
                <w:snapToGrid w:val="0"/>
                <w:sz w:val="24"/>
                <w:szCs w:val="24"/>
              </w:rPr>
            </w:pPr>
            <w:r>
              <w:rPr>
                <w:rFonts w:eastAsia="Times New Roman" w:cstheme="minorHAnsi"/>
                <w:snapToGrid w:val="0"/>
                <w:sz w:val="24"/>
                <w:szCs w:val="24"/>
                <w:lang w:val="en-US"/>
              </w:rPr>
              <w:t xml:space="preserve">- </w:t>
            </w:r>
            <w:r w:rsidRPr="0024621C">
              <w:rPr>
                <w:rFonts w:eastAsia="Times New Roman" w:cstheme="minorHAnsi"/>
                <w:snapToGrid w:val="0"/>
                <w:sz w:val="24"/>
                <w:szCs w:val="24"/>
              </w:rPr>
              <w:t>т.</w:t>
            </w:r>
            <w:r>
              <w:rPr>
                <w:rFonts w:eastAsia="Times New Roman" w:cstheme="minorHAnsi"/>
                <w:snapToGrid w:val="0"/>
                <w:sz w:val="24"/>
                <w:szCs w:val="24"/>
                <w:lang w:val="en-US"/>
              </w:rPr>
              <w:t xml:space="preserve"> </w:t>
            </w:r>
            <w:r w:rsidRPr="0024621C">
              <w:rPr>
                <w:rFonts w:eastAsia="Times New Roman" w:cstheme="minorHAnsi"/>
                <w:snapToGrid w:val="0"/>
                <w:sz w:val="24"/>
                <w:szCs w:val="24"/>
              </w:rPr>
              <w:t>60) „съоръжения за съхраняване на енергия“ означава, в рамките на електроенергийната система, съоръжение, в което се съхранява енергия.</w:t>
            </w:r>
          </w:p>
          <w:p w14:paraId="65D74BA5" w14:textId="1015554C" w:rsidR="00497FFC" w:rsidRPr="0024621C" w:rsidRDefault="00497FFC" w:rsidP="004652A4">
            <w:pPr>
              <w:spacing w:before="60" w:after="60" w:line="240" w:lineRule="auto"/>
              <w:jc w:val="both"/>
              <w:rPr>
                <w:rFonts w:eastAsia="Times New Roman" w:cstheme="minorHAnsi"/>
                <w:snapToGrid w:val="0"/>
                <w:sz w:val="24"/>
                <w:szCs w:val="24"/>
              </w:rPr>
            </w:pPr>
            <w:r>
              <w:rPr>
                <w:rFonts w:eastAsia="Times New Roman" w:cstheme="minorHAnsi"/>
                <w:snapToGrid w:val="0"/>
                <w:sz w:val="24"/>
                <w:szCs w:val="24"/>
              </w:rPr>
              <w:t xml:space="preserve">Настоящата процедура е </w:t>
            </w:r>
            <w:r w:rsidRPr="00497FFC">
              <w:rPr>
                <w:rFonts w:eastAsia="Times New Roman" w:cstheme="minorHAnsi"/>
                <w:snapToGrid w:val="0"/>
                <w:sz w:val="24"/>
                <w:szCs w:val="24"/>
              </w:rPr>
              <w:t>насочена единствено към слънчева фотоволтаична енергия и има като задължителен елемент придобиването на технологии и съоръжения за съхранение</w:t>
            </w:r>
            <w:r>
              <w:rPr>
                <w:rFonts w:eastAsia="Times New Roman" w:cstheme="minorHAnsi"/>
                <w:snapToGrid w:val="0"/>
                <w:sz w:val="24"/>
                <w:szCs w:val="24"/>
              </w:rPr>
              <w:t>.</w:t>
            </w:r>
          </w:p>
        </w:tc>
      </w:tr>
      <w:tr w:rsidR="00051B86" w:rsidRPr="008E4D35" w14:paraId="75259F63" w14:textId="77777777" w:rsidTr="002E07CC">
        <w:tc>
          <w:tcPr>
            <w:tcW w:w="2633" w:type="dxa"/>
            <w:shd w:val="clear" w:color="auto" w:fill="E6E6E6"/>
          </w:tcPr>
          <w:p w14:paraId="6C05D20E" w14:textId="77777777" w:rsidR="00051B86" w:rsidRPr="008E4D35" w:rsidRDefault="00192CE9" w:rsidP="00051B86">
            <w:pPr>
              <w:spacing w:before="100" w:beforeAutospacing="1" w:after="100" w:afterAutospacing="1" w:line="240" w:lineRule="auto"/>
              <w:rPr>
                <w:rFonts w:eastAsia="Times New Roman" w:cstheme="minorHAnsi"/>
                <w:b/>
                <w:snapToGrid w:val="0"/>
                <w:sz w:val="24"/>
                <w:szCs w:val="24"/>
              </w:rPr>
            </w:pPr>
            <w:r w:rsidRPr="00192CE9">
              <w:rPr>
                <w:rFonts w:eastAsia="Times New Roman" w:cstheme="minorHAnsi"/>
                <w:b/>
                <w:snapToGrid w:val="0"/>
                <w:sz w:val="24"/>
                <w:szCs w:val="24"/>
              </w:rPr>
              <w:t>Кандидати за средства от Механизма за възстановяване и устойчивост</w:t>
            </w:r>
          </w:p>
        </w:tc>
        <w:tc>
          <w:tcPr>
            <w:tcW w:w="6831" w:type="dxa"/>
            <w:shd w:val="clear" w:color="auto" w:fill="F3F3F3"/>
          </w:tcPr>
          <w:p w14:paraId="365850EF" w14:textId="77777777" w:rsidR="00051B86" w:rsidRPr="002F4983" w:rsidRDefault="00B81D0C" w:rsidP="00051B86">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В</w:t>
            </w:r>
            <w:r w:rsidR="00192CE9" w:rsidRPr="002F4983">
              <w:rPr>
                <w:rFonts w:eastAsia="Times New Roman" w:cstheme="minorHAnsi"/>
                <w:snapToGrid w:val="0"/>
                <w:sz w:val="24"/>
                <w:szCs w:val="24"/>
              </w:rPr>
              <w:t>сички физически и юридически лица и техни обединения, които кандидатстват за средства от Механизма за възстановяване и устойчивост чрез подаване на предложение за изпълнение на инвестиция.</w:t>
            </w:r>
          </w:p>
        </w:tc>
      </w:tr>
      <w:tr w:rsidR="00051B86" w:rsidRPr="008E4D35" w14:paraId="3B6066DB" w14:textId="77777777" w:rsidTr="002E07CC">
        <w:tc>
          <w:tcPr>
            <w:tcW w:w="2633" w:type="dxa"/>
            <w:shd w:val="clear" w:color="auto" w:fill="E6E6E6"/>
          </w:tcPr>
          <w:p w14:paraId="3F608C81" w14:textId="77777777" w:rsidR="00051B86" w:rsidRPr="008E4D35" w:rsidRDefault="00051B86" w:rsidP="00051B86">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Краен получател</w:t>
            </w:r>
          </w:p>
        </w:tc>
        <w:tc>
          <w:tcPr>
            <w:tcW w:w="6831" w:type="dxa"/>
            <w:shd w:val="clear" w:color="auto" w:fill="F3F3F3"/>
          </w:tcPr>
          <w:p w14:paraId="75FB0E4C" w14:textId="77777777" w:rsidR="00051B86" w:rsidRPr="002F4983" w:rsidRDefault="00DE5013" w:rsidP="00051B86">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К</w:t>
            </w:r>
            <w:r w:rsidR="00051B86" w:rsidRPr="002F4983">
              <w:rPr>
                <w:rFonts w:eastAsia="Times New Roman" w:cstheme="minorHAnsi"/>
                <w:snapToGrid w:val="0"/>
                <w:sz w:val="24"/>
                <w:szCs w:val="24"/>
              </w:rPr>
              <w:t>андидат за средства от Механизма за възстановяване и устойчивост, чието предложение за изпълнение на инве</w:t>
            </w:r>
            <w:r w:rsidRPr="002F4983">
              <w:rPr>
                <w:rFonts w:eastAsia="Times New Roman" w:cstheme="minorHAnsi"/>
                <w:snapToGrid w:val="0"/>
                <w:sz w:val="24"/>
                <w:szCs w:val="24"/>
              </w:rPr>
              <w:t xml:space="preserve">стиция </w:t>
            </w:r>
            <w:r w:rsidRPr="002F4983">
              <w:rPr>
                <w:rFonts w:eastAsia="Times New Roman" w:cstheme="minorHAnsi"/>
                <w:snapToGrid w:val="0"/>
                <w:sz w:val="24"/>
                <w:szCs w:val="24"/>
              </w:rPr>
              <w:lastRenderedPageBreak/>
              <w:t>е одобрено с решение на Р</w:t>
            </w:r>
            <w:r w:rsidR="00051B86" w:rsidRPr="002F4983">
              <w:rPr>
                <w:rFonts w:eastAsia="Times New Roman" w:cstheme="minorHAnsi"/>
                <w:snapToGrid w:val="0"/>
                <w:sz w:val="24"/>
                <w:szCs w:val="24"/>
              </w:rPr>
              <w:t xml:space="preserve">ъководителя на </w:t>
            </w:r>
            <w:r w:rsidRPr="002F4983">
              <w:rPr>
                <w:rFonts w:eastAsia="Times New Roman" w:cstheme="minorHAnsi"/>
                <w:snapToGrid w:val="0"/>
                <w:sz w:val="24"/>
                <w:szCs w:val="24"/>
              </w:rPr>
              <w:t>С</w:t>
            </w:r>
            <w:r w:rsidR="00051B86" w:rsidRPr="002F4983">
              <w:rPr>
                <w:rFonts w:eastAsia="Times New Roman" w:cstheme="minorHAnsi"/>
                <w:snapToGrid w:val="0"/>
                <w:sz w:val="24"/>
                <w:szCs w:val="24"/>
              </w:rPr>
              <w:t>труктурата за наблюдение и докладване в резултат на извършена процедура чрез подбор или чрез директно предоставяне н</w:t>
            </w:r>
            <w:r w:rsidRPr="002F4983">
              <w:rPr>
                <w:rFonts w:eastAsia="Times New Roman" w:cstheme="minorHAnsi"/>
                <w:snapToGrid w:val="0"/>
                <w:sz w:val="24"/>
                <w:szCs w:val="24"/>
              </w:rPr>
              <w:t>а средства по реда на ПМС № 114/2022</w:t>
            </w:r>
            <w:r w:rsidR="00051B86" w:rsidRPr="002F4983">
              <w:rPr>
                <w:rFonts w:eastAsia="Times New Roman" w:cstheme="minorHAnsi"/>
                <w:snapToGrid w:val="0"/>
                <w:sz w:val="24"/>
                <w:szCs w:val="24"/>
              </w:rPr>
              <w:t xml:space="preserve"> </w:t>
            </w:r>
            <w:r w:rsidR="00830485">
              <w:rPr>
                <w:rFonts w:eastAsia="Times New Roman" w:cstheme="minorHAnsi"/>
                <w:snapToGrid w:val="0"/>
                <w:sz w:val="24"/>
                <w:szCs w:val="24"/>
              </w:rPr>
              <w:t xml:space="preserve">г. </w:t>
            </w:r>
            <w:r w:rsidR="00051B86" w:rsidRPr="002F4983">
              <w:rPr>
                <w:rFonts w:eastAsia="Times New Roman" w:cstheme="minorHAnsi"/>
                <w:snapToGrid w:val="0"/>
                <w:sz w:val="24"/>
                <w:szCs w:val="24"/>
              </w:rPr>
              <w:t>и с когото е сключен договор или е издадена заповед за предоставяне на средства от Механизма.</w:t>
            </w:r>
          </w:p>
        </w:tc>
      </w:tr>
      <w:tr w:rsidR="002E07CC" w:rsidRPr="008E4D35" w14:paraId="582B2CB3" w14:textId="77777777" w:rsidTr="002E07CC">
        <w:tc>
          <w:tcPr>
            <w:tcW w:w="2633" w:type="dxa"/>
            <w:shd w:val="clear" w:color="auto" w:fill="E6E6E6"/>
          </w:tcPr>
          <w:p w14:paraId="7C56B31A" w14:textId="77777777" w:rsidR="002E07CC" w:rsidRPr="00A56608" w:rsidRDefault="002E07CC" w:rsidP="002E07CC">
            <w:pPr>
              <w:spacing w:before="100" w:beforeAutospacing="1" w:after="100" w:afterAutospacing="1" w:line="240" w:lineRule="auto"/>
              <w:rPr>
                <w:rFonts w:eastAsia="Times New Roman" w:cstheme="minorHAnsi"/>
                <w:b/>
                <w:snapToGrid w:val="0"/>
                <w:sz w:val="24"/>
                <w:szCs w:val="24"/>
              </w:rPr>
            </w:pPr>
            <w:r w:rsidRPr="00A56608">
              <w:rPr>
                <w:rFonts w:eastAsia="Times New Roman" w:cstheme="minorHAnsi"/>
                <w:b/>
                <w:snapToGrid w:val="0"/>
                <w:sz w:val="24"/>
                <w:szCs w:val="24"/>
              </w:rPr>
              <w:lastRenderedPageBreak/>
              <w:t>Микро-, малки и средни предприятия (МСП)</w:t>
            </w:r>
          </w:p>
        </w:tc>
        <w:tc>
          <w:tcPr>
            <w:tcW w:w="6831" w:type="dxa"/>
            <w:shd w:val="clear" w:color="auto" w:fill="F3F3F3"/>
          </w:tcPr>
          <w:p w14:paraId="2521DA98" w14:textId="77777777" w:rsidR="002E07CC" w:rsidRDefault="002E07CC" w:rsidP="002E07CC">
            <w:pPr>
              <w:spacing w:after="120" w:line="240" w:lineRule="auto"/>
              <w:jc w:val="both"/>
              <w:rPr>
                <w:rFonts w:eastAsia="Times New Roman" w:cstheme="minorHAnsi"/>
                <w:snapToGrid w:val="0"/>
                <w:sz w:val="24"/>
                <w:szCs w:val="24"/>
              </w:rPr>
            </w:pPr>
            <w:r w:rsidRPr="002E07CC">
              <w:rPr>
                <w:rFonts w:eastAsia="Times New Roman" w:cstheme="minorHAnsi"/>
                <w:snapToGrid w:val="0"/>
                <w:sz w:val="24"/>
                <w:szCs w:val="24"/>
              </w:rPr>
              <w:t xml:space="preserve">По смисъла на чл. 3 и чл. 4 от Закона за малките и средните предприятия </w:t>
            </w:r>
            <w:r>
              <w:rPr>
                <w:rFonts w:eastAsia="Times New Roman" w:cstheme="minorHAnsi"/>
                <w:snapToGrid w:val="0"/>
                <w:sz w:val="24"/>
                <w:szCs w:val="24"/>
              </w:rPr>
              <w:t xml:space="preserve">(ЗМСП) </w:t>
            </w:r>
            <w:r w:rsidRPr="002E07CC">
              <w:rPr>
                <w:rFonts w:eastAsia="Times New Roman" w:cstheme="minorHAnsi"/>
                <w:snapToGrid w:val="0"/>
                <w:sz w:val="24"/>
                <w:szCs w:val="24"/>
              </w:rPr>
              <w:t>и Препоръка на Комисията от 6 май 2003 г. относно определението за микро-, малки и средни предприятия (ОВ L 124, 20.5.2003 г., стр. 36).</w:t>
            </w:r>
          </w:p>
          <w:p w14:paraId="1ECBAD4C" w14:textId="77777777" w:rsidR="002E07CC" w:rsidRPr="002E07CC" w:rsidRDefault="002E07CC" w:rsidP="002E07CC">
            <w:pPr>
              <w:spacing w:after="0" w:line="240" w:lineRule="auto"/>
              <w:jc w:val="both"/>
              <w:rPr>
                <w:rFonts w:eastAsia="Times New Roman" w:cstheme="minorHAnsi"/>
                <w:snapToGrid w:val="0"/>
                <w:sz w:val="24"/>
                <w:szCs w:val="24"/>
              </w:rPr>
            </w:pPr>
            <w:r>
              <w:rPr>
                <w:rFonts w:eastAsia="Times New Roman" w:cstheme="minorHAnsi"/>
                <w:snapToGrid w:val="0"/>
                <w:sz w:val="24"/>
                <w:szCs w:val="24"/>
              </w:rPr>
              <w:t>Съгласно ч</w:t>
            </w:r>
            <w:r w:rsidRPr="002E07CC">
              <w:rPr>
                <w:rFonts w:eastAsia="Times New Roman" w:cstheme="minorHAnsi"/>
                <w:snapToGrid w:val="0"/>
                <w:sz w:val="24"/>
                <w:szCs w:val="24"/>
              </w:rPr>
              <w:t>л. 3</w:t>
            </w:r>
            <w:r>
              <w:rPr>
                <w:rFonts w:eastAsia="Times New Roman" w:cstheme="minorHAnsi"/>
                <w:snapToGrid w:val="0"/>
                <w:sz w:val="24"/>
                <w:szCs w:val="24"/>
              </w:rPr>
              <w:t>, ал. 1 от ЗМСП, к</w:t>
            </w:r>
            <w:r w:rsidRPr="002E07CC">
              <w:rPr>
                <w:rFonts w:eastAsia="Times New Roman" w:cstheme="minorHAnsi"/>
                <w:snapToGrid w:val="0"/>
                <w:sz w:val="24"/>
                <w:szCs w:val="24"/>
              </w:rPr>
              <w:t>атегорията малки и средни предприятия включва предприятията, които имат:</w:t>
            </w:r>
          </w:p>
          <w:p w14:paraId="06C3F94E" w14:textId="77777777" w:rsidR="002E07CC" w:rsidRPr="002E07CC" w:rsidRDefault="002E07CC" w:rsidP="002E07CC">
            <w:pPr>
              <w:spacing w:after="0" w:line="240" w:lineRule="auto"/>
              <w:jc w:val="both"/>
              <w:rPr>
                <w:rFonts w:eastAsia="Times New Roman" w:cstheme="minorHAnsi"/>
                <w:snapToGrid w:val="0"/>
                <w:sz w:val="24"/>
                <w:szCs w:val="24"/>
              </w:rPr>
            </w:pPr>
            <w:r w:rsidRPr="002E07CC">
              <w:rPr>
                <w:rFonts w:eastAsia="Times New Roman" w:cstheme="minorHAnsi"/>
                <w:snapToGrid w:val="0"/>
                <w:sz w:val="24"/>
                <w:szCs w:val="24"/>
              </w:rPr>
              <w:t>1. средносписъчен брой на персонала, по-малък от 250 души, и</w:t>
            </w:r>
          </w:p>
          <w:p w14:paraId="273FDDC2" w14:textId="77777777" w:rsidR="002E07CC" w:rsidRPr="002F4983" w:rsidRDefault="002E07CC" w:rsidP="002E07CC">
            <w:pPr>
              <w:spacing w:after="0" w:line="240" w:lineRule="auto"/>
              <w:jc w:val="both"/>
              <w:rPr>
                <w:rFonts w:eastAsia="Times New Roman" w:cstheme="minorHAnsi"/>
                <w:snapToGrid w:val="0"/>
                <w:sz w:val="24"/>
                <w:szCs w:val="24"/>
              </w:rPr>
            </w:pPr>
            <w:r w:rsidRPr="002E07CC">
              <w:rPr>
                <w:rFonts w:eastAsia="Times New Roman" w:cstheme="minorHAnsi"/>
                <w:snapToGrid w:val="0"/>
                <w:sz w:val="24"/>
                <w:szCs w:val="24"/>
              </w:rPr>
              <w:t>2. годишен оборот, който не превишава 97 500 000 лв., и/или стойност на активите, която не превишава 84 000 000 лв.</w:t>
            </w:r>
          </w:p>
        </w:tc>
      </w:tr>
      <w:tr w:rsidR="002E07CC" w:rsidRPr="008E4D35" w14:paraId="132786DE" w14:textId="77777777" w:rsidTr="002E07CC">
        <w:tc>
          <w:tcPr>
            <w:tcW w:w="2633" w:type="dxa"/>
            <w:shd w:val="clear" w:color="auto" w:fill="E6E6E6"/>
          </w:tcPr>
          <w:p w14:paraId="0B5EA4F9" w14:textId="77777777" w:rsidR="002E07CC" w:rsidRPr="00A56608" w:rsidRDefault="002E07CC" w:rsidP="002E07CC">
            <w:pPr>
              <w:spacing w:before="100" w:beforeAutospacing="1" w:after="100" w:afterAutospacing="1" w:line="240" w:lineRule="auto"/>
              <w:rPr>
                <w:rFonts w:eastAsia="Times New Roman" w:cstheme="minorHAnsi"/>
                <w:b/>
                <w:snapToGrid w:val="0"/>
                <w:sz w:val="24"/>
                <w:szCs w:val="24"/>
              </w:rPr>
            </w:pPr>
            <w:r w:rsidRPr="00A56608">
              <w:rPr>
                <w:rFonts w:eastAsia="Times New Roman" w:cstheme="minorHAnsi"/>
                <w:b/>
                <w:snapToGrid w:val="0"/>
                <w:sz w:val="24"/>
                <w:szCs w:val="24"/>
              </w:rPr>
              <w:t>Малки дружества със средна пазарна капитализация (Small Mid-Caps)</w:t>
            </w:r>
          </w:p>
        </w:tc>
        <w:tc>
          <w:tcPr>
            <w:tcW w:w="6831" w:type="dxa"/>
            <w:shd w:val="clear" w:color="auto" w:fill="F3F3F3"/>
          </w:tcPr>
          <w:p w14:paraId="48EBA50C" w14:textId="77777777" w:rsidR="00B83EB7" w:rsidRPr="002F4983" w:rsidRDefault="005F70AF" w:rsidP="00176A33">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За целите на настоящата процедура, „м</w:t>
            </w:r>
            <w:r w:rsidRPr="005F70AF">
              <w:rPr>
                <w:rFonts w:eastAsia="Times New Roman" w:cstheme="minorHAnsi"/>
                <w:snapToGrid w:val="0"/>
                <w:sz w:val="24"/>
                <w:szCs w:val="24"/>
              </w:rPr>
              <w:t>алки дружества със средна пазарна капитализация (Small Mid-Caps)</w:t>
            </w:r>
            <w:r>
              <w:rPr>
                <w:rFonts w:eastAsia="Times New Roman" w:cstheme="minorHAnsi"/>
                <w:snapToGrid w:val="0"/>
                <w:sz w:val="24"/>
                <w:szCs w:val="24"/>
              </w:rPr>
              <w:t>“ са предприятия</w:t>
            </w:r>
            <w:r w:rsidR="002E07CC" w:rsidRPr="002E07CC">
              <w:rPr>
                <w:rFonts w:eastAsia="Times New Roman" w:cstheme="minorHAnsi"/>
                <w:snapToGrid w:val="0"/>
                <w:sz w:val="24"/>
                <w:szCs w:val="24"/>
              </w:rPr>
              <w:t>, които по финансови показатели са МСП</w:t>
            </w:r>
            <w:r w:rsidR="002E07CC">
              <w:rPr>
                <w:rFonts w:eastAsia="Times New Roman" w:cstheme="minorHAnsi"/>
                <w:snapToGrid w:val="0"/>
                <w:sz w:val="24"/>
                <w:szCs w:val="24"/>
              </w:rPr>
              <w:t xml:space="preserve"> (т.е. имат </w:t>
            </w:r>
            <w:r w:rsidR="002E07CC" w:rsidRPr="002E07CC">
              <w:rPr>
                <w:rFonts w:eastAsia="Times New Roman" w:cstheme="minorHAnsi"/>
                <w:snapToGrid w:val="0"/>
                <w:sz w:val="24"/>
                <w:szCs w:val="24"/>
              </w:rPr>
              <w:t>годишен оборот, който не превишава 97 500 000 л</w:t>
            </w:r>
            <w:r w:rsidR="00B83EB7">
              <w:rPr>
                <w:rFonts w:eastAsia="Times New Roman" w:cstheme="minorHAnsi"/>
                <w:snapToGrid w:val="0"/>
                <w:sz w:val="24"/>
                <w:szCs w:val="24"/>
              </w:rPr>
              <w:t>е</w:t>
            </w:r>
            <w:r w:rsidR="002E07CC" w:rsidRPr="002E07CC">
              <w:rPr>
                <w:rFonts w:eastAsia="Times New Roman" w:cstheme="minorHAnsi"/>
                <w:snapToGrid w:val="0"/>
                <w:sz w:val="24"/>
                <w:szCs w:val="24"/>
              </w:rPr>
              <w:t>в</w:t>
            </w:r>
            <w:r w:rsidR="00B83EB7">
              <w:rPr>
                <w:rFonts w:eastAsia="Times New Roman" w:cstheme="minorHAnsi"/>
                <w:snapToGrid w:val="0"/>
                <w:sz w:val="24"/>
                <w:szCs w:val="24"/>
              </w:rPr>
              <w:t>а</w:t>
            </w:r>
            <w:r w:rsidR="002E07CC" w:rsidRPr="002E07CC">
              <w:rPr>
                <w:rFonts w:eastAsia="Times New Roman" w:cstheme="minorHAnsi"/>
                <w:snapToGrid w:val="0"/>
                <w:sz w:val="24"/>
                <w:szCs w:val="24"/>
              </w:rPr>
              <w:t xml:space="preserve">, </w:t>
            </w:r>
            <w:r w:rsidR="00B83EB7">
              <w:rPr>
                <w:rFonts w:eastAsia="Times New Roman" w:cstheme="minorHAnsi"/>
                <w:snapToGrid w:val="0"/>
                <w:sz w:val="24"/>
                <w:szCs w:val="24"/>
                <w:lang w:val="en-US"/>
              </w:rPr>
              <w:t>и/</w:t>
            </w:r>
            <w:r w:rsidR="002E07CC">
              <w:rPr>
                <w:rFonts w:eastAsia="Times New Roman" w:cstheme="minorHAnsi"/>
                <w:snapToGrid w:val="0"/>
                <w:sz w:val="24"/>
                <w:szCs w:val="24"/>
              </w:rPr>
              <w:t>и</w:t>
            </w:r>
            <w:r w:rsidR="002E07CC" w:rsidRPr="002E07CC">
              <w:rPr>
                <w:rFonts w:eastAsia="Times New Roman" w:cstheme="minorHAnsi"/>
                <w:snapToGrid w:val="0"/>
                <w:sz w:val="24"/>
                <w:szCs w:val="24"/>
              </w:rPr>
              <w:t>ли стойност на активите, която не превишава 84 000 000 л</w:t>
            </w:r>
            <w:r w:rsidR="00B83EB7">
              <w:rPr>
                <w:rFonts w:eastAsia="Times New Roman" w:cstheme="minorHAnsi"/>
                <w:snapToGrid w:val="0"/>
                <w:sz w:val="24"/>
                <w:szCs w:val="24"/>
              </w:rPr>
              <w:t>е</w:t>
            </w:r>
            <w:r w:rsidR="002E07CC" w:rsidRPr="002E07CC">
              <w:rPr>
                <w:rFonts w:eastAsia="Times New Roman" w:cstheme="minorHAnsi"/>
                <w:snapToGrid w:val="0"/>
                <w:sz w:val="24"/>
                <w:szCs w:val="24"/>
              </w:rPr>
              <w:t>в</w:t>
            </w:r>
            <w:r w:rsidR="00B83EB7">
              <w:rPr>
                <w:rFonts w:eastAsia="Times New Roman" w:cstheme="minorHAnsi"/>
                <w:snapToGrid w:val="0"/>
                <w:sz w:val="24"/>
                <w:szCs w:val="24"/>
              </w:rPr>
              <w:t>а</w:t>
            </w:r>
            <w:r w:rsidR="00B83EB7" w:rsidRPr="00B83EB7">
              <w:rPr>
                <w:rFonts w:eastAsia="Times New Roman" w:cstheme="minorHAnsi"/>
                <w:snapToGrid w:val="0"/>
                <w:sz w:val="24"/>
                <w:szCs w:val="24"/>
              </w:rPr>
              <w:t>, съгласно чл. 3 от ЗМСП</w:t>
            </w:r>
            <w:r w:rsidR="002E07CC">
              <w:rPr>
                <w:rFonts w:eastAsia="Times New Roman" w:cstheme="minorHAnsi"/>
                <w:snapToGrid w:val="0"/>
                <w:sz w:val="24"/>
                <w:szCs w:val="24"/>
              </w:rPr>
              <w:t>)</w:t>
            </w:r>
            <w:r w:rsidR="002E07CC" w:rsidRPr="002E07CC">
              <w:rPr>
                <w:rFonts w:eastAsia="Times New Roman" w:cstheme="minorHAnsi"/>
                <w:snapToGrid w:val="0"/>
                <w:sz w:val="24"/>
                <w:szCs w:val="24"/>
              </w:rPr>
              <w:t>, но средн</w:t>
            </w:r>
            <w:r w:rsidR="00B83EB7">
              <w:rPr>
                <w:rFonts w:eastAsia="Times New Roman" w:cstheme="minorHAnsi"/>
                <w:snapToGrid w:val="0"/>
                <w:sz w:val="24"/>
                <w:szCs w:val="24"/>
              </w:rPr>
              <w:t>о</w:t>
            </w:r>
            <w:r w:rsidR="002E07CC" w:rsidRPr="002E07CC">
              <w:rPr>
                <w:rFonts w:eastAsia="Times New Roman" w:cstheme="minorHAnsi"/>
                <w:snapToGrid w:val="0"/>
                <w:sz w:val="24"/>
                <w:szCs w:val="24"/>
              </w:rPr>
              <w:t xml:space="preserve"> списъчният брой на персонала им е </w:t>
            </w:r>
            <w:r w:rsidR="00B83EB7" w:rsidRPr="00B83EB7">
              <w:rPr>
                <w:rFonts w:eastAsia="Times New Roman" w:cstheme="minorHAnsi"/>
                <w:snapToGrid w:val="0"/>
                <w:sz w:val="24"/>
                <w:szCs w:val="24"/>
              </w:rPr>
              <w:t xml:space="preserve">до 499 служители (т.е. </w:t>
            </w:r>
            <w:r w:rsidR="00B83EB7">
              <w:rPr>
                <w:rFonts w:eastAsia="Times New Roman" w:cstheme="minorHAnsi"/>
                <w:snapToGrid w:val="0"/>
                <w:sz w:val="24"/>
                <w:szCs w:val="24"/>
              </w:rPr>
              <w:t xml:space="preserve">имат </w:t>
            </w:r>
            <w:r w:rsidR="00B83EB7" w:rsidRPr="00B83EB7">
              <w:rPr>
                <w:rFonts w:eastAsia="Times New Roman" w:cstheme="minorHAnsi"/>
                <w:snapToGrid w:val="0"/>
                <w:sz w:val="24"/>
                <w:szCs w:val="24"/>
              </w:rPr>
              <w:t>средносписъч</w:t>
            </w:r>
            <w:r w:rsidR="00B83EB7">
              <w:rPr>
                <w:rFonts w:eastAsia="Times New Roman" w:cstheme="minorHAnsi"/>
                <w:snapToGrid w:val="0"/>
                <w:sz w:val="24"/>
                <w:szCs w:val="24"/>
              </w:rPr>
              <w:t>ен</w:t>
            </w:r>
            <w:r w:rsidR="00B83EB7" w:rsidRPr="00B83EB7">
              <w:rPr>
                <w:rFonts w:eastAsia="Times New Roman" w:cstheme="minorHAnsi"/>
                <w:snapToGrid w:val="0"/>
                <w:sz w:val="24"/>
                <w:szCs w:val="24"/>
              </w:rPr>
              <w:t xml:space="preserve"> брой на персонала от 250 души до 499 души)</w:t>
            </w:r>
            <w:r w:rsidR="00176A33">
              <w:rPr>
                <w:rFonts w:eastAsia="Times New Roman" w:cstheme="minorHAnsi"/>
                <w:snapToGrid w:val="0"/>
                <w:sz w:val="24"/>
                <w:szCs w:val="24"/>
              </w:rPr>
              <w:t xml:space="preserve">, като </w:t>
            </w:r>
            <w:r w:rsidR="00176A33" w:rsidRPr="00176A33">
              <w:rPr>
                <w:rFonts w:eastAsia="Times New Roman" w:cstheme="minorHAnsi"/>
                <w:snapToGrid w:val="0"/>
                <w:sz w:val="24"/>
                <w:szCs w:val="24"/>
              </w:rPr>
              <w:t xml:space="preserve">са взети предвид всички отношения </w:t>
            </w:r>
            <w:r w:rsidR="00176A33">
              <w:rPr>
                <w:rFonts w:eastAsia="Times New Roman" w:cstheme="minorHAnsi"/>
                <w:snapToGrid w:val="0"/>
                <w:sz w:val="24"/>
                <w:szCs w:val="24"/>
              </w:rPr>
              <w:t xml:space="preserve">на партньорство и свързаност </w:t>
            </w:r>
            <w:r w:rsidR="00176A33" w:rsidRPr="00176A33">
              <w:rPr>
                <w:rFonts w:eastAsia="Times New Roman" w:cstheme="minorHAnsi"/>
                <w:snapToGrid w:val="0"/>
                <w:sz w:val="24"/>
                <w:szCs w:val="24"/>
              </w:rPr>
              <w:t>с</w:t>
            </w:r>
            <w:r w:rsidR="00176A33">
              <w:rPr>
                <w:rFonts w:eastAsia="Times New Roman" w:cstheme="minorHAnsi"/>
                <w:snapToGrid w:val="0"/>
                <w:sz w:val="24"/>
                <w:szCs w:val="24"/>
              </w:rPr>
              <w:t xml:space="preserve"> </w:t>
            </w:r>
            <w:r w:rsidR="00176A33" w:rsidRPr="00176A33">
              <w:rPr>
                <w:rFonts w:eastAsia="Times New Roman" w:cstheme="minorHAnsi"/>
                <w:snapToGrid w:val="0"/>
                <w:sz w:val="24"/>
                <w:szCs w:val="24"/>
              </w:rPr>
              <w:t>други предприятия по смисъла на чл.</w:t>
            </w:r>
            <w:r w:rsidR="00176A33">
              <w:rPr>
                <w:rFonts w:eastAsia="Times New Roman" w:cstheme="minorHAnsi"/>
                <w:snapToGrid w:val="0"/>
                <w:sz w:val="24"/>
                <w:szCs w:val="24"/>
              </w:rPr>
              <w:t xml:space="preserve"> </w:t>
            </w:r>
            <w:r w:rsidR="00176A33" w:rsidRPr="00176A33">
              <w:rPr>
                <w:rFonts w:eastAsia="Times New Roman" w:cstheme="minorHAnsi"/>
                <w:snapToGrid w:val="0"/>
                <w:sz w:val="24"/>
                <w:szCs w:val="24"/>
              </w:rPr>
              <w:t>4 от ЗМСП</w:t>
            </w:r>
            <w:r w:rsidR="002E07CC" w:rsidRPr="002E07CC">
              <w:rPr>
                <w:rFonts w:eastAsia="Times New Roman" w:cstheme="minorHAnsi"/>
                <w:snapToGrid w:val="0"/>
                <w:sz w:val="24"/>
                <w:szCs w:val="24"/>
              </w:rPr>
              <w:t>.</w:t>
            </w:r>
          </w:p>
        </w:tc>
      </w:tr>
      <w:tr w:rsidR="002E07CC" w:rsidRPr="008E4D35" w14:paraId="581FBB78" w14:textId="77777777" w:rsidTr="002E07CC">
        <w:tc>
          <w:tcPr>
            <w:tcW w:w="2633" w:type="dxa"/>
            <w:shd w:val="clear" w:color="auto" w:fill="E6E6E6"/>
          </w:tcPr>
          <w:p w14:paraId="6E6DAD64" w14:textId="77777777" w:rsidR="002E07CC" w:rsidRPr="00A56608" w:rsidRDefault="002E07CC" w:rsidP="002E07CC">
            <w:pPr>
              <w:spacing w:before="100" w:beforeAutospacing="1" w:after="100" w:afterAutospacing="1" w:line="240" w:lineRule="auto"/>
              <w:rPr>
                <w:rFonts w:eastAsia="Times New Roman" w:cstheme="minorHAnsi"/>
                <w:b/>
                <w:snapToGrid w:val="0"/>
                <w:sz w:val="24"/>
                <w:szCs w:val="24"/>
              </w:rPr>
            </w:pPr>
            <w:r w:rsidRPr="00A56608">
              <w:rPr>
                <w:rFonts w:eastAsia="Times New Roman" w:cstheme="minorHAnsi"/>
                <w:b/>
                <w:snapToGrid w:val="0"/>
                <w:sz w:val="24"/>
                <w:szCs w:val="24"/>
              </w:rPr>
              <w:t>Дружества със средна пазарна капитализация (Mid-Caps)</w:t>
            </w:r>
          </w:p>
        </w:tc>
        <w:tc>
          <w:tcPr>
            <w:tcW w:w="6831" w:type="dxa"/>
            <w:shd w:val="clear" w:color="auto" w:fill="F3F3F3"/>
          </w:tcPr>
          <w:p w14:paraId="00A1BEC2" w14:textId="77777777" w:rsidR="002E07CC" w:rsidRPr="002F4983" w:rsidRDefault="005F70AF" w:rsidP="00B83EB7">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За целите на настоящата процедура, „</w:t>
            </w:r>
            <w:r w:rsidRPr="005F70AF">
              <w:rPr>
                <w:rFonts w:eastAsia="Times New Roman" w:cstheme="minorHAnsi"/>
                <w:snapToGrid w:val="0"/>
                <w:sz w:val="24"/>
                <w:szCs w:val="24"/>
              </w:rPr>
              <w:t>дружества със средна пазарна капитализация (Mid-Caps)</w:t>
            </w:r>
            <w:r>
              <w:rPr>
                <w:rFonts w:eastAsia="Times New Roman" w:cstheme="minorHAnsi"/>
                <w:snapToGrid w:val="0"/>
                <w:sz w:val="24"/>
                <w:szCs w:val="24"/>
              </w:rPr>
              <w:t>“ са предприятия</w:t>
            </w:r>
            <w:r w:rsidRPr="002E07CC">
              <w:rPr>
                <w:rFonts w:eastAsia="Times New Roman" w:cstheme="minorHAnsi"/>
                <w:snapToGrid w:val="0"/>
                <w:sz w:val="24"/>
                <w:szCs w:val="24"/>
              </w:rPr>
              <w:t>, които</w:t>
            </w:r>
            <w:r w:rsidR="002E07CC" w:rsidRPr="002E07CC">
              <w:rPr>
                <w:rFonts w:eastAsia="Times New Roman" w:cstheme="minorHAnsi"/>
                <w:snapToGrid w:val="0"/>
                <w:sz w:val="24"/>
                <w:szCs w:val="24"/>
              </w:rPr>
              <w:t xml:space="preserve"> по финансови показатели са МСП</w:t>
            </w:r>
            <w:r w:rsidR="002E07CC">
              <w:rPr>
                <w:rFonts w:eastAsia="Times New Roman" w:cstheme="minorHAnsi"/>
                <w:snapToGrid w:val="0"/>
                <w:sz w:val="24"/>
                <w:szCs w:val="24"/>
              </w:rPr>
              <w:t xml:space="preserve"> (т.е. имат </w:t>
            </w:r>
            <w:r w:rsidR="002E07CC" w:rsidRPr="002E07CC">
              <w:rPr>
                <w:rFonts w:eastAsia="Times New Roman" w:cstheme="minorHAnsi"/>
                <w:snapToGrid w:val="0"/>
                <w:sz w:val="24"/>
                <w:szCs w:val="24"/>
              </w:rPr>
              <w:t>годишен оборот, който не превишава 97 500 000 л</w:t>
            </w:r>
            <w:r w:rsidR="00B83EB7">
              <w:rPr>
                <w:rFonts w:eastAsia="Times New Roman" w:cstheme="minorHAnsi"/>
                <w:snapToGrid w:val="0"/>
                <w:sz w:val="24"/>
                <w:szCs w:val="24"/>
              </w:rPr>
              <w:t>е</w:t>
            </w:r>
            <w:r w:rsidR="002E07CC" w:rsidRPr="002E07CC">
              <w:rPr>
                <w:rFonts w:eastAsia="Times New Roman" w:cstheme="minorHAnsi"/>
                <w:snapToGrid w:val="0"/>
                <w:sz w:val="24"/>
                <w:szCs w:val="24"/>
              </w:rPr>
              <w:t>в</w:t>
            </w:r>
            <w:r w:rsidR="00B83EB7">
              <w:rPr>
                <w:rFonts w:eastAsia="Times New Roman" w:cstheme="minorHAnsi"/>
                <w:snapToGrid w:val="0"/>
                <w:sz w:val="24"/>
                <w:szCs w:val="24"/>
              </w:rPr>
              <w:t>а</w:t>
            </w:r>
            <w:r w:rsidR="002E07CC" w:rsidRPr="002E07CC">
              <w:rPr>
                <w:rFonts w:eastAsia="Times New Roman" w:cstheme="minorHAnsi"/>
                <w:snapToGrid w:val="0"/>
                <w:sz w:val="24"/>
                <w:szCs w:val="24"/>
              </w:rPr>
              <w:t xml:space="preserve">, </w:t>
            </w:r>
            <w:r w:rsidR="006834F1">
              <w:rPr>
                <w:rFonts w:eastAsia="Times New Roman" w:cstheme="minorHAnsi"/>
                <w:snapToGrid w:val="0"/>
                <w:sz w:val="24"/>
                <w:szCs w:val="24"/>
              </w:rPr>
              <w:t>и/</w:t>
            </w:r>
            <w:r w:rsidR="002E07CC">
              <w:rPr>
                <w:rFonts w:eastAsia="Times New Roman" w:cstheme="minorHAnsi"/>
                <w:snapToGrid w:val="0"/>
                <w:sz w:val="24"/>
                <w:szCs w:val="24"/>
              </w:rPr>
              <w:t>и</w:t>
            </w:r>
            <w:r w:rsidR="002E07CC" w:rsidRPr="002E07CC">
              <w:rPr>
                <w:rFonts w:eastAsia="Times New Roman" w:cstheme="minorHAnsi"/>
                <w:snapToGrid w:val="0"/>
                <w:sz w:val="24"/>
                <w:szCs w:val="24"/>
              </w:rPr>
              <w:t>ли стойност на активите, която не превишава 84 000 000 л</w:t>
            </w:r>
            <w:r w:rsidR="00B83EB7">
              <w:rPr>
                <w:rFonts w:eastAsia="Times New Roman" w:cstheme="minorHAnsi"/>
                <w:snapToGrid w:val="0"/>
                <w:sz w:val="24"/>
                <w:szCs w:val="24"/>
              </w:rPr>
              <w:t>е</w:t>
            </w:r>
            <w:r w:rsidR="002E07CC" w:rsidRPr="002E07CC">
              <w:rPr>
                <w:rFonts w:eastAsia="Times New Roman" w:cstheme="minorHAnsi"/>
                <w:snapToGrid w:val="0"/>
                <w:sz w:val="24"/>
                <w:szCs w:val="24"/>
              </w:rPr>
              <w:t>в</w:t>
            </w:r>
            <w:r w:rsidR="00B83EB7">
              <w:rPr>
                <w:rFonts w:eastAsia="Times New Roman" w:cstheme="minorHAnsi"/>
                <w:snapToGrid w:val="0"/>
                <w:sz w:val="24"/>
                <w:szCs w:val="24"/>
              </w:rPr>
              <w:t>а</w:t>
            </w:r>
            <w:r w:rsidR="006834F1">
              <w:rPr>
                <w:rFonts w:eastAsia="Times New Roman" w:cstheme="minorHAnsi"/>
                <w:snapToGrid w:val="0"/>
                <w:sz w:val="24"/>
                <w:szCs w:val="24"/>
              </w:rPr>
              <w:t>,</w:t>
            </w:r>
            <w:r w:rsidR="006834F1" w:rsidRPr="00B83EB7">
              <w:rPr>
                <w:rFonts w:eastAsia="Times New Roman" w:cstheme="minorHAnsi"/>
                <w:snapToGrid w:val="0"/>
                <w:sz w:val="24"/>
                <w:szCs w:val="24"/>
              </w:rPr>
              <w:t xml:space="preserve"> съгласно чл. 3 от ЗМСП</w:t>
            </w:r>
            <w:r w:rsidR="002E07CC">
              <w:rPr>
                <w:rFonts w:eastAsia="Times New Roman" w:cstheme="minorHAnsi"/>
                <w:snapToGrid w:val="0"/>
                <w:sz w:val="24"/>
                <w:szCs w:val="24"/>
              </w:rPr>
              <w:t>)</w:t>
            </w:r>
            <w:r w:rsidR="002E07CC" w:rsidRPr="002E07CC">
              <w:rPr>
                <w:rFonts w:eastAsia="Times New Roman" w:cstheme="minorHAnsi"/>
                <w:snapToGrid w:val="0"/>
                <w:sz w:val="24"/>
                <w:szCs w:val="24"/>
              </w:rPr>
              <w:t xml:space="preserve">, но средно списъчният брой на персонала им е </w:t>
            </w:r>
            <w:r w:rsidR="00B83EB7">
              <w:rPr>
                <w:rFonts w:eastAsia="Times New Roman" w:cstheme="minorHAnsi"/>
                <w:snapToGrid w:val="0"/>
                <w:sz w:val="24"/>
                <w:szCs w:val="24"/>
              </w:rPr>
              <w:t xml:space="preserve">до </w:t>
            </w:r>
            <w:r w:rsidR="002E07CC" w:rsidRPr="002E07CC">
              <w:rPr>
                <w:rFonts w:eastAsia="Times New Roman" w:cstheme="minorHAnsi"/>
                <w:snapToGrid w:val="0"/>
                <w:sz w:val="24"/>
                <w:szCs w:val="24"/>
              </w:rPr>
              <w:t>1</w:t>
            </w:r>
            <w:r w:rsidR="00B83EB7">
              <w:rPr>
                <w:rFonts w:eastAsia="Times New Roman" w:cstheme="minorHAnsi"/>
                <w:snapToGrid w:val="0"/>
                <w:sz w:val="24"/>
                <w:szCs w:val="24"/>
              </w:rPr>
              <w:t xml:space="preserve"> </w:t>
            </w:r>
            <w:r w:rsidR="002E07CC" w:rsidRPr="002E07CC">
              <w:rPr>
                <w:rFonts w:eastAsia="Times New Roman" w:cstheme="minorHAnsi"/>
                <w:snapToGrid w:val="0"/>
                <w:sz w:val="24"/>
                <w:szCs w:val="24"/>
              </w:rPr>
              <w:t>500 служители</w:t>
            </w:r>
            <w:r w:rsidR="00B83EB7">
              <w:rPr>
                <w:rFonts w:eastAsia="Times New Roman" w:cstheme="minorHAnsi"/>
                <w:snapToGrid w:val="0"/>
                <w:sz w:val="24"/>
                <w:szCs w:val="24"/>
              </w:rPr>
              <w:t xml:space="preserve"> </w:t>
            </w:r>
            <w:r w:rsidR="00B83EB7" w:rsidRPr="00B83EB7">
              <w:rPr>
                <w:rFonts w:eastAsia="Times New Roman" w:cstheme="minorHAnsi"/>
                <w:snapToGrid w:val="0"/>
                <w:sz w:val="24"/>
                <w:szCs w:val="24"/>
              </w:rPr>
              <w:t xml:space="preserve">(т.е. </w:t>
            </w:r>
            <w:r w:rsidR="00B83EB7">
              <w:rPr>
                <w:rFonts w:eastAsia="Times New Roman" w:cstheme="minorHAnsi"/>
                <w:snapToGrid w:val="0"/>
                <w:sz w:val="24"/>
                <w:szCs w:val="24"/>
              </w:rPr>
              <w:t xml:space="preserve">имат </w:t>
            </w:r>
            <w:r w:rsidR="00B83EB7" w:rsidRPr="00B83EB7">
              <w:rPr>
                <w:rFonts w:eastAsia="Times New Roman" w:cstheme="minorHAnsi"/>
                <w:snapToGrid w:val="0"/>
                <w:sz w:val="24"/>
                <w:szCs w:val="24"/>
              </w:rPr>
              <w:t>средносписъч</w:t>
            </w:r>
            <w:r w:rsidR="00B83EB7">
              <w:rPr>
                <w:rFonts w:eastAsia="Times New Roman" w:cstheme="minorHAnsi"/>
                <w:snapToGrid w:val="0"/>
                <w:sz w:val="24"/>
                <w:szCs w:val="24"/>
              </w:rPr>
              <w:t>ен</w:t>
            </w:r>
            <w:r w:rsidR="00B83EB7" w:rsidRPr="00B83EB7">
              <w:rPr>
                <w:rFonts w:eastAsia="Times New Roman" w:cstheme="minorHAnsi"/>
                <w:snapToGrid w:val="0"/>
                <w:sz w:val="24"/>
                <w:szCs w:val="24"/>
              </w:rPr>
              <w:t xml:space="preserve"> брой на персонала от 5</w:t>
            </w:r>
            <w:r w:rsidR="00B83EB7">
              <w:rPr>
                <w:rFonts w:eastAsia="Times New Roman" w:cstheme="minorHAnsi"/>
                <w:snapToGrid w:val="0"/>
                <w:sz w:val="24"/>
                <w:szCs w:val="24"/>
              </w:rPr>
              <w:t>0</w:t>
            </w:r>
            <w:r w:rsidR="00B83EB7" w:rsidRPr="00B83EB7">
              <w:rPr>
                <w:rFonts w:eastAsia="Times New Roman" w:cstheme="minorHAnsi"/>
                <w:snapToGrid w:val="0"/>
                <w:sz w:val="24"/>
                <w:szCs w:val="24"/>
              </w:rPr>
              <w:t xml:space="preserve">0 души до </w:t>
            </w:r>
            <w:r w:rsidR="00B83EB7">
              <w:rPr>
                <w:rFonts w:eastAsia="Times New Roman" w:cstheme="minorHAnsi"/>
                <w:snapToGrid w:val="0"/>
                <w:sz w:val="24"/>
                <w:szCs w:val="24"/>
              </w:rPr>
              <w:t>1 500</w:t>
            </w:r>
            <w:r w:rsidR="00B83EB7" w:rsidRPr="00B83EB7">
              <w:rPr>
                <w:rFonts w:eastAsia="Times New Roman" w:cstheme="minorHAnsi"/>
                <w:snapToGrid w:val="0"/>
                <w:sz w:val="24"/>
                <w:szCs w:val="24"/>
              </w:rPr>
              <w:t xml:space="preserve"> души)</w:t>
            </w:r>
            <w:r w:rsidR="00B83EB7">
              <w:rPr>
                <w:rFonts w:eastAsia="Times New Roman" w:cstheme="minorHAnsi"/>
                <w:snapToGrid w:val="0"/>
                <w:sz w:val="24"/>
                <w:szCs w:val="24"/>
              </w:rPr>
              <w:t>,</w:t>
            </w:r>
            <w:r w:rsidR="00176A33">
              <w:rPr>
                <w:rFonts w:eastAsia="Times New Roman" w:cstheme="minorHAnsi"/>
                <w:snapToGrid w:val="0"/>
                <w:sz w:val="24"/>
                <w:szCs w:val="24"/>
              </w:rPr>
              <w:t xml:space="preserve"> като </w:t>
            </w:r>
            <w:r w:rsidR="00176A33" w:rsidRPr="00176A33">
              <w:rPr>
                <w:rFonts w:eastAsia="Times New Roman" w:cstheme="minorHAnsi"/>
                <w:snapToGrid w:val="0"/>
                <w:sz w:val="24"/>
                <w:szCs w:val="24"/>
              </w:rPr>
              <w:t xml:space="preserve">са взети предвид всички отношения </w:t>
            </w:r>
            <w:r w:rsidR="00176A33">
              <w:rPr>
                <w:rFonts w:eastAsia="Times New Roman" w:cstheme="minorHAnsi"/>
                <w:snapToGrid w:val="0"/>
                <w:sz w:val="24"/>
                <w:szCs w:val="24"/>
              </w:rPr>
              <w:t xml:space="preserve">на партньорство и свързаност </w:t>
            </w:r>
            <w:r w:rsidR="00176A33" w:rsidRPr="00176A33">
              <w:rPr>
                <w:rFonts w:eastAsia="Times New Roman" w:cstheme="minorHAnsi"/>
                <w:snapToGrid w:val="0"/>
                <w:sz w:val="24"/>
                <w:szCs w:val="24"/>
              </w:rPr>
              <w:t>с</w:t>
            </w:r>
            <w:r w:rsidR="00176A33">
              <w:rPr>
                <w:rFonts w:eastAsia="Times New Roman" w:cstheme="minorHAnsi"/>
                <w:snapToGrid w:val="0"/>
                <w:sz w:val="24"/>
                <w:szCs w:val="24"/>
              </w:rPr>
              <w:t xml:space="preserve"> </w:t>
            </w:r>
            <w:r w:rsidR="00176A33" w:rsidRPr="00176A33">
              <w:rPr>
                <w:rFonts w:eastAsia="Times New Roman" w:cstheme="minorHAnsi"/>
                <w:snapToGrid w:val="0"/>
                <w:sz w:val="24"/>
                <w:szCs w:val="24"/>
              </w:rPr>
              <w:t>други предприятия по смисъла на чл.</w:t>
            </w:r>
            <w:r w:rsidR="00176A33">
              <w:rPr>
                <w:rFonts w:eastAsia="Times New Roman" w:cstheme="minorHAnsi"/>
                <w:snapToGrid w:val="0"/>
                <w:sz w:val="24"/>
                <w:szCs w:val="24"/>
              </w:rPr>
              <w:t xml:space="preserve"> </w:t>
            </w:r>
            <w:r w:rsidR="00176A33" w:rsidRPr="00176A33">
              <w:rPr>
                <w:rFonts w:eastAsia="Times New Roman" w:cstheme="minorHAnsi"/>
                <w:snapToGrid w:val="0"/>
                <w:sz w:val="24"/>
                <w:szCs w:val="24"/>
              </w:rPr>
              <w:t>4 от ЗМСП</w:t>
            </w:r>
            <w:r w:rsidR="002E07CC" w:rsidRPr="002E07CC">
              <w:rPr>
                <w:rFonts w:eastAsia="Times New Roman" w:cstheme="minorHAnsi"/>
                <w:snapToGrid w:val="0"/>
                <w:sz w:val="24"/>
                <w:szCs w:val="24"/>
              </w:rPr>
              <w:t>.</w:t>
            </w:r>
          </w:p>
        </w:tc>
      </w:tr>
      <w:tr w:rsidR="00051B86" w:rsidRPr="008E4D35" w14:paraId="1C61B6F9" w14:textId="77777777" w:rsidTr="002E07CC">
        <w:tc>
          <w:tcPr>
            <w:tcW w:w="2633" w:type="dxa"/>
            <w:shd w:val="clear" w:color="auto" w:fill="E6E6E6"/>
          </w:tcPr>
          <w:p w14:paraId="5467BDC4" w14:textId="77777777" w:rsidR="00051B86" w:rsidRPr="00A56608" w:rsidRDefault="00D96D0D" w:rsidP="00DE211E">
            <w:pPr>
              <w:spacing w:before="100" w:beforeAutospacing="1" w:after="100" w:afterAutospacing="1" w:line="240" w:lineRule="auto"/>
              <w:rPr>
                <w:rFonts w:eastAsia="Times New Roman" w:cstheme="minorHAnsi"/>
                <w:b/>
                <w:snapToGrid w:val="0"/>
                <w:sz w:val="24"/>
                <w:szCs w:val="24"/>
              </w:rPr>
            </w:pPr>
            <w:r w:rsidRPr="00A56608">
              <w:rPr>
                <w:rFonts w:eastAsia="Times New Roman" w:cstheme="minorHAnsi"/>
                <w:b/>
                <w:snapToGrid w:val="0"/>
                <w:sz w:val="24"/>
                <w:szCs w:val="24"/>
              </w:rPr>
              <w:t xml:space="preserve">Място на изпълнение на </w:t>
            </w:r>
            <w:r w:rsidR="00DE211E" w:rsidRPr="00A56608">
              <w:rPr>
                <w:rFonts w:eastAsia="Times New Roman" w:cstheme="minorHAnsi"/>
                <w:b/>
                <w:snapToGrid w:val="0"/>
                <w:sz w:val="24"/>
                <w:szCs w:val="24"/>
              </w:rPr>
              <w:t>инвестицията</w:t>
            </w:r>
            <w:r w:rsidR="00051B86" w:rsidRPr="00A56608">
              <w:rPr>
                <w:rFonts w:eastAsia="Times New Roman" w:cstheme="minorHAnsi"/>
                <w:b/>
                <w:snapToGrid w:val="0"/>
                <w:sz w:val="24"/>
                <w:szCs w:val="24"/>
              </w:rPr>
              <w:t xml:space="preserve"> </w:t>
            </w:r>
          </w:p>
        </w:tc>
        <w:tc>
          <w:tcPr>
            <w:tcW w:w="6831" w:type="dxa"/>
            <w:shd w:val="clear" w:color="auto" w:fill="F3F3F3"/>
          </w:tcPr>
          <w:p w14:paraId="2AE7DEF9" w14:textId="77777777" w:rsidR="00051B86" w:rsidRPr="00627F25" w:rsidRDefault="00DE211E" w:rsidP="00DE211E">
            <w:pPr>
              <w:spacing w:line="240" w:lineRule="auto"/>
              <w:jc w:val="both"/>
              <w:rPr>
                <w:rFonts w:eastAsia="Times New Roman" w:cstheme="minorHAnsi"/>
                <w:snapToGrid w:val="0"/>
                <w:sz w:val="24"/>
                <w:szCs w:val="24"/>
                <w:lang w:val="en-US"/>
              </w:rPr>
            </w:pPr>
            <w:r w:rsidRPr="00DE211E">
              <w:rPr>
                <w:rFonts w:eastAsia="Times New Roman" w:cstheme="minorHAnsi"/>
                <w:snapToGrid w:val="0"/>
                <w:sz w:val="24"/>
                <w:szCs w:val="24"/>
              </w:rPr>
              <w:t>Мястото на физическото осъществяване на инвестицията</w:t>
            </w:r>
            <w:r>
              <w:rPr>
                <w:rFonts w:eastAsia="Times New Roman" w:cstheme="minorHAnsi"/>
                <w:snapToGrid w:val="0"/>
                <w:sz w:val="24"/>
                <w:szCs w:val="24"/>
              </w:rPr>
              <w:t xml:space="preserve">, </w:t>
            </w:r>
            <w:r w:rsidR="00A7385E" w:rsidRPr="00C06E8E">
              <w:rPr>
                <w:rFonts w:eastAsia="Times New Roman" w:cstheme="minorHAnsi"/>
                <w:snapToGrid w:val="0"/>
                <w:sz w:val="24"/>
                <w:szCs w:val="24"/>
              </w:rPr>
              <w:t xml:space="preserve">на което може да се провери и удостовери </w:t>
            </w:r>
            <w:r w:rsidR="00263EFA" w:rsidRPr="00263EFA">
              <w:rPr>
                <w:rFonts w:eastAsia="Times New Roman" w:cstheme="minorHAnsi"/>
                <w:snapToGrid w:val="0"/>
                <w:sz w:val="24"/>
                <w:szCs w:val="24"/>
              </w:rPr>
              <w:t>изградената фотоволтаична система за собствено потребление в комбинация със съоръжения за локално съхранение на произведената енергия (батерии)</w:t>
            </w:r>
            <w:r w:rsidR="00051B86" w:rsidRPr="00C06E8E">
              <w:rPr>
                <w:rFonts w:eastAsia="Times New Roman" w:cstheme="minorHAnsi"/>
                <w:snapToGrid w:val="0"/>
                <w:sz w:val="24"/>
                <w:szCs w:val="24"/>
              </w:rPr>
              <w:t>.</w:t>
            </w:r>
          </w:p>
        </w:tc>
      </w:tr>
      <w:tr w:rsidR="00490818" w:rsidRPr="008E4D35" w14:paraId="32B3C8A0" w14:textId="77777777" w:rsidTr="002E07CC">
        <w:tc>
          <w:tcPr>
            <w:tcW w:w="2633" w:type="dxa"/>
            <w:shd w:val="clear" w:color="auto" w:fill="E6E6E6"/>
          </w:tcPr>
          <w:p w14:paraId="6BB530FE" w14:textId="77777777" w:rsidR="00490818" w:rsidRPr="008E4D35" w:rsidRDefault="00490818" w:rsidP="00490818">
            <w:pPr>
              <w:spacing w:before="100" w:beforeAutospacing="1" w:after="100" w:afterAutospacing="1" w:line="240" w:lineRule="auto"/>
              <w:rPr>
                <w:rFonts w:eastAsia="Times New Roman" w:cstheme="minorHAnsi"/>
                <w:b/>
                <w:snapToGrid w:val="0"/>
                <w:sz w:val="24"/>
                <w:szCs w:val="24"/>
              </w:rPr>
            </w:pPr>
            <w:r w:rsidRPr="00315E8A">
              <w:rPr>
                <w:rFonts w:eastAsia="Times New Roman" w:cstheme="minorHAnsi"/>
                <w:b/>
                <w:snapToGrid w:val="0"/>
                <w:sz w:val="24"/>
                <w:szCs w:val="24"/>
              </w:rPr>
              <w:t>Ненанасяне</w:t>
            </w:r>
            <w:r>
              <w:rPr>
                <w:rFonts w:eastAsia="Times New Roman" w:cstheme="minorHAnsi"/>
                <w:b/>
                <w:snapToGrid w:val="0"/>
                <w:sz w:val="24"/>
                <w:szCs w:val="24"/>
              </w:rPr>
              <w:t xml:space="preserve"> </w:t>
            </w:r>
            <w:r w:rsidRPr="00315E8A">
              <w:rPr>
                <w:rFonts w:eastAsia="Times New Roman" w:cstheme="minorHAnsi"/>
                <w:b/>
                <w:snapToGrid w:val="0"/>
                <w:sz w:val="24"/>
                <w:szCs w:val="24"/>
              </w:rPr>
              <w:t>на значителни вреди</w:t>
            </w:r>
          </w:p>
        </w:tc>
        <w:tc>
          <w:tcPr>
            <w:tcW w:w="6831" w:type="dxa"/>
            <w:shd w:val="clear" w:color="auto" w:fill="F3F3F3"/>
          </w:tcPr>
          <w:p w14:paraId="21256581" w14:textId="77777777"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„Ненанасяне на значителни вреди“ означава да не се подкрепят или извършват икономически дейности, които нанасят значителни вреди на която и да било екологична цел, когато е приложимо, по смисъла на член 17 от Регламент (ЕС) 2020/852.</w:t>
            </w:r>
          </w:p>
        </w:tc>
      </w:tr>
      <w:tr w:rsidR="00490818" w:rsidRPr="008E4D35" w14:paraId="3400BBAA" w14:textId="77777777" w:rsidTr="002E07CC">
        <w:tc>
          <w:tcPr>
            <w:tcW w:w="2633" w:type="dxa"/>
            <w:shd w:val="clear" w:color="auto" w:fill="E6E6E6"/>
          </w:tcPr>
          <w:p w14:paraId="362475E5" w14:textId="77777777" w:rsidR="00490818" w:rsidRPr="008E4D35" w:rsidRDefault="00490818" w:rsidP="00490818">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Нередност </w:t>
            </w:r>
          </w:p>
        </w:tc>
        <w:tc>
          <w:tcPr>
            <w:tcW w:w="6831" w:type="dxa"/>
            <w:shd w:val="clear" w:color="auto" w:fill="F3F3F3"/>
          </w:tcPr>
          <w:p w14:paraId="2FCBAEE1" w14:textId="77777777"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 xml:space="preserve">Всяко нарушение на разпоредба на правото на Общността, в </w:t>
            </w:r>
            <w:r w:rsidRPr="002F4983">
              <w:rPr>
                <w:rFonts w:eastAsia="Times New Roman" w:cstheme="minorHAnsi"/>
                <w:snapToGrid w:val="0"/>
                <w:sz w:val="24"/>
                <w:szCs w:val="24"/>
              </w:rPr>
              <w:lastRenderedPageBreak/>
              <w:t>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w:t>
            </w:r>
          </w:p>
        </w:tc>
      </w:tr>
      <w:tr w:rsidR="00497FFC" w:rsidRPr="008E4D35" w14:paraId="30946891" w14:textId="77777777" w:rsidTr="002E07CC">
        <w:tc>
          <w:tcPr>
            <w:tcW w:w="2633" w:type="dxa"/>
            <w:shd w:val="clear" w:color="auto" w:fill="E6E6E6"/>
          </w:tcPr>
          <w:p w14:paraId="5977AD4A" w14:textId="007BCB7C" w:rsidR="00497FFC" w:rsidRPr="008E4D35" w:rsidRDefault="00497FFC" w:rsidP="00490818">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lastRenderedPageBreak/>
              <w:t>С</w:t>
            </w:r>
            <w:r w:rsidRPr="00497FFC">
              <w:rPr>
                <w:rFonts w:eastAsia="Times New Roman" w:cstheme="minorHAnsi"/>
                <w:b/>
                <w:snapToGrid w:val="0"/>
                <w:sz w:val="24"/>
                <w:szCs w:val="24"/>
              </w:rPr>
              <w:t>ериозни нередности</w:t>
            </w:r>
          </w:p>
        </w:tc>
        <w:tc>
          <w:tcPr>
            <w:tcW w:w="6831" w:type="dxa"/>
            <w:shd w:val="clear" w:color="auto" w:fill="F3F3F3"/>
          </w:tcPr>
          <w:p w14:paraId="5F3FE080" w14:textId="464AFF4A" w:rsidR="00497FFC" w:rsidRPr="002F4983" w:rsidRDefault="00497FFC" w:rsidP="00490818">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З</w:t>
            </w:r>
            <w:r w:rsidRPr="00497FFC">
              <w:rPr>
                <w:rFonts w:eastAsia="Times New Roman" w:cstheme="minorHAnsi"/>
                <w:snapToGrid w:val="0"/>
                <w:sz w:val="24"/>
                <w:szCs w:val="24"/>
              </w:rPr>
              <w:t>а сериозни нередности се считат случаите на измама, корупция и конфликт на интереси</w:t>
            </w:r>
            <w:r w:rsidR="0041625A">
              <w:rPr>
                <w:rFonts w:eastAsia="Times New Roman" w:cstheme="minorHAnsi"/>
                <w:snapToGrid w:val="0"/>
                <w:sz w:val="24"/>
                <w:szCs w:val="24"/>
              </w:rPr>
              <w:t>.</w:t>
            </w:r>
          </w:p>
        </w:tc>
      </w:tr>
      <w:tr w:rsidR="00490818" w:rsidRPr="008E4D35" w14:paraId="58B2F140" w14:textId="77777777" w:rsidTr="002E07CC">
        <w:tc>
          <w:tcPr>
            <w:tcW w:w="2633" w:type="dxa"/>
            <w:shd w:val="clear" w:color="auto" w:fill="E6E6E6"/>
          </w:tcPr>
          <w:p w14:paraId="1B2C3F01" w14:textId="77777777" w:rsidR="00490818" w:rsidRPr="008E4D35" w:rsidRDefault="00192CE9" w:rsidP="00490818">
            <w:pPr>
              <w:spacing w:before="100" w:beforeAutospacing="1" w:after="100" w:afterAutospacing="1" w:line="240" w:lineRule="auto"/>
              <w:rPr>
                <w:rFonts w:eastAsia="Times New Roman" w:cstheme="minorHAnsi"/>
                <w:b/>
                <w:snapToGrid w:val="0"/>
                <w:sz w:val="24"/>
                <w:szCs w:val="24"/>
              </w:rPr>
            </w:pPr>
            <w:r w:rsidRPr="00192CE9">
              <w:rPr>
                <w:rFonts w:eastAsia="Times New Roman" w:cstheme="minorHAnsi"/>
                <w:b/>
                <w:snapToGrid w:val="0"/>
                <w:sz w:val="24"/>
                <w:szCs w:val="24"/>
              </w:rPr>
              <w:t>Партньори на кандидатите за средства от Механизма за възстановяване и устойчивост</w:t>
            </w:r>
          </w:p>
        </w:tc>
        <w:tc>
          <w:tcPr>
            <w:tcW w:w="6831" w:type="dxa"/>
            <w:shd w:val="clear" w:color="auto" w:fill="F3F3F3"/>
          </w:tcPr>
          <w:p w14:paraId="0B79BF77" w14:textId="77777777" w:rsidR="00490818" w:rsidRPr="002F4983" w:rsidRDefault="00192CE9"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 xml:space="preserve">„Партньори на кандидатите за средства от Механизма за възстановяване и устойчивост“ са всички физически и юридически лица и техни обединения, които участват съвместно с кандидата в подготовката и/или техническото изпълнение на инвестицията или на предварително заявени във </w:t>
            </w:r>
            <w:r w:rsidR="00A645E0" w:rsidRPr="002F4983">
              <w:rPr>
                <w:rFonts w:eastAsia="Times New Roman" w:cstheme="minorHAnsi"/>
                <w:snapToGrid w:val="0"/>
                <w:sz w:val="24"/>
                <w:szCs w:val="24"/>
              </w:rPr>
              <w:t>Ф</w:t>
            </w:r>
            <w:r w:rsidRPr="002F4983">
              <w:rPr>
                <w:rFonts w:eastAsia="Times New Roman" w:cstheme="minorHAnsi"/>
                <w:snapToGrid w:val="0"/>
                <w:sz w:val="24"/>
                <w:szCs w:val="24"/>
              </w:rPr>
              <w:t>ормуляра за кандидатстване дейности от инвестицията и разходват средства от Механизма за възстановяване и устойчивост.</w:t>
            </w:r>
          </w:p>
        </w:tc>
      </w:tr>
      <w:tr w:rsidR="00490818" w:rsidRPr="008E4D35" w14:paraId="100F6D25" w14:textId="77777777" w:rsidTr="002E07CC">
        <w:tc>
          <w:tcPr>
            <w:tcW w:w="2633" w:type="dxa"/>
            <w:shd w:val="clear" w:color="auto" w:fill="E6E6E6"/>
          </w:tcPr>
          <w:p w14:paraId="63DE06DB" w14:textId="77777777" w:rsidR="00490818" w:rsidRPr="00C14652" w:rsidRDefault="00490818" w:rsidP="00490818">
            <w:pPr>
              <w:spacing w:before="100" w:beforeAutospacing="1" w:after="100" w:afterAutospacing="1" w:line="240" w:lineRule="auto"/>
              <w:rPr>
                <w:rFonts w:eastAsia="Times New Roman" w:cstheme="minorHAnsi"/>
                <w:b/>
                <w:snapToGrid w:val="0"/>
                <w:sz w:val="24"/>
                <w:szCs w:val="24"/>
              </w:rPr>
            </w:pPr>
            <w:r w:rsidRPr="00C14652">
              <w:rPr>
                <w:rFonts w:eastAsia="Times New Roman" w:cstheme="minorHAnsi"/>
                <w:b/>
                <w:snapToGrid w:val="0"/>
                <w:sz w:val="24"/>
                <w:szCs w:val="24"/>
              </w:rPr>
              <w:t>Предложение за изпълнение на инвестиции</w:t>
            </w:r>
          </w:p>
        </w:tc>
        <w:tc>
          <w:tcPr>
            <w:tcW w:w="6831" w:type="dxa"/>
            <w:shd w:val="clear" w:color="auto" w:fill="F3F3F3"/>
          </w:tcPr>
          <w:p w14:paraId="57B9DAE5" w14:textId="77777777" w:rsidR="00490818" w:rsidRPr="002F4983" w:rsidRDefault="00490818" w:rsidP="0045024B">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Предложение, подадено от кандидат</w:t>
            </w:r>
            <w:r w:rsidR="00192CE9" w:rsidRPr="002F4983">
              <w:rPr>
                <w:rFonts w:eastAsia="Times New Roman" w:cstheme="minorHAnsi"/>
                <w:snapToGrid w:val="0"/>
                <w:sz w:val="24"/>
                <w:szCs w:val="24"/>
              </w:rPr>
              <w:t>ите за средства от Механизма</w:t>
            </w:r>
            <w:r w:rsidR="00C14652" w:rsidRPr="002F4983">
              <w:rPr>
                <w:rFonts w:eastAsia="Times New Roman" w:cstheme="minorHAnsi"/>
                <w:snapToGrid w:val="0"/>
                <w:sz w:val="24"/>
                <w:szCs w:val="24"/>
              </w:rPr>
              <w:t xml:space="preserve"> за възстановяване и устойчивост</w:t>
            </w:r>
            <w:r w:rsidRPr="002F4983">
              <w:rPr>
                <w:rFonts w:eastAsia="Times New Roman" w:cstheme="minorHAnsi"/>
                <w:snapToGrid w:val="0"/>
                <w:sz w:val="24"/>
                <w:szCs w:val="24"/>
              </w:rPr>
              <w:t xml:space="preserve">, </w:t>
            </w:r>
            <w:r w:rsidR="00C14652" w:rsidRPr="002F4983">
              <w:rPr>
                <w:rFonts w:eastAsia="Times New Roman" w:cstheme="minorHAnsi"/>
                <w:snapToGrid w:val="0"/>
                <w:sz w:val="24"/>
                <w:szCs w:val="24"/>
              </w:rPr>
              <w:t>чрез Формуляр за кандидатстване в И</w:t>
            </w:r>
            <w:r w:rsidR="00192CE9" w:rsidRPr="002F4983">
              <w:rPr>
                <w:rFonts w:eastAsia="Times New Roman" w:cstheme="minorHAnsi"/>
                <w:snapToGrid w:val="0"/>
                <w:sz w:val="24"/>
                <w:szCs w:val="24"/>
              </w:rPr>
              <w:t>нформационната система за Механизма в съответс</w:t>
            </w:r>
            <w:r w:rsidR="00C14652" w:rsidRPr="002F4983">
              <w:rPr>
                <w:rFonts w:eastAsia="Times New Roman" w:cstheme="minorHAnsi"/>
                <w:snapToGrid w:val="0"/>
                <w:sz w:val="24"/>
                <w:szCs w:val="24"/>
              </w:rPr>
              <w:t>твие с условията, утвърдени от Ръководителя на С</w:t>
            </w:r>
            <w:r w:rsidR="00192CE9" w:rsidRPr="002F4983">
              <w:rPr>
                <w:rFonts w:eastAsia="Times New Roman" w:cstheme="minorHAnsi"/>
                <w:snapToGrid w:val="0"/>
                <w:sz w:val="24"/>
                <w:szCs w:val="24"/>
              </w:rPr>
              <w:t>труктурата за наблюдение и докладване</w:t>
            </w:r>
            <w:r w:rsidRPr="002F4983">
              <w:rPr>
                <w:rFonts w:eastAsia="Times New Roman" w:cstheme="minorHAnsi"/>
                <w:snapToGrid w:val="0"/>
                <w:sz w:val="24"/>
                <w:szCs w:val="24"/>
              </w:rPr>
              <w:t>.</w:t>
            </w:r>
          </w:p>
        </w:tc>
      </w:tr>
      <w:tr w:rsidR="00490818" w:rsidRPr="008E4D35" w14:paraId="79D7A859" w14:textId="77777777" w:rsidTr="002E07CC">
        <w:tc>
          <w:tcPr>
            <w:tcW w:w="2633" w:type="dxa"/>
            <w:shd w:val="clear" w:color="auto" w:fill="E6E6E6"/>
          </w:tcPr>
          <w:p w14:paraId="3ADAD1C6" w14:textId="77777777" w:rsidR="00490818" w:rsidRPr="008E4D35" w:rsidRDefault="00490818" w:rsidP="00490818">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Предприятие</w:t>
            </w:r>
          </w:p>
        </w:tc>
        <w:tc>
          <w:tcPr>
            <w:tcW w:w="6831" w:type="dxa"/>
            <w:shd w:val="clear" w:color="auto" w:fill="F3F3F3"/>
          </w:tcPr>
          <w:p w14:paraId="77AE6EA5" w14:textId="77777777"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646BD8" w:rsidRPr="008E4D35" w14:paraId="2C99CE80" w14:textId="77777777" w:rsidTr="002E07CC">
        <w:tc>
          <w:tcPr>
            <w:tcW w:w="2633" w:type="dxa"/>
            <w:shd w:val="clear" w:color="auto" w:fill="E6E6E6"/>
          </w:tcPr>
          <w:p w14:paraId="61625AA3" w14:textId="77777777" w:rsidR="00646BD8" w:rsidRPr="008E4D35" w:rsidRDefault="00646BD8" w:rsidP="00646BD8">
            <w:pPr>
              <w:spacing w:before="100" w:beforeAutospacing="1" w:after="100" w:afterAutospacing="1" w:line="240" w:lineRule="auto"/>
              <w:rPr>
                <w:rFonts w:eastAsia="Times New Roman" w:cstheme="minorHAnsi"/>
                <w:b/>
                <w:snapToGrid w:val="0"/>
                <w:sz w:val="24"/>
                <w:szCs w:val="24"/>
              </w:rPr>
            </w:pPr>
            <w:r w:rsidRPr="0091098E">
              <w:rPr>
                <w:rFonts w:eastAsia="Times New Roman" w:cstheme="minorHAnsi"/>
                <w:b/>
                <w:snapToGrid w:val="0"/>
                <w:sz w:val="24"/>
                <w:szCs w:val="24"/>
              </w:rPr>
              <w:t>Предприятие в затруднено положение</w:t>
            </w:r>
          </w:p>
        </w:tc>
        <w:tc>
          <w:tcPr>
            <w:tcW w:w="6831" w:type="dxa"/>
            <w:shd w:val="clear" w:color="auto" w:fill="F3F3F3"/>
          </w:tcPr>
          <w:p w14:paraId="153C063F" w14:textId="77777777" w:rsidR="00646BD8" w:rsidRPr="00CB0C05" w:rsidRDefault="00646BD8" w:rsidP="00646BD8">
            <w:pPr>
              <w:spacing w:after="60" w:line="240" w:lineRule="auto"/>
              <w:jc w:val="both"/>
              <w:rPr>
                <w:rFonts w:eastAsia="Times New Roman" w:cstheme="minorHAnsi"/>
                <w:snapToGrid w:val="0"/>
                <w:sz w:val="24"/>
                <w:szCs w:val="24"/>
              </w:rPr>
            </w:pPr>
            <w:r>
              <w:rPr>
                <w:rFonts w:eastAsia="Times New Roman" w:cstheme="minorHAnsi"/>
                <w:snapToGrid w:val="0"/>
                <w:sz w:val="24"/>
                <w:szCs w:val="24"/>
              </w:rPr>
              <w:t>Съгласно чл. 2, пар. 18 от Регламент (ЕО) № 651/2014</w:t>
            </w:r>
            <w:r>
              <w:t xml:space="preserve"> </w:t>
            </w:r>
            <w:r>
              <w:rPr>
                <w:rFonts w:eastAsia="Times New Roman" w:cstheme="minorHAnsi"/>
                <w:snapToGrid w:val="0"/>
                <w:sz w:val="24"/>
                <w:szCs w:val="24"/>
              </w:rPr>
              <w:t>п</w:t>
            </w:r>
            <w:r w:rsidRPr="00884591">
              <w:rPr>
                <w:rFonts w:eastAsia="Times New Roman" w:cstheme="minorHAnsi"/>
                <w:snapToGrid w:val="0"/>
                <w:sz w:val="24"/>
                <w:szCs w:val="24"/>
              </w:rPr>
              <w:t xml:space="preserve">редприятие в затруднено положение </w:t>
            </w:r>
            <w:r>
              <w:rPr>
                <w:rFonts w:eastAsia="Times New Roman" w:cstheme="minorHAnsi"/>
                <w:snapToGrid w:val="0"/>
                <w:sz w:val="24"/>
                <w:szCs w:val="24"/>
              </w:rPr>
              <w:t>е п</w:t>
            </w:r>
            <w:r w:rsidRPr="00CB0C05">
              <w:rPr>
                <w:rFonts w:eastAsia="Times New Roman" w:cstheme="minorHAnsi"/>
                <w:snapToGrid w:val="0"/>
                <w:sz w:val="24"/>
                <w:szCs w:val="24"/>
              </w:rPr>
              <w:t>редприятие, по отношение на което е изпълнено поне едно от следните обстоятелства:</w:t>
            </w:r>
          </w:p>
          <w:p w14:paraId="3AC848FF" w14:textId="77777777" w:rsidR="00646BD8" w:rsidRPr="00CB0C05" w:rsidRDefault="00646BD8" w:rsidP="00646BD8">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 xml:space="preserve">а)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w:t>
            </w:r>
            <w:r w:rsidRPr="00CB0C05">
              <w:rPr>
                <w:rFonts w:eastAsia="Times New Roman" w:cstheme="minorHAnsi"/>
                <w:snapToGrid w:val="0"/>
                <w:sz w:val="24"/>
                <w:szCs w:val="24"/>
              </w:rPr>
              <w:lastRenderedPageBreak/>
              <w:t>2013/34/ЕС, а понятието „акционерен капитал" включва, когато е уместно, премии от акции;</w:t>
            </w:r>
          </w:p>
          <w:p w14:paraId="30A53BA0" w14:textId="77777777" w:rsidR="00646BD8" w:rsidRDefault="00646BD8" w:rsidP="00646BD8">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б) в случай на събирателно дружество, командитно дружество или едноличен търговец или други лица по Приложение II към Директива 2013/34/ЕС (което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w:t>
            </w:r>
            <w:r>
              <w:rPr>
                <w:rFonts w:eastAsia="Times New Roman" w:cstheme="minorHAnsi"/>
                <w:snapToGrid w:val="0"/>
                <w:sz w:val="24"/>
                <w:szCs w:val="24"/>
              </w:rPr>
              <w:t>орност за задълженията на друже</w:t>
            </w:r>
            <w:r w:rsidRPr="00CB0C05">
              <w:rPr>
                <w:rFonts w:eastAsia="Times New Roman" w:cstheme="minorHAnsi"/>
                <w:snapToGrid w:val="0"/>
                <w:sz w:val="24"/>
                <w:szCs w:val="24"/>
              </w:rPr>
              <w:t>ството", се разбира по-специално типовете дружества, посочени в приложение II към Директива 2013/34/ЕС;</w:t>
            </w:r>
          </w:p>
          <w:p w14:paraId="4DED2C8F" w14:textId="77777777" w:rsidR="00646BD8" w:rsidRPr="00CB0C05" w:rsidRDefault="00646BD8" w:rsidP="00646BD8">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w:t>
            </w:r>
            <w:r>
              <w:rPr>
                <w:rFonts w:eastAsia="Times New Roman" w:cstheme="minorHAnsi"/>
                <w:snapToGrid w:val="0"/>
                <w:sz w:val="24"/>
                <w:szCs w:val="24"/>
              </w:rPr>
              <w:t>ост по искане на неговите креди</w:t>
            </w:r>
            <w:r w:rsidRPr="00CB0C05">
              <w:rPr>
                <w:rFonts w:eastAsia="Times New Roman" w:cstheme="minorHAnsi"/>
                <w:snapToGrid w:val="0"/>
                <w:sz w:val="24"/>
                <w:szCs w:val="24"/>
              </w:rPr>
              <w:t>тори;</w:t>
            </w:r>
          </w:p>
          <w:p w14:paraId="1ED35613" w14:textId="77777777" w:rsidR="00646BD8" w:rsidRPr="008E4D35" w:rsidRDefault="00646BD8" w:rsidP="00646BD8">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tc>
      </w:tr>
      <w:tr w:rsidR="00490818" w:rsidRPr="008E4D35" w14:paraId="6AA232A5" w14:textId="77777777" w:rsidTr="002E07CC">
        <w:tc>
          <w:tcPr>
            <w:tcW w:w="2633" w:type="dxa"/>
            <w:shd w:val="clear" w:color="auto" w:fill="E6E6E6"/>
          </w:tcPr>
          <w:p w14:paraId="2393D5CD" w14:textId="77777777" w:rsidR="00490818" w:rsidRPr="00051B86" w:rsidRDefault="00490818" w:rsidP="00490818">
            <w:pPr>
              <w:spacing w:before="100" w:beforeAutospacing="1" w:after="100" w:afterAutospacing="1" w:line="240" w:lineRule="auto"/>
              <w:rPr>
                <w:rFonts w:eastAsia="Times New Roman" w:cstheme="minorHAnsi"/>
                <w:b/>
                <w:snapToGrid w:val="0"/>
                <w:sz w:val="24"/>
                <w:szCs w:val="24"/>
                <w:highlight w:val="yellow"/>
              </w:rPr>
            </w:pPr>
            <w:r w:rsidRPr="009E1F73">
              <w:rPr>
                <w:rFonts w:eastAsia="Times New Roman" w:cstheme="minorHAnsi"/>
                <w:b/>
                <w:snapToGrid w:val="0"/>
                <w:sz w:val="24"/>
                <w:szCs w:val="24"/>
              </w:rPr>
              <w:lastRenderedPageBreak/>
              <w:t>Преработка на селскостопански продукти</w:t>
            </w:r>
          </w:p>
        </w:tc>
        <w:tc>
          <w:tcPr>
            <w:tcW w:w="6831" w:type="dxa"/>
            <w:shd w:val="clear" w:color="auto" w:fill="F3F3F3"/>
          </w:tcPr>
          <w:p w14:paraId="797DD004" w14:textId="77777777" w:rsidR="00490818" w:rsidRPr="002F4983" w:rsidRDefault="009F555D" w:rsidP="009F555D">
            <w:pPr>
              <w:spacing w:before="100" w:beforeAutospacing="1" w:after="100" w:afterAutospacing="1" w:line="240" w:lineRule="auto"/>
              <w:jc w:val="both"/>
              <w:rPr>
                <w:rFonts w:eastAsia="Times New Roman" w:cstheme="minorHAnsi"/>
                <w:snapToGrid w:val="0"/>
                <w:sz w:val="24"/>
                <w:szCs w:val="24"/>
              </w:rPr>
            </w:pPr>
            <w:r w:rsidRPr="00E7031C">
              <w:rPr>
                <w:rFonts w:eastAsia="Times New Roman" w:cstheme="minorHAnsi"/>
                <w:snapToGrid w:val="0"/>
                <w:sz w:val="24"/>
                <w:szCs w:val="24"/>
              </w:rPr>
              <w:t>В</w:t>
            </w:r>
            <w:r w:rsidR="00E7031C" w:rsidRPr="00E7031C">
              <w:rPr>
                <w:rFonts w:eastAsia="Times New Roman" w:cstheme="minorHAnsi"/>
                <w:snapToGrid w:val="0"/>
                <w:sz w:val="24"/>
                <w:szCs w:val="24"/>
              </w:rPr>
              <w:t>сяка</w:t>
            </w:r>
            <w:r>
              <w:rPr>
                <w:rFonts w:eastAsia="Times New Roman" w:cstheme="minorHAnsi"/>
                <w:snapToGrid w:val="0"/>
                <w:sz w:val="24"/>
                <w:szCs w:val="24"/>
              </w:rPr>
              <w:t xml:space="preserve"> </w:t>
            </w:r>
            <w:r w:rsidR="00E7031C" w:rsidRPr="00E7031C">
              <w:rPr>
                <w:rFonts w:eastAsia="Times New Roman" w:cstheme="minorHAnsi"/>
                <w:snapToGrid w:val="0"/>
                <w:sz w:val="24"/>
                <w:szCs w:val="24"/>
              </w:rPr>
              <w:t>една операция върху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които са необходими за подготовката на животински или растителен продукт за първата му продажба</w:t>
            </w:r>
            <w:r w:rsidR="00490818" w:rsidRPr="002F4983">
              <w:rPr>
                <w:rFonts w:eastAsia="Times New Roman" w:cstheme="minorHAnsi"/>
                <w:snapToGrid w:val="0"/>
                <w:sz w:val="24"/>
                <w:szCs w:val="24"/>
              </w:rPr>
              <w:t>.</w:t>
            </w:r>
          </w:p>
        </w:tc>
      </w:tr>
      <w:tr w:rsidR="00E7031C" w:rsidRPr="008E4D35" w14:paraId="4B674E41" w14:textId="77777777" w:rsidTr="002E07CC">
        <w:tc>
          <w:tcPr>
            <w:tcW w:w="2633" w:type="dxa"/>
            <w:shd w:val="clear" w:color="auto" w:fill="E6E6E6"/>
          </w:tcPr>
          <w:p w14:paraId="6B7DD442" w14:textId="77777777" w:rsidR="00E7031C" w:rsidRPr="008E4D35" w:rsidRDefault="00E7031C" w:rsidP="00E7031C">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Проект</w:t>
            </w:r>
          </w:p>
        </w:tc>
        <w:tc>
          <w:tcPr>
            <w:tcW w:w="6831" w:type="dxa"/>
            <w:shd w:val="clear" w:color="auto" w:fill="F3F3F3"/>
          </w:tcPr>
          <w:p w14:paraId="5544CC88" w14:textId="77777777" w:rsidR="00E7031C" w:rsidRPr="008E4D35" w:rsidRDefault="00E7031C" w:rsidP="00E7031C">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Съвкупност от взаимосвързани и взаимодопълващи се дейности с предварително определена/и цел/и, необходими ресурси и времева рамка за изпълнение, водещи до постигането на конкретни количествено-измерими резултати.</w:t>
            </w:r>
          </w:p>
        </w:tc>
      </w:tr>
      <w:tr w:rsidR="00E7031C" w:rsidRPr="008E4D35" w14:paraId="5C828F7F" w14:textId="77777777" w:rsidTr="002E07CC">
        <w:tc>
          <w:tcPr>
            <w:tcW w:w="2633" w:type="dxa"/>
            <w:shd w:val="clear" w:color="auto" w:fill="E6E6E6"/>
          </w:tcPr>
          <w:p w14:paraId="5531ED14" w14:textId="77777777" w:rsidR="00E7031C" w:rsidRPr="008E4D35" w:rsidRDefault="00E7031C" w:rsidP="00E7031C">
            <w:pPr>
              <w:spacing w:before="100" w:beforeAutospacing="1" w:after="100" w:afterAutospacing="1" w:line="240" w:lineRule="auto"/>
              <w:rPr>
                <w:rFonts w:eastAsia="Times New Roman" w:cstheme="minorHAnsi"/>
                <w:b/>
                <w:snapToGrid w:val="0"/>
                <w:sz w:val="24"/>
                <w:szCs w:val="24"/>
              </w:rPr>
            </w:pPr>
            <w:r w:rsidRPr="00594DF4">
              <w:rPr>
                <w:rFonts w:eastAsia="Times New Roman" w:cstheme="minorHAnsi"/>
                <w:b/>
                <w:snapToGrid w:val="0"/>
                <w:sz w:val="24"/>
                <w:szCs w:val="24"/>
              </w:rPr>
              <w:t>Процедура за избор на изпълнител</w:t>
            </w:r>
          </w:p>
        </w:tc>
        <w:tc>
          <w:tcPr>
            <w:tcW w:w="6831" w:type="dxa"/>
            <w:shd w:val="clear" w:color="auto" w:fill="F3F3F3"/>
          </w:tcPr>
          <w:p w14:paraId="7760ED75" w14:textId="77777777" w:rsidR="00E7031C" w:rsidRPr="002F4983" w:rsidRDefault="00E7031C" w:rsidP="00E7031C">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Система от свързани правила, при спазването на които крайният получател се стреми да избере изпълнител, с когото да сключи договор, финансиран от Механизма за възстановяване и устойчивост.</w:t>
            </w:r>
          </w:p>
        </w:tc>
      </w:tr>
      <w:tr w:rsidR="00E7031C" w:rsidRPr="008E4D35" w14:paraId="55CEAADD" w14:textId="77777777" w:rsidTr="002E07CC">
        <w:tc>
          <w:tcPr>
            <w:tcW w:w="2633" w:type="dxa"/>
            <w:shd w:val="clear" w:color="auto" w:fill="E6E6E6"/>
          </w:tcPr>
          <w:p w14:paraId="17C7EDDB" w14:textId="77777777" w:rsidR="00E7031C" w:rsidRPr="00051B86" w:rsidRDefault="00E7031C" w:rsidP="00E7031C">
            <w:pPr>
              <w:spacing w:before="100" w:beforeAutospacing="1" w:after="100" w:afterAutospacing="1" w:line="240" w:lineRule="auto"/>
              <w:rPr>
                <w:rFonts w:eastAsia="Times New Roman" w:cstheme="minorHAnsi"/>
                <w:b/>
                <w:snapToGrid w:val="0"/>
                <w:sz w:val="24"/>
                <w:szCs w:val="24"/>
                <w:highlight w:val="yellow"/>
              </w:rPr>
            </w:pPr>
            <w:r w:rsidRPr="009E1F73">
              <w:rPr>
                <w:rFonts w:eastAsia="Times New Roman" w:cstheme="minorHAnsi"/>
                <w:b/>
                <w:snapToGrid w:val="0"/>
                <w:sz w:val="24"/>
                <w:szCs w:val="24"/>
              </w:rPr>
              <w:t>Първично селскостопанско производство</w:t>
            </w:r>
          </w:p>
        </w:tc>
        <w:tc>
          <w:tcPr>
            <w:tcW w:w="6831" w:type="dxa"/>
            <w:shd w:val="clear" w:color="auto" w:fill="F3F3F3"/>
          </w:tcPr>
          <w:p w14:paraId="6BFCA18E" w14:textId="77777777" w:rsidR="00E7031C" w:rsidRPr="002F4983" w:rsidRDefault="00E7031C" w:rsidP="00E7031C">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Производство на продукти на почвата и на животновъдството, изброени в Приложение I към Договора, без да се извършват никакви по-нататъшни операции, с които се променя естеството на тези продукти.</w:t>
            </w:r>
          </w:p>
        </w:tc>
      </w:tr>
      <w:tr w:rsidR="00E7031C" w:rsidRPr="008E4D35" w14:paraId="3094E748" w14:textId="77777777" w:rsidTr="002E07CC">
        <w:tc>
          <w:tcPr>
            <w:tcW w:w="2633" w:type="dxa"/>
            <w:shd w:val="clear" w:color="auto" w:fill="E6E6E6"/>
          </w:tcPr>
          <w:p w14:paraId="747DB7E0" w14:textId="77777777" w:rsidR="00E7031C" w:rsidRPr="008E4D35" w:rsidRDefault="00E7031C" w:rsidP="00E7031C">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Ръководител на </w:t>
            </w:r>
            <w:r>
              <w:rPr>
                <w:rFonts w:eastAsia="Times New Roman" w:cstheme="minorHAnsi"/>
                <w:b/>
                <w:snapToGrid w:val="0"/>
                <w:sz w:val="24"/>
                <w:szCs w:val="24"/>
              </w:rPr>
              <w:t>С</w:t>
            </w:r>
            <w:r w:rsidRPr="00196D20">
              <w:rPr>
                <w:rFonts w:eastAsia="Times New Roman" w:cstheme="minorHAnsi"/>
                <w:b/>
                <w:snapToGrid w:val="0"/>
                <w:sz w:val="24"/>
                <w:szCs w:val="24"/>
              </w:rPr>
              <w:t>труктура за наблюдение и докладване</w:t>
            </w:r>
          </w:p>
        </w:tc>
        <w:tc>
          <w:tcPr>
            <w:tcW w:w="6831" w:type="dxa"/>
            <w:shd w:val="clear" w:color="auto" w:fill="F3F3F3"/>
          </w:tcPr>
          <w:p w14:paraId="1603F32E" w14:textId="77777777" w:rsidR="00E7031C" w:rsidRPr="002F4983" w:rsidRDefault="00E7031C" w:rsidP="00E7031C">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Ръководителят на съответната СНД. Правомощията на ръководител на Структура за наблюдение и докладване може да се упражняват и от овластено от него лице.</w:t>
            </w:r>
          </w:p>
        </w:tc>
      </w:tr>
      <w:tr w:rsidR="00E7031C" w:rsidRPr="008E4D35" w14:paraId="11EDE9D5" w14:textId="77777777" w:rsidTr="002E07CC">
        <w:tc>
          <w:tcPr>
            <w:tcW w:w="2633" w:type="dxa"/>
            <w:shd w:val="clear" w:color="auto" w:fill="E6E6E6"/>
          </w:tcPr>
          <w:p w14:paraId="5B797824" w14:textId="77777777" w:rsidR="00E7031C" w:rsidRPr="008C5169" w:rsidRDefault="00E7031C" w:rsidP="00E7031C">
            <w:pPr>
              <w:spacing w:before="100" w:beforeAutospacing="1" w:after="100" w:afterAutospacing="1" w:line="240" w:lineRule="auto"/>
              <w:rPr>
                <w:rFonts w:eastAsia="Times New Roman" w:cstheme="minorHAnsi"/>
                <w:b/>
                <w:snapToGrid w:val="0"/>
                <w:sz w:val="24"/>
                <w:szCs w:val="24"/>
              </w:rPr>
            </w:pPr>
            <w:r w:rsidRPr="008C5169">
              <w:rPr>
                <w:rFonts w:eastAsia="Times New Roman" w:cstheme="minorHAnsi"/>
                <w:b/>
                <w:snapToGrid w:val="0"/>
                <w:sz w:val="24"/>
                <w:szCs w:val="24"/>
              </w:rPr>
              <w:t>Свързани лица</w:t>
            </w:r>
          </w:p>
        </w:tc>
        <w:tc>
          <w:tcPr>
            <w:tcW w:w="6831" w:type="dxa"/>
            <w:shd w:val="clear" w:color="auto" w:fill="F3F3F3"/>
          </w:tcPr>
          <w:p w14:paraId="5E02E5C0" w14:textId="77777777" w:rsidR="00E7031C" w:rsidRPr="002F4983" w:rsidRDefault="00E7031C" w:rsidP="00946D09">
            <w:pPr>
              <w:spacing w:after="0" w:line="240" w:lineRule="auto"/>
              <w:jc w:val="both"/>
              <w:rPr>
                <w:rFonts w:eastAsia="Times New Roman" w:cstheme="minorHAnsi"/>
                <w:snapToGrid w:val="0"/>
                <w:sz w:val="24"/>
                <w:szCs w:val="24"/>
              </w:rPr>
            </w:pPr>
            <w:r w:rsidRPr="002F4983">
              <w:rPr>
                <w:rFonts w:eastAsia="Times New Roman" w:cstheme="minorHAnsi"/>
                <w:snapToGrid w:val="0"/>
                <w:sz w:val="24"/>
                <w:szCs w:val="24"/>
                <w:lang w:val="en-US"/>
              </w:rPr>
              <w:t xml:space="preserve">(1) </w:t>
            </w:r>
            <w:r w:rsidRPr="002F4983">
              <w:rPr>
                <w:rFonts w:eastAsia="Times New Roman" w:cstheme="minorHAnsi"/>
                <w:snapToGrid w:val="0"/>
                <w:sz w:val="24"/>
                <w:szCs w:val="24"/>
              </w:rPr>
              <w:t>„Свързани лица” са:</w:t>
            </w:r>
          </w:p>
          <w:p w14:paraId="3034ED70" w14:textId="77777777" w:rsidR="00E7031C" w:rsidRPr="002F4983" w:rsidRDefault="00E7031C" w:rsidP="00946D09">
            <w:pPr>
              <w:spacing w:after="0" w:line="240" w:lineRule="auto"/>
              <w:jc w:val="both"/>
              <w:rPr>
                <w:rFonts w:eastAsia="Times New Roman" w:cstheme="minorHAnsi"/>
                <w:snapToGrid w:val="0"/>
                <w:sz w:val="24"/>
                <w:szCs w:val="24"/>
              </w:rPr>
            </w:pPr>
            <w:r w:rsidRPr="002F4983">
              <w:rPr>
                <w:rFonts w:eastAsia="Times New Roman" w:cstheme="minorHAnsi"/>
                <w:snapToGrid w:val="0"/>
                <w:sz w:val="24"/>
                <w:szCs w:val="24"/>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14:paraId="7985B0BC" w14:textId="77777777" w:rsidR="00E7031C" w:rsidRPr="002F4983" w:rsidRDefault="00E7031C" w:rsidP="00946D09">
            <w:pPr>
              <w:spacing w:after="0" w:line="240" w:lineRule="auto"/>
              <w:jc w:val="both"/>
              <w:rPr>
                <w:rFonts w:eastAsia="Times New Roman" w:cstheme="minorHAnsi"/>
                <w:snapToGrid w:val="0"/>
                <w:sz w:val="24"/>
                <w:szCs w:val="24"/>
              </w:rPr>
            </w:pPr>
            <w:r w:rsidRPr="002F4983">
              <w:rPr>
                <w:rFonts w:eastAsia="Times New Roman" w:cstheme="minorHAnsi"/>
                <w:snapToGrid w:val="0"/>
                <w:sz w:val="24"/>
                <w:szCs w:val="24"/>
              </w:rPr>
              <w:lastRenderedPageBreak/>
              <w:t>2. работодател и работник;</w:t>
            </w:r>
          </w:p>
          <w:p w14:paraId="18DA0E57" w14:textId="77777777" w:rsidR="00E7031C" w:rsidRPr="002F4983" w:rsidRDefault="00E7031C" w:rsidP="00946D09">
            <w:pPr>
              <w:spacing w:after="0" w:line="240" w:lineRule="auto"/>
              <w:jc w:val="both"/>
              <w:rPr>
                <w:rFonts w:eastAsia="Times New Roman" w:cstheme="minorHAnsi"/>
                <w:snapToGrid w:val="0"/>
                <w:sz w:val="24"/>
                <w:szCs w:val="24"/>
              </w:rPr>
            </w:pPr>
            <w:r w:rsidRPr="002F4983">
              <w:rPr>
                <w:rFonts w:eastAsia="Times New Roman" w:cstheme="minorHAnsi"/>
                <w:snapToGrid w:val="0"/>
                <w:sz w:val="24"/>
                <w:szCs w:val="24"/>
              </w:rPr>
              <w:t>3. лицата, едното от които участва в управлението на дружеството на другото;</w:t>
            </w:r>
          </w:p>
          <w:p w14:paraId="0064E4C5" w14:textId="77777777" w:rsidR="00E7031C" w:rsidRPr="002F4983" w:rsidRDefault="00E7031C" w:rsidP="00946D09">
            <w:pPr>
              <w:spacing w:after="0" w:line="240" w:lineRule="auto"/>
              <w:jc w:val="both"/>
              <w:rPr>
                <w:rFonts w:eastAsia="Times New Roman" w:cstheme="minorHAnsi"/>
                <w:snapToGrid w:val="0"/>
                <w:sz w:val="24"/>
                <w:szCs w:val="24"/>
              </w:rPr>
            </w:pPr>
            <w:r w:rsidRPr="002F4983">
              <w:rPr>
                <w:rFonts w:eastAsia="Times New Roman" w:cstheme="minorHAnsi"/>
                <w:snapToGrid w:val="0"/>
                <w:sz w:val="24"/>
                <w:szCs w:val="24"/>
              </w:rPr>
              <w:t>4. съдружниците;</w:t>
            </w:r>
          </w:p>
          <w:p w14:paraId="39A8FFC8" w14:textId="77777777" w:rsidR="00E7031C" w:rsidRPr="002F4983" w:rsidRDefault="00E7031C" w:rsidP="00946D09">
            <w:pPr>
              <w:spacing w:after="0" w:line="240" w:lineRule="auto"/>
              <w:jc w:val="both"/>
              <w:rPr>
                <w:rFonts w:eastAsia="Times New Roman" w:cstheme="minorHAnsi"/>
                <w:snapToGrid w:val="0"/>
                <w:sz w:val="24"/>
                <w:szCs w:val="24"/>
              </w:rPr>
            </w:pPr>
            <w:r w:rsidRPr="002F4983">
              <w:rPr>
                <w:rFonts w:eastAsia="Times New Roman" w:cstheme="minorHAnsi"/>
                <w:snapToGrid w:val="0"/>
                <w:sz w:val="24"/>
                <w:szCs w:val="24"/>
              </w:rPr>
              <w:t>5. дружество и лице, което притежава повече от 5 на сто от дяловете и акциите, издадени с право на глас в дружеството;</w:t>
            </w:r>
          </w:p>
          <w:p w14:paraId="23696790" w14:textId="77777777" w:rsidR="00E7031C" w:rsidRPr="002F4983" w:rsidRDefault="00E7031C" w:rsidP="00946D09">
            <w:pPr>
              <w:spacing w:after="0" w:line="240" w:lineRule="auto"/>
              <w:jc w:val="both"/>
              <w:rPr>
                <w:rFonts w:eastAsia="Times New Roman" w:cstheme="minorHAnsi"/>
                <w:snapToGrid w:val="0"/>
                <w:sz w:val="24"/>
                <w:szCs w:val="24"/>
              </w:rPr>
            </w:pPr>
            <w:r w:rsidRPr="002F4983">
              <w:rPr>
                <w:rFonts w:eastAsia="Times New Roman" w:cstheme="minorHAnsi"/>
                <w:snapToGrid w:val="0"/>
                <w:sz w:val="24"/>
                <w:szCs w:val="24"/>
              </w:rPr>
              <w:t>6. лицата, чиято дейност се контролира пряко или косвено от трето лице;</w:t>
            </w:r>
          </w:p>
          <w:p w14:paraId="1DB6C140" w14:textId="77777777" w:rsidR="00E7031C" w:rsidRPr="002F4983" w:rsidRDefault="00E7031C" w:rsidP="00946D09">
            <w:pPr>
              <w:spacing w:after="0" w:line="240" w:lineRule="auto"/>
              <w:jc w:val="both"/>
              <w:rPr>
                <w:rFonts w:eastAsia="Times New Roman" w:cstheme="minorHAnsi"/>
                <w:snapToGrid w:val="0"/>
                <w:sz w:val="24"/>
                <w:szCs w:val="24"/>
              </w:rPr>
            </w:pPr>
            <w:r w:rsidRPr="002F4983">
              <w:rPr>
                <w:rFonts w:eastAsia="Times New Roman" w:cstheme="minorHAnsi"/>
                <w:snapToGrid w:val="0"/>
                <w:sz w:val="24"/>
                <w:szCs w:val="24"/>
              </w:rPr>
              <w:t>7. лицата, които съвместно контролират пряко или косвено трето лице;</w:t>
            </w:r>
          </w:p>
          <w:p w14:paraId="07208819" w14:textId="77777777" w:rsidR="00E7031C" w:rsidRPr="002F4983" w:rsidRDefault="00E7031C" w:rsidP="00946D09">
            <w:pPr>
              <w:spacing w:after="0" w:line="240" w:lineRule="auto"/>
              <w:jc w:val="both"/>
              <w:rPr>
                <w:rFonts w:eastAsia="Times New Roman" w:cstheme="minorHAnsi"/>
                <w:snapToGrid w:val="0"/>
                <w:sz w:val="24"/>
                <w:szCs w:val="24"/>
              </w:rPr>
            </w:pPr>
            <w:r w:rsidRPr="002F4983">
              <w:rPr>
                <w:rFonts w:eastAsia="Times New Roman" w:cstheme="minorHAnsi"/>
                <w:snapToGrid w:val="0"/>
                <w:sz w:val="24"/>
                <w:szCs w:val="24"/>
              </w:rPr>
              <w:t>8. лицата, едното от които е търговски</w:t>
            </w:r>
            <w:r w:rsidRPr="002F4983">
              <w:rPr>
                <w:rFonts w:eastAsia="Times New Roman" w:cstheme="minorHAnsi"/>
                <w:snapToGrid w:val="0"/>
                <w:sz w:val="24"/>
                <w:szCs w:val="24"/>
                <w:lang w:val="en-US"/>
              </w:rPr>
              <w:t xml:space="preserve"> </w:t>
            </w:r>
            <w:r w:rsidRPr="002F4983">
              <w:rPr>
                <w:rFonts w:eastAsia="Times New Roman" w:cstheme="minorHAnsi"/>
                <w:snapToGrid w:val="0"/>
                <w:sz w:val="24"/>
                <w:szCs w:val="24"/>
              </w:rPr>
              <w:t>представител на другото;</w:t>
            </w:r>
          </w:p>
          <w:p w14:paraId="0611E461" w14:textId="77777777" w:rsidR="00E7031C" w:rsidRPr="002F4983" w:rsidRDefault="00E7031C" w:rsidP="00946D09">
            <w:pPr>
              <w:spacing w:after="0" w:line="240" w:lineRule="auto"/>
              <w:jc w:val="both"/>
              <w:rPr>
                <w:rFonts w:eastAsia="Times New Roman" w:cstheme="minorHAnsi"/>
                <w:snapToGrid w:val="0"/>
                <w:sz w:val="24"/>
                <w:szCs w:val="24"/>
              </w:rPr>
            </w:pPr>
            <w:r w:rsidRPr="002F4983">
              <w:rPr>
                <w:rFonts w:eastAsia="Times New Roman" w:cstheme="minorHAnsi"/>
                <w:snapToGrid w:val="0"/>
                <w:sz w:val="24"/>
                <w:szCs w:val="24"/>
              </w:rPr>
              <w:t>9. лицата, едното от които е направило дарение в полза на другото.</w:t>
            </w:r>
          </w:p>
          <w:p w14:paraId="777300AD" w14:textId="77777777" w:rsidR="00E7031C" w:rsidRPr="002F4983" w:rsidRDefault="00E7031C" w:rsidP="00946D09">
            <w:pPr>
              <w:spacing w:after="0" w:line="240" w:lineRule="auto"/>
              <w:jc w:val="both"/>
              <w:rPr>
                <w:rFonts w:eastAsia="Times New Roman" w:cstheme="minorHAnsi"/>
                <w:snapToGrid w:val="0"/>
                <w:sz w:val="24"/>
                <w:szCs w:val="24"/>
                <w:lang w:val="en-US"/>
              </w:rPr>
            </w:pPr>
            <w:r w:rsidRPr="002F4983">
              <w:rPr>
                <w:rFonts w:eastAsia="Times New Roman" w:cstheme="minorHAnsi"/>
                <w:snapToGrid w:val="0"/>
                <w:sz w:val="24"/>
                <w:szCs w:val="24"/>
              </w:rPr>
              <w:t>(2) „Свързани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tc>
      </w:tr>
      <w:tr w:rsidR="00E7031C" w:rsidRPr="008E4D35" w14:paraId="00EA8C4A" w14:textId="77777777" w:rsidTr="002E07CC">
        <w:tc>
          <w:tcPr>
            <w:tcW w:w="2633" w:type="dxa"/>
            <w:shd w:val="clear" w:color="auto" w:fill="E6E6E6"/>
          </w:tcPr>
          <w:p w14:paraId="6F3042F4" w14:textId="77777777" w:rsidR="00E7031C" w:rsidRPr="008E4D35" w:rsidRDefault="00E7031C" w:rsidP="00E7031C">
            <w:pPr>
              <w:spacing w:before="100" w:beforeAutospacing="1" w:after="100" w:afterAutospacing="1" w:line="240" w:lineRule="auto"/>
              <w:rPr>
                <w:rFonts w:eastAsia="Times New Roman" w:cstheme="minorHAnsi"/>
                <w:b/>
                <w:snapToGrid w:val="0"/>
                <w:sz w:val="24"/>
                <w:szCs w:val="24"/>
              </w:rPr>
            </w:pPr>
            <w:r w:rsidRPr="00E304D8">
              <w:rPr>
                <w:rFonts w:eastAsia="Times New Roman" w:cstheme="minorHAnsi"/>
                <w:b/>
                <w:snapToGrid w:val="0"/>
                <w:sz w:val="24"/>
                <w:szCs w:val="24"/>
              </w:rPr>
              <w:lastRenderedPageBreak/>
              <w:t>Сделка между несвързани лица</w:t>
            </w:r>
          </w:p>
        </w:tc>
        <w:tc>
          <w:tcPr>
            <w:tcW w:w="6831" w:type="dxa"/>
            <w:shd w:val="clear" w:color="auto" w:fill="F3F3F3"/>
          </w:tcPr>
          <w:p w14:paraId="29857BC9" w14:textId="77777777" w:rsidR="00E7031C" w:rsidRPr="002F4983" w:rsidRDefault="00E7031C" w:rsidP="00E7031C">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Сделка между несвързани лица означава, че условията на сделката между договарящите се страни не се различават от условията, които биха били договорени между независими предприятия, и не съдържат елемент на колизия. Всяка сделка, която е резултат от открита, прозрачна и недискриминационна процедура, се разглежда като съответстваща на принципа на сделката между несвързани лица</w:t>
            </w:r>
          </w:p>
        </w:tc>
      </w:tr>
      <w:tr w:rsidR="00E7031C" w:rsidRPr="008E4D35" w14:paraId="1A8723BF" w14:textId="77777777" w:rsidTr="002E07CC">
        <w:tc>
          <w:tcPr>
            <w:tcW w:w="2633" w:type="dxa"/>
            <w:shd w:val="clear" w:color="auto" w:fill="E6E6E6"/>
          </w:tcPr>
          <w:p w14:paraId="4114A430" w14:textId="77777777" w:rsidR="00E7031C" w:rsidRPr="00A3057D" w:rsidRDefault="00E7031C" w:rsidP="00E7031C">
            <w:pPr>
              <w:spacing w:before="100" w:beforeAutospacing="1" w:after="100" w:afterAutospacing="1" w:line="240" w:lineRule="auto"/>
              <w:rPr>
                <w:rFonts w:eastAsia="Times New Roman" w:cstheme="minorHAnsi"/>
                <w:b/>
                <w:snapToGrid w:val="0"/>
                <w:sz w:val="24"/>
                <w:szCs w:val="24"/>
              </w:rPr>
            </w:pPr>
            <w:r w:rsidRPr="009E1F73">
              <w:rPr>
                <w:rFonts w:eastAsia="Times New Roman" w:cstheme="minorHAnsi"/>
                <w:b/>
                <w:snapToGrid w:val="0"/>
                <w:sz w:val="24"/>
                <w:szCs w:val="24"/>
              </w:rPr>
              <w:t>Селскостопански продукт</w:t>
            </w:r>
          </w:p>
        </w:tc>
        <w:tc>
          <w:tcPr>
            <w:tcW w:w="6831" w:type="dxa"/>
            <w:shd w:val="clear" w:color="auto" w:fill="F3F3F3"/>
          </w:tcPr>
          <w:p w14:paraId="4FEB8CD8" w14:textId="77777777" w:rsidR="00E7031C" w:rsidRPr="002F4983" w:rsidRDefault="00E7031C" w:rsidP="00E7031C">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Продукти, изброени в Приложение I към Договора за функционирането на Европейския съюз, с изключение на продуктите на рибарството и аквакултурите, включени в приложното поле на Регламент (ЕС) № 1379/2013 на Европейския парламент и на Съвета от 11 декември 2013 г.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w:t>
            </w:r>
          </w:p>
        </w:tc>
      </w:tr>
      <w:tr w:rsidR="00E7031C" w:rsidRPr="008E4D35" w14:paraId="7B33E2E9" w14:textId="77777777" w:rsidTr="002E07CC">
        <w:tc>
          <w:tcPr>
            <w:tcW w:w="2633" w:type="dxa"/>
            <w:shd w:val="clear" w:color="auto" w:fill="E6E6E6"/>
          </w:tcPr>
          <w:p w14:paraId="4D7311BB" w14:textId="77777777" w:rsidR="00E7031C" w:rsidRPr="00196D20" w:rsidRDefault="00E7031C" w:rsidP="00E7031C">
            <w:pPr>
              <w:spacing w:before="100" w:beforeAutospacing="1" w:after="100" w:afterAutospacing="1" w:line="240" w:lineRule="auto"/>
              <w:rPr>
                <w:rFonts w:eastAsia="Times New Roman" w:cstheme="minorHAnsi"/>
                <w:b/>
                <w:snapToGrid w:val="0"/>
                <w:sz w:val="24"/>
                <w:szCs w:val="24"/>
              </w:rPr>
            </w:pPr>
            <w:r w:rsidRPr="00196D20">
              <w:rPr>
                <w:rFonts w:eastAsia="Times New Roman" w:cstheme="minorHAnsi"/>
                <w:b/>
                <w:snapToGrid w:val="0"/>
                <w:sz w:val="24"/>
                <w:szCs w:val="24"/>
              </w:rPr>
              <w:t>Структура за наблюдение и докладване</w:t>
            </w:r>
          </w:p>
        </w:tc>
        <w:tc>
          <w:tcPr>
            <w:tcW w:w="6831" w:type="dxa"/>
            <w:shd w:val="clear" w:color="auto" w:fill="F3F3F3"/>
          </w:tcPr>
          <w:p w14:paraId="527C0761" w14:textId="77777777" w:rsidR="00E7031C" w:rsidRPr="002F4983" w:rsidRDefault="00E7031C" w:rsidP="00E7031C">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Определено звено в министерство, друго ведомство от централната администрация на изпълнителната власт или определено негово звено, което отговаря за подбора, в случаите, в които е предвиден такъв, за договарянето на финансиране с крайни получатели, за обобщаването на финансовата и техническа информацията, както и за осъществяването на контрол върху финансовото и техническо изпълнение на инвестициите, реализирани в рамките на споразумение с Министерството на финансите.</w:t>
            </w:r>
          </w:p>
        </w:tc>
      </w:tr>
      <w:tr w:rsidR="00E7031C" w:rsidRPr="008E4D35" w14:paraId="2DA8E1A8" w14:textId="77777777" w:rsidTr="002E07CC">
        <w:tc>
          <w:tcPr>
            <w:tcW w:w="2633" w:type="dxa"/>
            <w:shd w:val="clear" w:color="auto" w:fill="E6E6E6"/>
          </w:tcPr>
          <w:p w14:paraId="1094FA36" w14:textId="77777777" w:rsidR="00E7031C" w:rsidRPr="00F15327" w:rsidRDefault="00E7031C" w:rsidP="00E7031C">
            <w:pPr>
              <w:spacing w:before="100" w:beforeAutospacing="1" w:after="100" w:afterAutospacing="1" w:line="240" w:lineRule="auto"/>
              <w:rPr>
                <w:rFonts w:eastAsia="Times New Roman" w:cstheme="minorHAnsi"/>
                <w:b/>
                <w:snapToGrid w:val="0"/>
                <w:sz w:val="24"/>
                <w:szCs w:val="24"/>
              </w:rPr>
            </w:pPr>
            <w:r w:rsidRPr="00F15327">
              <w:rPr>
                <w:rFonts w:eastAsia="Times New Roman" w:cstheme="minorHAnsi"/>
                <w:b/>
                <w:snapToGrid w:val="0"/>
                <w:sz w:val="24"/>
                <w:szCs w:val="24"/>
              </w:rPr>
              <w:t>Транспортни средства</w:t>
            </w:r>
          </w:p>
        </w:tc>
        <w:tc>
          <w:tcPr>
            <w:tcW w:w="6831" w:type="dxa"/>
            <w:shd w:val="clear" w:color="auto" w:fill="F3F3F3"/>
          </w:tcPr>
          <w:p w14:paraId="3E4F9CF2" w14:textId="77777777" w:rsidR="00E7031C" w:rsidRPr="00F15327" w:rsidRDefault="00E7031C" w:rsidP="00E7031C">
            <w:pPr>
              <w:pStyle w:val="FootnoteText"/>
              <w:spacing w:after="60"/>
              <w:jc w:val="both"/>
              <w:rPr>
                <w:sz w:val="24"/>
                <w:szCs w:val="24"/>
              </w:rPr>
            </w:pPr>
            <w:r w:rsidRPr="00F15327">
              <w:rPr>
                <w:sz w:val="24"/>
                <w:szCs w:val="24"/>
              </w:rPr>
              <w:t>Включва следните дефиниции:</w:t>
            </w:r>
          </w:p>
          <w:p w14:paraId="0F44B3A7" w14:textId="77777777" w:rsidR="00E7031C" w:rsidRPr="00F15327" w:rsidRDefault="00E7031C" w:rsidP="00E7031C">
            <w:pPr>
              <w:pStyle w:val="FootnoteText"/>
              <w:spacing w:after="60"/>
              <w:jc w:val="both"/>
              <w:rPr>
                <w:sz w:val="24"/>
                <w:szCs w:val="24"/>
              </w:rPr>
            </w:pPr>
            <w:r w:rsidRPr="00F15327">
              <w:rPr>
                <w:sz w:val="24"/>
                <w:szCs w:val="24"/>
              </w:rPr>
              <w:t xml:space="preserve"> - </w:t>
            </w:r>
            <w:r w:rsidRPr="00F15327">
              <w:rPr>
                <w:i/>
                <w:sz w:val="24"/>
                <w:szCs w:val="24"/>
              </w:rPr>
              <w:t>Съгласно Закона за движението по пътищата:</w:t>
            </w:r>
          </w:p>
          <w:p w14:paraId="59ACC8EF" w14:textId="77777777" w:rsidR="00E7031C" w:rsidRPr="00F15327" w:rsidRDefault="00E7031C" w:rsidP="00E7031C">
            <w:pPr>
              <w:pStyle w:val="FootnoteText"/>
              <w:spacing w:after="60"/>
              <w:jc w:val="both"/>
              <w:rPr>
                <w:sz w:val="24"/>
                <w:szCs w:val="24"/>
              </w:rPr>
            </w:pPr>
            <w:r w:rsidRPr="00F15327">
              <w:rPr>
                <w:sz w:val="24"/>
                <w:szCs w:val="24"/>
              </w:rPr>
              <w:t xml:space="preserve">1. "Пътно превозно средство" е съоръжение, придвижвано по </w:t>
            </w:r>
            <w:r w:rsidRPr="00F15327">
              <w:rPr>
                <w:sz w:val="24"/>
                <w:szCs w:val="24"/>
              </w:rPr>
              <w:lastRenderedPageBreak/>
              <w:t>пътя на колела и използвано за превозване на хора и/или товари. Към пътните превозни средства се приравняват трамваите и самоходните машини, когато се придвижват по пътищата.</w:t>
            </w:r>
          </w:p>
          <w:p w14:paraId="54A56CAA" w14:textId="77777777" w:rsidR="00E7031C" w:rsidRDefault="00E7031C" w:rsidP="00E7031C">
            <w:pPr>
              <w:pStyle w:val="FootnoteText"/>
              <w:spacing w:after="60"/>
              <w:jc w:val="both"/>
              <w:rPr>
                <w:sz w:val="24"/>
                <w:szCs w:val="24"/>
              </w:rPr>
            </w:pPr>
            <w:r w:rsidRPr="00F15327">
              <w:rPr>
                <w:sz w:val="24"/>
                <w:szCs w:val="24"/>
              </w:rPr>
              <w:t>2. "Моторно превозно средство" е пътно превозно средство, снабдено с двигател за придвижване, с изключение на релсовите превозни средства.</w:t>
            </w:r>
          </w:p>
          <w:p w14:paraId="51F17E69" w14:textId="77777777" w:rsidR="00E7031C" w:rsidRPr="00F15327" w:rsidRDefault="00E7031C" w:rsidP="00E7031C">
            <w:pPr>
              <w:pStyle w:val="FootnoteText"/>
              <w:spacing w:after="60"/>
              <w:jc w:val="both"/>
              <w:rPr>
                <w:i/>
                <w:sz w:val="24"/>
                <w:szCs w:val="24"/>
              </w:rPr>
            </w:pPr>
            <w:r w:rsidRPr="00F15327">
              <w:rPr>
                <w:sz w:val="24"/>
                <w:szCs w:val="24"/>
              </w:rPr>
              <w:t xml:space="preserve">- </w:t>
            </w:r>
            <w:r w:rsidRPr="00F15327">
              <w:rPr>
                <w:i/>
                <w:sz w:val="24"/>
                <w:szCs w:val="24"/>
              </w:rPr>
              <w:t>Съгласно Закона за гражданското въздухоплаване:</w:t>
            </w:r>
          </w:p>
          <w:p w14:paraId="388B5F48" w14:textId="77777777" w:rsidR="00E7031C" w:rsidRPr="00F15327" w:rsidRDefault="00E7031C" w:rsidP="00E7031C">
            <w:pPr>
              <w:pStyle w:val="FootnoteText"/>
              <w:spacing w:after="60"/>
              <w:jc w:val="both"/>
              <w:rPr>
                <w:sz w:val="24"/>
                <w:szCs w:val="24"/>
              </w:rPr>
            </w:pPr>
            <w:r w:rsidRPr="00F15327">
              <w:rPr>
                <w:sz w:val="24"/>
                <w:szCs w:val="24"/>
              </w:rPr>
              <w:t>1. "Въздухоплавателно средство" е всяко средство,  което може да получи поддържане в атмосферата за сметка на реакцията на въздуха, освен реакцията на въздуха от земната повърхност.</w:t>
            </w:r>
          </w:p>
          <w:p w14:paraId="55D31E87" w14:textId="77777777" w:rsidR="00E7031C" w:rsidRPr="00F15327" w:rsidRDefault="00E7031C" w:rsidP="00E7031C">
            <w:pPr>
              <w:pStyle w:val="FootnoteText"/>
              <w:spacing w:after="60"/>
              <w:jc w:val="both"/>
              <w:rPr>
                <w:sz w:val="24"/>
                <w:szCs w:val="24"/>
              </w:rPr>
            </w:pPr>
            <w:r w:rsidRPr="00F15327">
              <w:rPr>
                <w:sz w:val="24"/>
                <w:szCs w:val="24"/>
              </w:rPr>
              <w:t xml:space="preserve"> - </w:t>
            </w:r>
            <w:r w:rsidRPr="00F15327">
              <w:rPr>
                <w:i/>
                <w:sz w:val="24"/>
                <w:szCs w:val="24"/>
              </w:rPr>
              <w:t>Съгласно Закона за железопътния транспорт:</w:t>
            </w:r>
          </w:p>
          <w:p w14:paraId="1F4704ED" w14:textId="77777777" w:rsidR="00E7031C" w:rsidRPr="00F15327" w:rsidRDefault="00E7031C" w:rsidP="00E7031C">
            <w:pPr>
              <w:pStyle w:val="FootnoteText"/>
              <w:spacing w:after="60"/>
              <w:jc w:val="both"/>
              <w:rPr>
                <w:sz w:val="24"/>
                <w:szCs w:val="24"/>
              </w:rPr>
            </w:pPr>
            <w:r w:rsidRPr="00F15327">
              <w:rPr>
                <w:sz w:val="24"/>
                <w:szCs w:val="24"/>
              </w:rPr>
              <w:t>1. „Влак” е подреден и скачен състав от вагони с един или повече локомотиви в работно състояние, снабден със сигнали и влакови документи. Локомотиви, мотрисни влакове, мотриси, моторни дрезини и други моторни возила, несваляеми от пътя, отправени на междугарие, се смятат за влакове.</w:t>
            </w:r>
          </w:p>
          <w:p w14:paraId="0294B073" w14:textId="77777777" w:rsidR="00E7031C" w:rsidRPr="00F15327" w:rsidRDefault="00E7031C" w:rsidP="00E7031C">
            <w:pPr>
              <w:pStyle w:val="FootnoteText"/>
              <w:spacing w:after="60"/>
              <w:jc w:val="both"/>
              <w:rPr>
                <w:sz w:val="24"/>
                <w:szCs w:val="24"/>
              </w:rPr>
            </w:pPr>
            <w:r w:rsidRPr="00F15327">
              <w:rPr>
                <w:sz w:val="24"/>
                <w:szCs w:val="24"/>
              </w:rPr>
              <w:t xml:space="preserve"> - </w:t>
            </w:r>
            <w:r w:rsidRPr="00F15327">
              <w:rPr>
                <w:i/>
                <w:sz w:val="24"/>
                <w:szCs w:val="24"/>
              </w:rPr>
              <w:t>Съгласно Закона за морските пространства, вътрешните водни пътища и пристанищата на Република България:</w:t>
            </w:r>
          </w:p>
          <w:p w14:paraId="1D41CFAC" w14:textId="77777777" w:rsidR="00E7031C" w:rsidRPr="00F15327" w:rsidRDefault="00E7031C" w:rsidP="00E7031C">
            <w:pPr>
              <w:pStyle w:val="FootnoteText"/>
              <w:spacing w:after="60"/>
              <w:jc w:val="both"/>
              <w:rPr>
                <w:sz w:val="24"/>
                <w:szCs w:val="24"/>
              </w:rPr>
            </w:pPr>
            <w:r w:rsidRPr="00F15327">
              <w:rPr>
                <w:sz w:val="24"/>
                <w:szCs w:val="24"/>
              </w:rPr>
              <w:t>1. „Яхта”  е кораб, използван за туризъм, спорт, спортен риболов или развлечение.</w:t>
            </w:r>
          </w:p>
          <w:p w14:paraId="00C8AD31" w14:textId="77777777" w:rsidR="00E7031C" w:rsidRPr="00A00FBE" w:rsidRDefault="00E7031C" w:rsidP="00E7031C">
            <w:pPr>
              <w:pStyle w:val="FootnoteText"/>
              <w:spacing w:after="60"/>
              <w:jc w:val="both"/>
              <w:rPr>
                <w:sz w:val="24"/>
                <w:szCs w:val="24"/>
              </w:rPr>
            </w:pPr>
            <w:r w:rsidRPr="00F15327">
              <w:rPr>
                <w:sz w:val="24"/>
                <w:szCs w:val="24"/>
              </w:rPr>
              <w:t>2. „Кораб</w:t>
            </w:r>
            <w:r w:rsidRPr="00F15327">
              <w:rPr>
                <w:bCs/>
                <w:sz w:val="24"/>
                <w:szCs w:val="24"/>
              </w:rPr>
              <w:t>”</w:t>
            </w:r>
            <w:r w:rsidRPr="00F15327">
              <w:rPr>
                <w:sz w:val="24"/>
                <w:szCs w:val="24"/>
              </w:rPr>
              <w:t xml:space="preserve"> е всяко самоходно или несамоходно плавателно съоръжение от какъвто и да е тип, включително съдове на подводни криле, на въздушна възглавница, подводници, плаващи средства и неподвижни или плаващи платформи, предназначени за плаване по море и/или река, независимо от знамето, под което плава, и което се използва за извършване на една или няколко от следните дейности: превоз на товари, превоз на пътници и багажи; влачене на плавателни съоръжения; извършване на морски услуги и други помощни операции; риболов; експлоатация на други морски богатства, както и други дейности.</w:t>
            </w:r>
          </w:p>
        </w:tc>
      </w:tr>
      <w:tr w:rsidR="00E7031C" w:rsidRPr="008E4D35" w14:paraId="6DCA9FFB" w14:textId="77777777" w:rsidTr="002E07CC">
        <w:tc>
          <w:tcPr>
            <w:tcW w:w="2633" w:type="dxa"/>
            <w:shd w:val="clear" w:color="auto" w:fill="E6E6E6"/>
          </w:tcPr>
          <w:p w14:paraId="42E5ADFE" w14:textId="77777777" w:rsidR="00E7031C" w:rsidRPr="008E4D35" w:rsidRDefault="00E7031C" w:rsidP="00E7031C">
            <w:pPr>
              <w:spacing w:before="100" w:beforeAutospacing="1" w:after="100" w:afterAutospacing="1" w:line="240" w:lineRule="auto"/>
              <w:rPr>
                <w:rFonts w:eastAsia="Times New Roman" w:cstheme="minorHAnsi"/>
                <w:b/>
                <w:snapToGrid w:val="0"/>
                <w:sz w:val="24"/>
                <w:szCs w:val="24"/>
              </w:rPr>
            </w:pPr>
            <w:r w:rsidRPr="005155E4">
              <w:rPr>
                <w:rFonts w:eastAsia="Times New Roman" w:cstheme="minorHAnsi"/>
                <w:b/>
                <w:snapToGrid w:val="0"/>
                <w:sz w:val="24"/>
                <w:szCs w:val="24"/>
              </w:rPr>
              <w:lastRenderedPageBreak/>
              <w:t>Транспортен сектор</w:t>
            </w:r>
          </w:p>
        </w:tc>
        <w:tc>
          <w:tcPr>
            <w:tcW w:w="6831" w:type="dxa"/>
            <w:shd w:val="clear" w:color="auto" w:fill="F3F3F3"/>
          </w:tcPr>
          <w:p w14:paraId="0050C4F4" w14:textId="77777777" w:rsidR="00E7031C" w:rsidRPr="005155E4" w:rsidRDefault="00E7031C" w:rsidP="00E7031C">
            <w:pPr>
              <w:spacing w:after="60" w:line="240" w:lineRule="auto"/>
              <w:jc w:val="both"/>
              <w:rPr>
                <w:rFonts w:eastAsia="Times New Roman" w:cstheme="minorHAnsi"/>
                <w:snapToGrid w:val="0"/>
                <w:sz w:val="24"/>
                <w:szCs w:val="24"/>
              </w:rPr>
            </w:pPr>
            <w:r>
              <w:rPr>
                <w:rFonts w:eastAsia="Times New Roman" w:cstheme="minorHAnsi"/>
                <w:snapToGrid w:val="0"/>
                <w:sz w:val="24"/>
                <w:szCs w:val="24"/>
              </w:rPr>
              <w:t>Съгласно чл. 2, пар. 45 от Регламент (ЕО) № 651/2014</w:t>
            </w:r>
            <w:r>
              <w:t xml:space="preserve"> </w:t>
            </w:r>
            <w:r w:rsidRPr="00392471">
              <w:rPr>
                <w:rFonts w:eastAsia="Times New Roman" w:cstheme="minorHAnsi"/>
                <w:snapToGrid w:val="0"/>
                <w:sz w:val="24"/>
                <w:szCs w:val="24"/>
              </w:rPr>
              <w:t xml:space="preserve">„транспортен сектор“ означава </w:t>
            </w:r>
            <w:r>
              <w:rPr>
                <w:rFonts w:eastAsia="Times New Roman" w:cstheme="minorHAnsi"/>
                <w:snapToGrid w:val="0"/>
                <w:sz w:val="24"/>
                <w:szCs w:val="24"/>
              </w:rPr>
              <w:t>п</w:t>
            </w:r>
            <w:r w:rsidRPr="005155E4">
              <w:rPr>
                <w:rFonts w:eastAsia="Times New Roman" w:cstheme="minorHAnsi"/>
                <w:snapToGrid w:val="0"/>
                <w:sz w:val="24"/>
                <w:szCs w:val="24"/>
              </w:rPr>
              <w:t xml:space="preserve">ревоз на пътници с въздушен, морски, автомобилен или железопътен транспорт и транспорт по вътрешни водни пътища или услугите по товарен превоз за чужда </w:t>
            </w:r>
            <w:r>
              <w:rPr>
                <w:rFonts w:eastAsia="Times New Roman" w:cstheme="minorHAnsi"/>
                <w:snapToGrid w:val="0"/>
                <w:sz w:val="24"/>
                <w:szCs w:val="24"/>
              </w:rPr>
              <w:t>сметка или срещу възнаграждение. П</w:t>
            </w:r>
            <w:r w:rsidRPr="005155E4">
              <w:rPr>
                <w:rFonts w:eastAsia="Times New Roman" w:cstheme="minorHAnsi"/>
                <w:snapToGrid w:val="0"/>
                <w:sz w:val="24"/>
                <w:szCs w:val="24"/>
              </w:rPr>
              <w:t>о-конкретно „транспортен сектор" означава следните дейности по КИД-2008:</w:t>
            </w:r>
          </w:p>
          <w:p w14:paraId="35A06E01" w14:textId="77777777" w:rsidR="00E7031C" w:rsidRPr="005155E4" w:rsidRDefault="00E7031C" w:rsidP="00E7031C">
            <w:pPr>
              <w:spacing w:after="60" w:line="240" w:lineRule="auto"/>
              <w:jc w:val="both"/>
              <w:rPr>
                <w:rFonts w:eastAsia="Times New Roman" w:cstheme="minorHAnsi"/>
                <w:snapToGrid w:val="0"/>
                <w:sz w:val="24"/>
                <w:szCs w:val="24"/>
              </w:rPr>
            </w:pPr>
            <w:r>
              <w:rPr>
                <w:rFonts w:eastAsia="Times New Roman" w:cstheme="minorHAnsi"/>
                <w:snapToGrid w:val="0"/>
                <w:sz w:val="24"/>
                <w:szCs w:val="24"/>
              </w:rPr>
              <w:t xml:space="preserve">а) </w:t>
            </w:r>
            <w:r w:rsidRPr="005155E4">
              <w:rPr>
                <w:rFonts w:eastAsia="Times New Roman" w:cstheme="minorHAnsi"/>
                <w:snapToGrid w:val="0"/>
                <w:sz w:val="24"/>
                <w:szCs w:val="24"/>
              </w:rPr>
              <w:t>Н49 „Сухопътен транспорт“, с изключение на Н49.32 „Пътнически таксиметров транспорт“, Н49.42 „Услуги по преместване“, Н49.5 „Тръбопроводен транспорт“;</w:t>
            </w:r>
          </w:p>
          <w:p w14:paraId="66A8DA07" w14:textId="77777777" w:rsidR="00E7031C" w:rsidRPr="005155E4" w:rsidRDefault="00E7031C" w:rsidP="00E7031C">
            <w:pPr>
              <w:spacing w:after="60" w:line="240" w:lineRule="auto"/>
              <w:jc w:val="both"/>
              <w:rPr>
                <w:rFonts w:eastAsia="Times New Roman" w:cstheme="minorHAnsi"/>
                <w:snapToGrid w:val="0"/>
                <w:sz w:val="24"/>
                <w:szCs w:val="24"/>
              </w:rPr>
            </w:pPr>
            <w:r w:rsidRPr="005155E4">
              <w:rPr>
                <w:rFonts w:eastAsia="Times New Roman" w:cstheme="minorHAnsi"/>
                <w:snapToGrid w:val="0"/>
                <w:sz w:val="24"/>
                <w:szCs w:val="24"/>
              </w:rPr>
              <w:t>б) Н50 „Воден транспорт“;</w:t>
            </w:r>
          </w:p>
          <w:p w14:paraId="76C13992" w14:textId="77777777" w:rsidR="00E7031C" w:rsidRPr="008E4D35" w:rsidRDefault="00E7031C" w:rsidP="00E7031C">
            <w:pPr>
              <w:spacing w:after="60" w:line="240" w:lineRule="auto"/>
              <w:jc w:val="both"/>
              <w:rPr>
                <w:rFonts w:eastAsia="Times New Roman" w:cstheme="minorHAnsi"/>
                <w:snapToGrid w:val="0"/>
                <w:sz w:val="24"/>
                <w:szCs w:val="24"/>
              </w:rPr>
            </w:pPr>
            <w:r w:rsidRPr="005155E4">
              <w:rPr>
                <w:rFonts w:eastAsia="Times New Roman" w:cstheme="minorHAnsi"/>
                <w:snapToGrid w:val="0"/>
                <w:sz w:val="24"/>
                <w:szCs w:val="24"/>
              </w:rPr>
              <w:lastRenderedPageBreak/>
              <w:t>в) Н51 „Въздушен транспорт“, с изключение на Н51.22 „Космически транспорт“.</w:t>
            </w:r>
          </w:p>
        </w:tc>
      </w:tr>
      <w:tr w:rsidR="00E7031C" w:rsidRPr="008E4D35" w14:paraId="18A69EEF" w14:textId="77777777" w:rsidTr="002E07CC">
        <w:tc>
          <w:tcPr>
            <w:tcW w:w="2633" w:type="dxa"/>
            <w:shd w:val="clear" w:color="auto" w:fill="E6E6E6"/>
          </w:tcPr>
          <w:p w14:paraId="11684976" w14:textId="77777777" w:rsidR="00E7031C" w:rsidRPr="008E4D35" w:rsidRDefault="00E7031C" w:rsidP="00E7031C">
            <w:pPr>
              <w:spacing w:before="100" w:beforeAutospacing="1" w:after="100" w:afterAutospacing="1" w:line="240" w:lineRule="auto"/>
              <w:rPr>
                <w:rFonts w:cstheme="minorHAnsi"/>
                <w:sz w:val="24"/>
                <w:szCs w:val="24"/>
              </w:rPr>
            </w:pPr>
            <w:r w:rsidRPr="009200B0">
              <w:rPr>
                <w:rFonts w:eastAsia="Times New Roman" w:cstheme="minorHAnsi"/>
                <w:b/>
                <w:snapToGrid w:val="0"/>
                <w:sz w:val="24"/>
                <w:szCs w:val="24"/>
              </w:rPr>
              <w:lastRenderedPageBreak/>
              <w:t>Търговия със селскостопански продукт</w:t>
            </w:r>
          </w:p>
        </w:tc>
        <w:tc>
          <w:tcPr>
            <w:tcW w:w="6831" w:type="dxa"/>
            <w:shd w:val="clear" w:color="auto" w:fill="F3F3F3"/>
          </w:tcPr>
          <w:p w14:paraId="68D6EF48" w14:textId="77777777" w:rsidR="00E7031C" w:rsidRPr="002F4983" w:rsidRDefault="00E7031C" w:rsidP="00E7031C">
            <w:pPr>
              <w:spacing w:line="240" w:lineRule="auto"/>
              <w:jc w:val="both"/>
              <w:rPr>
                <w:rFonts w:eastAsia="Times New Roman" w:cstheme="minorHAnsi"/>
                <w:snapToGrid w:val="0"/>
                <w:sz w:val="24"/>
                <w:szCs w:val="24"/>
              </w:rPr>
            </w:pPr>
            <w:r w:rsidRPr="002F4983">
              <w:rPr>
                <w:rFonts w:eastAsia="Times New Roman" w:cstheme="minorHAnsi"/>
                <w:snapToGrid w:val="0"/>
                <w:sz w:val="24"/>
                <w:szCs w:val="24"/>
              </w:rPr>
              <w:t>Държане или излагане с цел продажба, предлагане за продажба, доставяне или пускане на пазара по друг начин, с изключение на първата продажба от първичния производител на прекупвачи или преработватели, както и всяка една дейност по подготвяне на продукта за тази първа продажба. Продажбата от първичен производител на крайни потребители се счита за търговия, ако се осъществява в отделни помещения, предвидени за тази цел.</w:t>
            </w:r>
          </w:p>
        </w:tc>
      </w:tr>
    </w:tbl>
    <w:p w14:paraId="4B2C0161" w14:textId="77777777" w:rsidR="002D0B4D" w:rsidRDefault="002D0B4D"/>
    <w:p w14:paraId="723DB5CF" w14:textId="77777777" w:rsidR="00811FBA" w:rsidRPr="00627F25" w:rsidRDefault="00811FBA">
      <w:pPr>
        <w:rPr>
          <w:lang w:val="en-US"/>
        </w:rPr>
      </w:pPr>
    </w:p>
    <w:sectPr w:rsidR="00811FBA" w:rsidRPr="00627F25" w:rsidSect="00B54D21">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738DE6" w14:textId="77777777" w:rsidR="003026AD" w:rsidRDefault="003026AD" w:rsidP="00364204">
      <w:pPr>
        <w:spacing w:after="0" w:line="240" w:lineRule="auto"/>
      </w:pPr>
      <w:r>
        <w:separator/>
      </w:r>
    </w:p>
  </w:endnote>
  <w:endnote w:type="continuationSeparator" w:id="0">
    <w:p w14:paraId="662B019D" w14:textId="77777777" w:rsidR="003026AD" w:rsidRDefault="003026AD"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7406275"/>
      <w:docPartObj>
        <w:docPartGallery w:val="Page Numbers (Bottom of Page)"/>
        <w:docPartUnique/>
      </w:docPartObj>
    </w:sdtPr>
    <w:sdtEndPr>
      <w:rPr>
        <w:noProof/>
      </w:rPr>
    </w:sdtEndPr>
    <w:sdtContent>
      <w:p w14:paraId="18AF4A24" w14:textId="45B92D94" w:rsidR="00054EAC" w:rsidRDefault="00DC55A6">
        <w:pPr>
          <w:pStyle w:val="Footer"/>
          <w:jc w:val="center"/>
        </w:pPr>
        <w:r>
          <w:fldChar w:fldCharType="begin"/>
        </w:r>
        <w:r w:rsidR="00054EAC">
          <w:instrText xml:space="preserve"> PAGE   \* MERGEFORMAT </w:instrText>
        </w:r>
        <w:r>
          <w:fldChar w:fldCharType="separate"/>
        </w:r>
        <w:r w:rsidR="005C35F6">
          <w:rPr>
            <w:noProof/>
          </w:rPr>
          <w:t>1</w:t>
        </w:r>
        <w:r>
          <w:rPr>
            <w:noProof/>
          </w:rPr>
          <w:fldChar w:fldCharType="end"/>
        </w:r>
      </w:p>
    </w:sdtContent>
  </w:sdt>
  <w:p w14:paraId="17BC14DB" w14:textId="77777777" w:rsidR="001503F3" w:rsidRDefault="001503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70FC6F" w14:textId="77777777" w:rsidR="003026AD" w:rsidRDefault="003026AD" w:rsidP="00364204">
      <w:pPr>
        <w:spacing w:after="0" w:line="240" w:lineRule="auto"/>
      </w:pPr>
      <w:r>
        <w:separator/>
      </w:r>
    </w:p>
  </w:footnote>
  <w:footnote w:type="continuationSeparator" w:id="0">
    <w:p w14:paraId="3226973E" w14:textId="77777777" w:rsidR="003026AD" w:rsidRDefault="003026AD" w:rsidP="003642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E2F95" w14:textId="77777777" w:rsidR="005D5C12" w:rsidRPr="001503F3" w:rsidRDefault="001503F3" w:rsidP="001503F3">
    <w:pPr>
      <w:pStyle w:val="Header"/>
      <w:jc w:val="center"/>
    </w:pPr>
    <w:r>
      <w:rPr>
        <w:noProof/>
        <w:lang w:eastAsia="bg-BG"/>
      </w:rPr>
      <w:drawing>
        <wp:inline distT="0" distB="0" distL="0" distR="0" wp14:anchorId="5944078B" wp14:editId="21E24926">
          <wp:extent cx="2796540" cy="706506"/>
          <wp:effectExtent l="0" t="0" r="0" b="0"/>
          <wp:docPr id="1" name="Picture 1" descr="C:\Users\dplatnikov\Documents\Dimitar\flash 2020.12\Flash 2021\2027\ПВУ\BG\PNG\BG Финансирано от Европейския съюз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platnikov\Documents\Dimitar\flash 2020.12\Flash 2021\2027\ПВУ\BG\PNG\BG Финансирано от Европейския съюз_P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16200" cy="71147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abstractNum>
  <w:abstractNum w:abstractNumId="1" w15:restartNumberingAfterBreak="0">
    <w:nsid w:val="2AB8221E"/>
    <w:multiLevelType w:val="hybridMultilevel"/>
    <w:tmpl w:val="F5F67F34"/>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4C6626AA"/>
    <w:multiLevelType w:val="hybridMultilevel"/>
    <w:tmpl w:val="9F00509A"/>
    <w:lvl w:ilvl="0" w:tplc="05B430AC">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2305E8"/>
    <w:multiLevelType w:val="multilevel"/>
    <w:tmpl w:val="AA76F10C"/>
    <w:lvl w:ilvl="0">
      <w:start w:val="1"/>
      <w:numFmt w:val="decimal"/>
      <w:lvlText w:val="%1."/>
      <w:lvlJc w:val="left"/>
      <w:pPr>
        <w:ind w:left="720" w:hanging="360"/>
      </w:pPr>
      <w:rPr>
        <w:rFonts w:asciiTheme="minorHAnsi" w:eastAsia="Times New Roman" w:hAnsiTheme="minorHAnsi" w:cstheme="minorHAns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1144B"/>
    <w:rsid w:val="000010DD"/>
    <w:rsid w:val="0000173C"/>
    <w:rsid w:val="00002456"/>
    <w:rsid w:val="00002D0D"/>
    <w:rsid w:val="0000386A"/>
    <w:rsid w:val="00003B43"/>
    <w:rsid w:val="00012502"/>
    <w:rsid w:val="0001482C"/>
    <w:rsid w:val="00015702"/>
    <w:rsid w:val="00016837"/>
    <w:rsid w:val="000169CC"/>
    <w:rsid w:val="00020868"/>
    <w:rsid w:val="00020E0B"/>
    <w:rsid w:val="00021DCF"/>
    <w:rsid w:val="00023FFA"/>
    <w:rsid w:val="000315B5"/>
    <w:rsid w:val="00034209"/>
    <w:rsid w:val="0003699C"/>
    <w:rsid w:val="0004005C"/>
    <w:rsid w:val="00044D0F"/>
    <w:rsid w:val="00045584"/>
    <w:rsid w:val="00051B86"/>
    <w:rsid w:val="00054EAC"/>
    <w:rsid w:val="000568E4"/>
    <w:rsid w:val="00062143"/>
    <w:rsid w:val="000636EF"/>
    <w:rsid w:val="00067C3A"/>
    <w:rsid w:val="00070E3F"/>
    <w:rsid w:val="00071FD5"/>
    <w:rsid w:val="00074197"/>
    <w:rsid w:val="00082A66"/>
    <w:rsid w:val="00087D44"/>
    <w:rsid w:val="000972C6"/>
    <w:rsid w:val="000A0132"/>
    <w:rsid w:val="000A3471"/>
    <w:rsid w:val="000A44E5"/>
    <w:rsid w:val="000A4E76"/>
    <w:rsid w:val="000A57A4"/>
    <w:rsid w:val="000B38AD"/>
    <w:rsid w:val="000B4A2D"/>
    <w:rsid w:val="000B6360"/>
    <w:rsid w:val="000C1AF1"/>
    <w:rsid w:val="000C2624"/>
    <w:rsid w:val="000C2A46"/>
    <w:rsid w:val="000C2CA8"/>
    <w:rsid w:val="000C6413"/>
    <w:rsid w:val="000C731A"/>
    <w:rsid w:val="000C7701"/>
    <w:rsid w:val="000D040C"/>
    <w:rsid w:val="000D418B"/>
    <w:rsid w:val="000D4A9F"/>
    <w:rsid w:val="000D7F0D"/>
    <w:rsid w:val="000E030E"/>
    <w:rsid w:val="000E43C4"/>
    <w:rsid w:val="000E4FFF"/>
    <w:rsid w:val="000E58F1"/>
    <w:rsid w:val="000F1D6F"/>
    <w:rsid w:val="000F48C5"/>
    <w:rsid w:val="000F5A47"/>
    <w:rsid w:val="000F6759"/>
    <w:rsid w:val="0010134B"/>
    <w:rsid w:val="0010418D"/>
    <w:rsid w:val="0011077A"/>
    <w:rsid w:val="001123F2"/>
    <w:rsid w:val="00112DD2"/>
    <w:rsid w:val="00116542"/>
    <w:rsid w:val="001172F3"/>
    <w:rsid w:val="00121FFF"/>
    <w:rsid w:val="00124DB3"/>
    <w:rsid w:val="0012614C"/>
    <w:rsid w:val="00133436"/>
    <w:rsid w:val="00135888"/>
    <w:rsid w:val="00135C9D"/>
    <w:rsid w:val="001367E8"/>
    <w:rsid w:val="001375DA"/>
    <w:rsid w:val="0014131C"/>
    <w:rsid w:val="00141474"/>
    <w:rsid w:val="00146219"/>
    <w:rsid w:val="00146A12"/>
    <w:rsid w:val="001472E2"/>
    <w:rsid w:val="00147A80"/>
    <w:rsid w:val="001503F3"/>
    <w:rsid w:val="00151004"/>
    <w:rsid w:val="00151B68"/>
    <w:rsid w:val="001553A6"/>
    <w:rsid w:val="001566B9"/>
    <w:rsid w:val="00160AEC"/>
    <w:rsid w:val="0016138B"/>
    <w:rsid w:val="00163752"/>
    <w:rsid w:val="001637DA"/>
    <w:rsid w:val="00166B6A"/>
    <w:rsid w:val="001675DC"/>
    <w:rsid w:val="00176A33"/>
    <w:rsid w:val="00176AD2"/>
    <w:rsid w:val="00177A75"/>
    <w:rsid w:val="00177AF4"/>
    <w:rsid w:val="001814C4"/>
    <w:rsid w:val="001826B1"/>
    <w:rsid w:val="00190190"/>
    <w:rsid w:val="0019069B"/>
    <w:rsid w:val="00190A86"/>
    <w:rsid w:val="00192236"/>
    <w:rsid w:val="00192CE9"/>
    <w:rsid w:val="00194C58"/>
    <w:rsid w:val="00196D20"/>
    <w:rsid w:val="001A6C43"/>
    <w:rsid w:val="001B133A"/>
    <w:rsid w:val="001B13CE"/>
    <w:rsid w:val="001B21F3"/>
    <w:rsid w:val="001B3181"/>
    <w:rsid w:val="001B57E3"/>
    <w:rsid w:val="001B61A7"/>
    <w:rsid w:val="001B6CC2"/>
    <w:rsid w:val="001C2977"/>
    <w:rsid w:val="001C2D21"/>
    <w:rsid w:val="001D505E"/>
    <w:rsid w:val="001E1B5F"/>
    <w:rsid w:val="001F0E0A"/>
    <w:rsid w:val="001F54E6"/>
    <w:rsid w:val="001F61B8"/>
    <w:rsid w:val="00202226"/>
    <w:rsid w:val="00207A2E"/>
    <w:rsid w:val="002101D1"/>
    <w:rsid w:val="00212341"/>
    <w:rsid w:val="00214D85"/>
    <w:rsid w:val="0021679D"/>
    <w:rsid w:val="00225F85"/>
    <w:rsid w:val="00226619"/>
    <w:rsid w:val="00226AD4"/>
    <w:rsid w:val="00235A35"/>
    <w:rsid w:val="002407B4"/>
    <w:rsid w:val="0024350C"/>
    <w:rsid w:val="0024419F"/>
    <w:rsid w:val="00244EF0"/>
    <w:rsid w:val="0024621C"/>
    <w:rsid w:val="00255E88"/>
    <w:rsid w:val="00262C14"/>
    <w:rsid w:val="00263EFA"/>
    <w:rsid w:val="00270FA9"/>
    <w:rsid w:val="00275A2F"/>
    <w:rsid w:val="002779FF"/>
    <w:rsid w:val="00281B35"/>
    <w:rsid w:val="0028583C"/>
    <w:rsid w:val="002938F6"/>
    <w:rsid w:val="00294A6E"/>
    <w:rsid w:val="002A3CEF"/>
    <w:rsid w:val="002A4747"/>
    <w:rsid w:val="002A512B"/>
    <w:rsid w:val="002A570D"/>
    <w:rsid w:val="002A6026"/>
    <w:rsid w:val="002A6221"/>
    <w:rsid w:val="002A6D47"/>
    <w:rsid w:val="002B03EC"/>
    <w:rsid w:val="002B20F2"/>
    <w:rsid w:val="002B31B0"/>
    <w:rsid w:val="002B3E57"/>
    <w:rsid w:val="002C72C6"/>
    <w:rsid w:val="002D0B4D"/>
    <w:rsid w:val="002D20A8"/>
    <w:rsid w:val="002D39FC"/>
    <w:rsid w:val="002E07CC"/>
    <w:rsid w:val="002E23A3"/>
    <w:rsid w:val="002F12D9"/>
    <w:rsid w:val="002F178D"/>
    <w:rsid w:val="002F4983"/>
    <w:rsid w:val="002F59B2"/>
    <w:rsid w:val="00301649"/>
    <w:rsid w:val="0030180E"/>
    <w:rsid w:val="003026AD"/>
    <w:rsid w:val="00305BE5"/>
    <w:rsid w:val="003063D3"/>
    <w:rsid w:val="00306628"/>
    <w:rsid w:val="00311788"/>
    <w:rsid w:val="00311B06"/>
    <w:rsid w:val="00311D57"/>
    <w:rsid w:val="00315E8A"/>
    <w:rsid w:val="0031775D"/>
    <w:rsid w:val="003204C2"/>
    <w:rsid w:val="003206A1"/>
    <w:rsid w:val="00322E2E"/>
    <w:rsid w:val="003234D8"/>
    <w:rsid w:val="00323B4A"/>
    <w:rsid w:val="00323E63"/>
    <w:rsid w:val="003243BC"/>
    <w:rsid w:val="0032781F"/>
    <w:rsid w:val="00333512"/>
    <w:rsid w:val="00342683"/>
    <w:rsid w:val="00350080"/>
    <w:rsid w:val="00350A75"/>
    <w:rsid w:val="0035527E"/>
    <w:rsid w:val="003601E3"/>
    <w:rsid w:val="00363FB2"/>
    <w:rsid w:val="00364165"/>
    <w:rsid w:val="00364204"/>
    <w:rsid w:val="00364C8A"/>
    <w:rsid w:val="00366DBA"/>
    <w:rsid w:val="00367C18"/>
    <w:rsid w:val="00372A83"/>
    <w:rsid w:val="00377AF7"/>
    <w:rsid w:val="0038024A"/>
    <w:rsid w:val="00380C77"/>
    <w:rsid w:val="003875EB"/>
    <w:rsid w:val="00392471"/>
    <w:rsid w:val="00392A15"/>
    <w:rsid w:val="003934F3"/>
    <w:rsid w:val="0039519A"/>
    <w:rsid w:val="003C0135"/>
    <w:rsid w:val="003C0505"/>
    <w:rsid w:val="003C0A9A"/>
    <w:rsid w:val="003C0F45"/>
    <w:rsid w:val="003C29ED"/>
    <w:rsid w:val="003C370C"/>
    <w:rsid w:val="003C6657"/>
    <w:rsid w:val="003D1460"/>
    <w:rsid w:val="003D47EC"/>
    <w:rsid w:val="003D5F84"/>
    <w:rsid w:val="003E2225"/>
    <w:rsid w:val="003E7DFA"/>
    <w:rsid w:val="003F42BA"/>
    <w:rsid w:val="003F63FF"/>
    <w:rsid w:val="003F74C3"/>
    <w:rsid w:val="00403D6C"/>
    <w:rsid w:val="00413F4A"/>
    <w:rsid w:val="0041624B"/>
    <w:rsid w:val="0041625A"/>
    <w:rsid w:val="004232E1"/>
    <w:rsid w:val="00424C2D"/>
    <w:rsid w:val="00425D7E"/>
    <w:rsid w:val="004271F5"/>
    <w:rsid w:val="00434D2A"/>
    <w:rsid w:val="004376E5"/>
    <w:rsid w:val="00443FF4"/>
    <w:rsid w:val="00444395"/>
    <w:rsid w:val="00445BC4"/>
    <w:rsid w:val="0045024B"/>
    <w:rsid w:val="00450719"/>
    <w:rsid w:val="00453858"/>
    <w:rsid w:val="00457584"/>
    <w:rsid w:val="004652A4"/>
    <w:rsid w:val="00467B0D"/>
    <w:rsid w:val="004711FB"/>
    <w:rsid w:val="00475D85"/>
    <w:rsid w:val="00477A53"/>
    <w:rsid w:val="00477F5F"/>
    <w:rsid w:val="004802B5"/>
    <w:rsid w:val="004811EE"/>
    <w:rsid w:val="0048153E"/>
    <w:rsid w:val="00482E5A"/>
    <w:rsid w:val="00483AAA"/>
    <w:rsid w:val="004843EE"/>
    <w:rsid w:val="0048471A"/>
    <w:rsid w:val="00486046"/>
    <w:rsid w:val="00487B87"/>
    <w:rsid w:val="00490818"/>
    <w:rsid w:val="00494CB1"/>
    <w:rsid w:val="00497FFC"/>
    <w:rsid w:val="004A15B3"/>
    <w:rsid w:val="004A2098"/>
    <w:rsid w:val="004B177E"/>
    <w:rsid w:val="004B3485"/>
    <w:rsid w:val="004B5B5A"/>
    <w:rsid w:val="004B677A"/>
    <w:rsid w:val="004C05CB"/>
    <w:rsid w:val="004C6D46"/>
    <w:rsid w:val="004C7034"/>
    <w:rsid w:val="004D5241"/>
    <w:rsid w:val="004D59DD"/>
    <w:rsid w:val="004E0B74"/>
    <w:rsid w:val="004E15B4"/>
    <w:rsid w:val="004E6D9F"/>
    <w:rsid w:val="004F67CB"/>
    <w:rsid w:val="00502F9C"/>
    <w:rsid w:val="00505041"/>
    <w:rsid w:val="00506983"/>
    <w:rsid w:val="00507AB6"/>
    <w:rsid w:val="0051123F"/>
    <w:rsid w:val="005155E4"/>
    <w:rsid w:val="00521819"/>
    <w:rsid w:val="005240A2"/>
    <w:rsid w:val="00527C13"/>
    <w:rsid w:val="00533EFA"/>
    <w:rsid w:val="005346FD"/>
    <w:rsid w:val="005372C1"/>
    <w:rsid w:val="00544385"/>
    <w:rsid w:val="005510C5"/>
    <w:rsid w:val="00562463"/>
    <w:rsid w:val="00562CDD"/>
    <w:rsid w:val="0057352F"/>
    <w:rsid w:val="00590097"/>
    <w:rsid w:val="0059354F"/>
    <w:rsid w:val="00594DF4"/>
    <w:rsid w:val="00596DC4"/>
    <w:rsid w:val="00597183"/>
    <w:rsid w:val="005A0674"/>
    <w:rsid w:val="005B109C"/>
    <w:rsid w:val="005B1470"/>
    <w:rsid w:val="005B33FE"/>
    <w:rsid w:val="005B629B"/>
    <w:rsid w:val="005B66E8"/>
    <w:rsid w:val="005B7691"/>
    <w:rsid w:val="005C35F6"/>
    <w:rsid w:val="005C3A6A"/>
    <w:rsid w:val="005C7631"/>
    <w:rsid w:val="005D31D2"/>
    <w:rsid w:val="005D5C12"/>
    <w:rsid w:val="005D5D2C"/>
    <w:rsid w:val="005D7DBC"/>
    <w:rsid w:val="005E04B9"/>
    <w:rsid w:val="005E0513"/>
    <w:rsid w:val="005E077F"/>
    <w:rsid w:val="005E3ADC"/>
    <w:rsid w:val="005F3542"/>
    <w:rsid w:val="005F5A43"/>
    <w:rsid w:val="005F70AF"/>
    <w:rsid w:val="005F7830"/>
    <w:rsid w:val="006019AC"/>
    <w:rsid w:val="00607E15"/>
    <w:rsid w:val="00611F32"/>
    <w:rsid w:val="006235CE"/>
    <w:rsid w:val="00624B99"/>
    <w:rsid w:val="0062729B"/>
    <w:rsid w:val="00627F25"/>
    <w:rsid w:val="00642ED2"/>
    <w:rsid w:val="00646BD8"/>
    <w:rsid w:val="00647A60"/>
    <w:rsid w:val="00650331"/>
    <w:rsid w:val="00655140"/>
    <w:rsid w:val="00655AB9"/>
    <w:rsid w:val="00666480"/>
    <w:rsid w:val="00666644"/>
    <w:rsid w:val="006667AD"/>
    <w:rsid w:val="006675E7"/>
    <w:rsid w:val="00677E30"/>
    <w:rsid w:val="0068167D"/>
    <w:rsid w:val="006834F1"/>
    <w:rsid w:val="00686332"/>
    <w:rsid w:val="00692AAC"/>
    <w:rsid w:val="006932EA"/>
    <w:rsid w:val="006A66DF"/>
    <w:rsid w:val="006B35B9"/>
    <w:rsid w:val="006B3EF3"/>
    <w:rsid w:val="006C0465"/>
    <w:rsid w:val="006C7B36"/>
    <w:rsid w:val="006D0801"/>
    <w:rsid w:val="006D243B"/>
    <w:rsid w:val="006D2D81"/>
    <w:rsid w:val="006D3B43"/>
    <w:rsid w:val="006D5204"/>
    <w:rsid w:val="006D56CD"/>
    <w:rsid w:val="006D659E"/>
    <w:rsid w:val="006E266D"/>
    <w:rsid w:val="006E3606"/>
    <w:rsid w:val="006E55B8"/>
    <w:rsid w:val="006E74DD"/>
    <w:rsid w:val="006F5552"/>
    <w:rsid w:val="007110EB"/>
    <w:rsid w:val="0071256E"/>
    <w:rsid w:val="007228E6"/>
    <w:rsid w:val="0072643D"/>
    <w:rsid w:val="007268F0"/>
    <w:rsid w:val="00726A24"/>
    <w:rsid w:val="00733821"/>
    <w:rsid w:val="00734B42"/>
    <w:rsid w:val="00741F45"/>
    <w:rsid w:val="007433EA"/>
    <w:rsid w:val="0074385D"/>
    <w:rsid w:val="0074665C"/>
    <w:rsid w:val="00750D4C"/>
    <w:rsid w:val="00756B45"/>
    <w:rsid w:val="00761D80"/>
    <w:rsid w:val="00764CC7"/>
    <w:rsid w:val="0076760F"/>
    <w:rsid w:val="00767968"/>
    <w:rsid w:val="007708C4"/>
    <w:rsid w:val="00770A2A"/>
    <w:rsid w:val="00770B65"/>
    <w:rsid w:val="00775161"/>
    <w:rsid w:val="007759E7"/>
    <w:rsid w:val="0078029D"/>
    <w:rsid w:val="00781585"/>
    <w:rsid w:val="007830DC"/>
    <w:rsid w:val="00784610"/>
    <w:rsid w:val="00785637"/>
    <w:rsid w:val="00792531"/>
    <w:rsid w:val="007969E0"/>
    <w:rsid w:val="007A349E"/>
    <w:rsid w:val="007A6782"/>
    <w:rsid w:val="007B2C0A"/>
    <w:rsid w:val="007B5FF0"/>
    <w:rsid w:val="007B60CB"/>
    <w:rsid w:val="007D00F2"/>
    <w:rsid w:val="007D08E6"/>
    <w:rsid w:val="007E18D5"/>
    <w:rsid w:val="007E2301"/>
    <w:rsid w:val="007E2AD1"/>
    <w:rsid w:val="007E4C7D"/>
    <w:rsid w:val="007F047F"/>
    <w:rsid w:val="007F0904"/>
    <w:rsid w:val="007F4874"/>
    <w:rsid w:val="007F4E6D"/>
    <w:rsid w:val="007F75CF"/>
    <w:rsid w:val="00800A99"/>
    <w:rsid w:val="00804F54"/>
    <w:rsid w:val="00805079"/>
    <w:rsid w:val="0080517F"/>
    <w:rsid w:val="00811FBA"/>
    <w:rsid w:val="00821649"/>
    <w:rsid w:val="0082616B"/>
    <w:rsid w:val="00827E71"/>
    <w:rsid w:val="00830485"/>
    <w:rsid w:val="00830B4E"/>
    <w:rsid w:val="00831362"/>
    <w:rsid w:val="00835439"/>
    <w:rsid w:val="008423D6"/>
    <w:rsid w:val="00844602"/>
    <w:rsid w:val="00844A97"/>
    <w:rsid w:val="008541FA"/>
    <w:rsid w:val="0085705F"/>
    <w:rsid w:val="00857CD1"/>
    <w:rsid w:val="00862EEE"/>
    <w:rsid w:val="00870BA5"/>
    <w:rsid w:val="00870D1D"/>
    <w:rsid w:val="00875315"/>
    <w:rsid w:val="008763B3"/>
    <w:rsid w:val="00876B7B"/>
    <w:rsid w:val="00880021"/>
    <w:rsid w:val="00884591"/>
    <w:rsid w:val="008A3B65"/>
    <w:rsid w:val="008A7455"/>
    <w:rsid w:val="008B34EF"/>
    <w:rsid w:val="008B4517"/>
    <w:rsid w:val="008B59D6"/>
    <w:rsid w:val="008C0322"/>
    <w:rsid w:val="008C5169"/>
    <w:rsid w:val="008D22C2"/>
    <w:rsid w:val="008D51DE"/>
    <w:rsid w:val="008E0822"/>
    <w:rsid w:val="008E2E2B"/>
    <w:rsid w:val="008E4C68"/>
    <w:rsid w:val="008E4D35"/>
    <w:rsid w:val="008E72B2"/>
    <w:rsid w:val="008F29AD"/>
    <w:rsid w:val="008F2DBC"/>
    <w:rsid w:val="00901DB9"/>
    <w:rsid w:val="00903088"/>
    <w:rsid w:val="00907DA1"/>
    <w:rsid w:val="0091098E"/>
    <w:rsid w:val="00911F09"/>
    <w:rsid w:val="009200B0"/>
    <w:rsid w:val="009228BD"/>
    <w:rsid w:val="00922D50"/>
    <w:rsid w:val="00924D9B"/>
    <w:rsid w:val="0093063E"/>
    <w:rsid w:val="00934B28"/>
    <w:rsid w:val="009350D8"/>
    <w:rsid w:val="00935650"/>
    <w:rsid w:val="00936946"/>
    <w:rsid w:val="00942D3D"/>
    <w:rsid w:val="00946D09"/>
    <w:rsid w:val="00950D49"/>
    <w:rsid w:val="00950DAB"/>
    <w:rsid w:val="0095447F"/>
    <w:rsid w:val="009578F7"/>
    <w:rsid w:val="00960116"/>
    <w:rsid w:val="00963992"/>
    <w:rsid w:val="0099371B"/>
    <w:rsid w:val="009944A0"/>
    <w:rsid w:val="00995611"/>
    <w:rsid w:val="009972D5"/>
    <w:rsid w:val="009A2721"/>
    <w:rsid w:val="009B0FAC"/>
    <w:rsid w:val="009B112E"/>
    <w:rsid w:val="009C6305"/>
    <w:rsid w:val="009D0973"/>
    <w:rsid w:val="009D632B"/>
    <w:rsid w:val="009E1F73"/>
    <w:rsid w:val="009E7115"/>
    <w:rsid w:val="009F3B82"/>
    <w:rsid w:val="009F555D"/>
    <w:rsid w:val="009F6C1F"/>
    <w:rsid w:val="009F7BB2"/>
    <w:rsid w:val="00A00FBE"/>
    <w:rsid w:val="00A0285B"/>
    <w:rsid w:val="00A07D6D"/>
    <w:rsid w:val="00A14845"/>
    <w:rsid w:val="00A16BE2"/>
    <w:rsid w:val="00A1789B"/>
    <w:rsid w:val="00A24C36"/>
    <w:rsid w:val="00A26995"/>
    <w:rsid w:val="00A3057D"/>
    <w:rsid w:val="00A32D97"/>
    <w:rsid w:val="00A33C33"/>
    <w:rsid w:val="00A455D5"/>
    <w:rsid w:val="00A50921"/>
    <w:rsid w:val="00A52C19"/>
    <w:rsid w:val="00A56608"/>
    <w:rsid w:val="00A624A8"/>
    <w:rsid w:val="00A626F9"/>
    <w:rsid w:val="00A641AE"/>
    <w:rsid w:val="00A64487"/>
    <w:rsid w:val="00A645E0"/>
    <w:rsid w:val="00A704B4"/>
    <w:rsid w:val="00A70AF3"/>
    <w:rsid w:val="00A7385E"/>
    <w:rsid w:val="00A8680A"/>
    <w:rsid w:val="00A8715F"/>
    <w:rsid w:val="00A87ED4"/>
    <w:rsid w:val="00A90EA8"/>
    <w:rsid w:val="00AA45A9"/>
    <w:rsid w:val="00AA5F85"/>
    <w:rsid w:val="00AB0788"/>
    <w:rsid w:val="00AB2A3A"/>
    <w:rsid w:val="00AB66B3"/>
    <w:rsid w:val="00AC0C92"/>
    <w:rsid w:val="00AC4184"/>
    <w:rsid w:val="00AC5A69"/>
    <w:rsid w:val="00AC6F3F"/>
    <w:rsid w:val="00AD10E6"/>
    <w:rsid w:val="00AD16F4"/>
    <w:rsid w:val="00AD2903"/>
    <w:rsid w:val="00AD39DA"/>
    <w:rsid w:val="00AD4279"/>
    <w:rsid w:val="00AE06FF"/>
    <w:rsid w:val="00AE0775"/>
    <w:rsid w:val="00AE2167"/>
    <w:rsid w:val="00AE3148"/>
    <w:rsid w:val="00B02319"/>
    <w:rsid w:val="00B03600"/>
    <w:rsid w:val="00B05D63"/>
    <w:rsid w:val="00B06BBD"/>
    <w:rsid w:val="00B11830"/>
    <w:rsid w:val="00B126A5"/>
    <w:rsid w:val="00B1284B"/>
    <w:rsid w:val="00B12998"/>
    <w:rsid w:val="00B14E85"/>
    <w:rsid w:val="00B173F7"/>
    <w:rsid w:val="00B20E11"/>
    <w:rsid w:val="00B219EC"/>
    <w:rsid w:val="00B25DD4"/>
    <w:rsid w:val="00B27834"/>
    <w:rsid w:val="00B30DF7"/>
    <w:rsid w:val="00B373FA"/>
    <w:rsid w:val="00B4229C"/>
    <w:rsid w:val="00B42CB6"/>
    <w:rsid w:val="00B43106"/>
    <w:rsid w:val="00B47A1F"/>
    <w:rsid w:val="00B5094F"/>
    <w:rsid w:val="00B50A28"/>
    <w:rsid w:val="00B54D21"/>
    <w:rsid w:val="00B54D6C"/>
    <w:rsid w:val="00B56182"/>
    <w:rsid w:val="00B570F3"/>
    <w:rsid w:val="00B57FEA"/>
    <w:rsid w:val="00B60E1E"/>
    <w:rsid w:val="00B61308"/>
    <w:rsid w:val="00B63442"/>
    <w:rsid w:val="00B71DD6"/>
    <w:rsid w:val="00B72A66"/>
    <w:rsid w:val="00B81D0C"/>
    <w:rsid w:val="00B83EB7"/>
    <w:rsid w:val="00B94C58"/>
    <w:rsid w:val="00B96F15"/>
    <w:rsid w:val="00BA0725"/>
    <w:rsid w:val="00BA0C03"/>
    <w:rsid w:val="00BA2174"/>
    <w:rsid w:val="00BB50C6"/>
    <w:rsid w:val="00BC06E5"/>
    <w:rsid w:val="00BD55C7"/>
    <w:rsid w:val="00BD6E52"/>
    <w:rsid w:val="00BE32F9"/>
    <w:rsid w:val="00BE455B"/>
    <w:rsid w:val="00BE5E65"/>
    <w:rsid w:val="00BE64B4"/>
    <w:rsid w:val="00BF1675"/>
    <w:rsid w:val="00BF171D"/>
    <w:rsid w:val="00BF468E"/>
    <w:rsid w:val="00C06E8E"/>
    <w:rsid w:val="00C10228"/>
    <w:rsid w:val="00C1022D"/>
    <w:rsid w:val="00C1144B"/>
    <w:rsid w:val="00C1285C"/>
    <w:rsid w:val="00C1463B"/>
    <w:rsid w:val="00C14652"/>
    <w:rsid w:val="00C21CC0"/>
    <w:rsid w:val="00C22321"/>
    <w:rsid w:val="00C227AA"/>
    <w:rsid w:val="00C2416F"/>
    <w:rsid w:val="00C31ADB"/>
    <w:rsid w:val="00C34E93"/>
    <w:rsid w:val="00C35B51"/>
    <w:rsid w:val="00C40790"/>
    <w:rsid w:val="00C43BA0"/>
    <w:rsid w:val="00C470C9"/>
    <w:rsid w:val="00C500B5"/>
    <w:rsid w:val="00C5289A"/>
    <w:rsid w:val="00C5357B"/>
    <w:rsid w:val="00C60101"/>
    <w:rsid w:val="00C6236D"/>
    <w:rsid w:val="00C628A4"/>
    <w:rsid w:val="00C64722"/>
    <w:rsid w:val="00C65323"/>
    <w:rsid w:val="00C66498"/>
    <w:rsid w:val="00C671B3"/>
    <w:rsid w:val="00C67B6D"/>
    <w:rsid w:val="00C7142D"/>
    <w:rsid w:val="00C718EB"/>
    <w:rsid w:val="00C73FF0"/>
    <w:rsid w:val="00C764B5"/>
    <w:rsid w:val="00C77AA5"/>
    <w:rsid w:val="00C81AC3"/>
    <w:rsid w:val="00C81C9D"/>
    <w:rsid w:val="00C83BE5"/>
    <w:rsid w:val="00C84D8B"/>
    <w:rsid w:val="00C86681"/>
    <w:rsid w:val="00C918D5"/>
    <w:rsid w:val="00C97263"/>
    <w:rsid w:val="00CA3741"/>
    <w:rsid w:val="00CA653D"/>
    <w:rsid w:val="00CA6BFB"/>
    <w:rsid w:val="00CA770A"/>
    <w:rsid w:val="00CB0C05"/>
    <w:rsid w:val="00CB12DF"/>
    <w:rsid w:val="00CB383A"/>
    <w:rsid w:val="00CB4FB5"/>
    <w:rsid w:val="00CC68C5"/>
    <w:rsid w:val="00CD1EFC"/>
    <w:rsid w:val="00CD4E7B"/>
    <w:rsid w:val="00CE1B66"/>
    <w:rsid w:val="00CE2905"/>
    <w:rsid w:val="00CE2EFD"/>
    <w:rsid w:val="00CF0900"/>
    <w:rsid w:val="00CF0B63"/>
    <w:rsid w:val="00CF381D"/>
    <w:rsid w:val="00D012AB"/>
    <w:rsid w:val="00D013C8"/>
    <w:rsid w:val="00D077BE"/>
    <w:rsid w:val="00D135FE"/>
    <w:rsid w:val="00D307CA"/>
    <w:rsid w:val="00D31E18"/>
    <w:rsid w:val="00D34868"/>
    <w:rsid w:val="00D36727"/>
    <w:rsid w:val="00D37325"/>
    <w:rsid w:val="00D408AA"/>
    <w:rsid w:val="00D43BD4"/>
    <w:rsid w:val="00D43E3C"/>
    <w:rsid w:val="00D44314"/>
    <w:rsid w:val="00D45A1C"/>
    <w:rsid w:val="00D45B42"/>
    <w:rsid w:val="00D54E1F"/>
    <w:rsid w:val="00D55A28"/>
    <w:rsid w:val="00D55DC2"/>
    <w:rsid w:val="00D72655"/>
    <w:rsid w:val="00D73B92"/>
    <w:rsid w:val="00D743D3"/>
    <w:rsid w:val="00D74A7C"/>
    <w:rsid w:val="00D772ED"/>
    <w:rsid w:val="00D8148C"/>
    <w:rsid w:val="00D84D4D"/>
    <w:rsid w:val="00D94C39"/>
    <w:rsid w:val="00D95B7A"/>
    <w:rsid w:val="00D96D0D"/>
    <w:rsid w:val="00D97129"/>
    <w:rsid w:val="00DA3619"/>
    <w:rsid w:val="00DA77B9"/>
    <w:rsid w:val="00DA7AAF"/>
    <w:rsid w:val="00DB3608"/>
    <w:rsid w:val="00DC4693"/>
    <w:rsid w:val="00DC55A6"/>
    <w:rsid w:val="00DD1DE4"/>
    <w:rsid w:val="00DD38D3"/>
    <w:rsid w:val="00DD4BB9"/>
    <w:rsid w:val="00DE211E"/>
    <w:rsid w:val="00DE4338"/>
    <w:rsid w:val="00DE5013"/>
    <w:rsid w:val="00DF094A"/>
    <w:rsid w:val="00DF2DF7"/>
    <w:rsid w:val="00DF5409"/>
    <w:rsid w:val="00DF71C8"/>
    <w:rsid w:val="00DF7E05"/>
    <w:rsid w:val="00E020D3"/>
    <w:rsid w:val="00E036B5"/>
    <w:rsid w:val="00E03C0C"/>
    <w:rsid w:val="00E0744A"/>
    <w:rsid w:val="00E077D2"/>
    <w:rsid w:val="00E12165"/>
    <w:rsid w:val="00E1337B"/>
    <w:rsid w:val="00E1594C"/>
    <w:rsid w:val="00E17783"/>
    <w:rsid w:val="00E20EE5"/>
    <w:rsid w:val="00E22F48"/>
    <w:rsid w:val="00E24D96"/>
    <w:rsid w:val="00E252C2"/>
    <w:rsid w:val="00E2578D"/>
    <w:rsid w:val="00E304D8"/>
    <w:rsid w:val="00E3259B"/>
    <w:rsid w:val="00E32E04"/>
    <w:rsid w:val="00E3682E"/>
    <w:rsid w:val="00E40454"/>
    <w:rsid w:val="00E42994"/>
    <w:rsid w:val="00E43262"/>
    <w:rsid w:val="00E435BF"/>
    <w:rsid w:val="00E43ADE"/>
    <w:rsid w:val="00E5613B"/>
    <w:rsid w:val="00E61138"/>
    <w:rsid w:val="00E61A4F"/>
    <w:rsid w:val="00E6244E"/>
    <w:rsid w:val="00E6542B"/>
    <w:rsid w:val="00E7031C"/>
    <w:rsid w:val="00E721EF"/>
    <w:rsid w:val="00E75BC1"/>
    <w:rsid w:val="00E80306"/>
    <w:rsid w:val="00E836C2"/>
    <w:rsid w:val="00E83EEB"/>
    <w:rsid w:val="00E86682"/>
    <w:rsid w:val="00E93050"/>
    <w:rsid w:val="00E96267"/>
    <w:rsid w:val="00EA1E54"/>
    <w:rsid w:val="00EA26E5"/>
    <w:rsid w:val="00EA4313"/>
    <w:rsid w:val="00EA4E4D"/>
    <w:rsid w:val="00EA64C2"/>
    <w:rsid w:val="00EB0D94"/>
    <w:rsid w:val="00EB0F3E"/>
    <w:rsid w:val="00EB6598"/>
    <w:rsid w:val="00EC2304"/>
    <w:rsid w:val="00EC6570"/>
    <w:rsid w:val="00EE101E"/>
    <w:rsid w:val="00EE1F5C"/>
    <w:rsid w:val="00EE7F6C"/>
    <w:rsid w:val="00EF2B15"/>
    <w:rsid w:val="00EF62C6"/>
    <w:rsid w:val="00F001FE"/>
    <w:rsid w:val="00F008CC"/>
    <w:rsid w:val="00F01208"/>
    <w:rsid w:val="00F05855"/>
    <w:rsid w:val="00F05B45"/>
    <w:rsid w:val="00F06A3C"/>
    <w:rsid w:val="00F14642"/>
    <w:rsid w:val="00F15327"/>
    <w:rsid w:val="00F15645"/>
    <w:rsid w:val="00F15A96"/>
    <w:rsid w:val="00F2273D"/>
    <w:rsid w:val="00F25879"/>
    <w:rsid w:val="00F27621"/>
    <w:rsid w:val="00F41D4C"/>
    <w:rsid w:val="00F4264C"/>
    <w:rsid w:val="00F46AA0"/>
    <w:rsid w:val="00F50826"/>
    <w:rsid w:val="00F54E65"/>
    <w:rsid w:val="00F56BC0"/>
    <w:rsid w:val="00F6168F"/>
    <w:rsid w:val="00F61DA5"/>
    <w:rsid w:val="00F62670"/>
    <w:rsid w:val="00F63AAC"/>
    <w:rsid w:val="00F6569B"/>
    <w:rsid w:val="00F702F0"/>
    <w:rsid w:val="00F73C36"/>
    <w:rsid w:val="00F73D81"/>
    <w:rsid w:val="00F73ECF"/>
    <w:rsid w:val="00F74603"/>
    <w:rsid w:val="00F83726"/>
    <w:rsid w:val="00F85D95"/>
    <w:rsid w:val="00FA5719"/>
    <w:rsid w:val="00FC13E2"/>
    <w:rsid w:val="00FD2BCA"/>
    <w:rsid w:val="00FD6EAD"/>
    <w:rsid w:val="00FE3CF7"/>
    <w:rsid w:val="00FE5D62"/>
    <w:rsid w:val="00FE60F7"/>
    <w:rsid w:val="00FF4333"/>
    <w:rsid w:val="00FF5EF8"/>
    <w:rsid w:val="00FF6B3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FB5654"/>
  <w15:docId w15:val="{67B041DC-EEC4-4440-93E3-8272BBBF4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4D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64204"/>
  </w:style>
  <w:style w:type="paragraph" w:styleId="Footer">
    <w:name w:val="footer"/>
    <w:basedOn w:val="Normal"/>
    <w:link w:val="FooterChar"/>
    <w:uiPriority w:val="99"/>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qFormat/>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 w:type="paragraph" w:styleId="Revision">
    <w:name w:val="Revision"/>
    <w:hidden/>
    <w:uiPriority w:val="99"/>
    <w:semiHidden/>
    <w:rsid w:val="0039519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642678">
      <w:bodyDiv w:val="1"/>
      <w:marLeft w:val="0"/>
      <w:marRight w:val="0"/>
      <w:marTop w:val="0"/>
      <w:marBottom w:val="0"/>
      <w:divBdr>
        <w:top w:val="none" w:sz="0" w:space="0" w:color="auto"/>
        <w:left w:val="none" w:sz="0" w:space="0" w:color="auto"/>
        <w:bottom w:val="none" w:sz="0" w:space="0" w:color="auto"/>
        <w:right w:val="none" w:sz="0" w:space="0" w:color="auto"/>
      </w:divBdr>
      <w:divsChild>
        <w:div w:id="1903515285">
          <w:marLeft w:val="0"/>
          <w:marRight w:val="0"/>
          <w:marTop w:val="0"/>
          <w:marBottom w:val="0"/>
          <w:divBdr>
            <w:top w:val="none" w:sz="0" w:space="0" w:color="auto"/>
            <w:left w:val="none" w:sz="0" w:space="0" w:color="auto"/>
            <w:bottom w:val="none" w:sz="0" w:space="0" w:color="auto"/>
            <w:right w:val="none" w:sz="0" w:space="0" w:color="auto"/>
          </w:divBdr>
        </w:div>
        <w:div w:id="937908240">
          <w:marLeft w:val="0"/>
          <w:marRight w:val="0"/>
          <w:marTop w:val="0"/>
          <w:marBottom w:val="0"/>
          <w:divBdr>
            <w:top w:val="none" w:sz="0" w:space="0" w:color="auto"/>
            <w:left w:val="none" w:sz="0" w:space="0" w:color="auto"/>
            <w:bottom w:val="none" w:sz="0" w:space="0" w:color="auto"/>
            <w:right w:val="none" w:sz="0" w:space="0" w:color="auto"/>
          </w:divBdr>
        </w:div>
        <w:div w:id="286857325">
          <w:marLeft w:val="0"/>
          <w:marRight w:val="0"/>
          <w:marTop w:val="0"/>
          <w:marBottom w:val="0"/>
          <w:divBdr>
            <w:top w:val="none" w:sz="0" w:space="0" w:color="auto"/>
            <w:left w:val="none" w:sz="0" w:space="0" w:color="auto"/>
            <w:bottom w:val="none" w:sz="0" w:space="0" w:color="auto"/>
            <w:right w:val="none" w:sz="0" w:space="0" w:color="auto"/>
          </w:divBdr>
        </w:div>
        <w:div w:id="688332640">
          <w:marLeft w:val="0"/>
          <w:marRight w:val="0"/>
          <w:marTop w:val="0"/>
          <w:marBottom w:val="0"/>
          <w:divBdr>
            <w:top w:val="none" w:sz="0" w:space="0" w:color="auto"/>
            <w:left w:val="none" w:sz="0" w:space="0" w:color="auto"/>
            <w:bottom w:val="none" w:sz="0" w:space="0" w:color="auto"/>
            <w:right w:val="none" w:sz="0" w:space="0" w:color="auto"/>
          </w:divBdr>
        </w:div>
        <w:div w:id="668602160">
          <w:marLeft w:val="0"/>
          <w:marRight w:val="0"/>
          <w:marTop w:val="0"/>
          <w:marBottom w:val="0"/>
          <w:divBdr>
            <w:top w:val="none" w:sz="0" w:space="0" w:color="auto"/>
            <w:left w:val="none" w:sz="0" w:space="0" w:color="auto"/>
            <w:bottom w:val="none" w:sz="0" w:space="0" w:color="auto"/>
            <w:right w:val="none" w:sz="0" w:space="0" w:color="auto"/>
          </w:divBdr>
        </w:div>
        <w:div w:id="537279012">
          <w:marLeft w:val="0"/>
          <w:marRight w:val="0"/>
          <w:marTop w:val="0"/>
          <w:marBottom w:val="0"/>
          <w:divBdr>
            <w:top w:val="none" w:sz="0" w:space="0" w:color="auto"/>
            <w:left w:val="none" w:sz="0" w:space="0" w:color="auto"/>
            <w:bottom w:val="none" w:sz="0" w:space="0" w:color="auto"/>
            <w:right w:val="none" w:sz="0" w:space="0" w:color="auto"/>
          </w:divBdr>
        </w:div>
        <w:div w:id="229772004">
          <w:marLeft w:val="0"/>
          <w:marRight w:val="0"/>
          <w:marTop w:val="0"/>
          <w:marBottom w:val="0"/>
          <w:divBdr>
            <w:top w:val="none" w:sz="0" w:space="0" w:color="auto"/>
            <w:left w:val="none" w:sz="0" w:space="0" w:color="auto"/>
            <w:bottom w:val="none" w:sz="0" w:space="0" w:color="auto"/>
            <w:right w:val="none" w:sz="0" w:space="0" w:color="auto"/>
          </w:divBdr>
        </w:div>
        <w:div w:id="1362900809">
          <w:marLeft w:val="0"/>
          <w:marRight w:val="0"/>
          <w:marTop w:val="0"/>
          <w:marBottom w:val="0"/>
          <w:divBdr>
            <w:top w:val="none" w:sz="0" w:space="0" w:color="auto"/>
            <w:left w:val="none" w:sz="0" w:space="0" w:color="auto"/>
            <w:bottom w:val="none" w:sz="0" w:space="0" w:color="auto"/>
            <w:right w:val="none" w:sz="0" w:space="0" w:color="auto"/>
          </w:divBdr>
        </w:div>
        <w:div w:id="99640809">
          <w:marLeft w:val="0"/>
          <w:marRight w:val="0"/>
          <w:marTop w:val="0"/>
          <w:marBottom w:val="0"/>
          <w:divBdr>
            <w:top w:val="none" w:sz="0" w:space="0" w:color="auto"/>
            <w:left w:val="none" w:sz="0" w:space="0" w:color="auto"/>
            <w:bottom w:val="none" w:sz="0" w:space="0" w:color="auto"/>
            <w:right w:val="none" w:sz="0" w:space="0" w:color="auto"/>
          </w:divBdr>
        </w:div>
        <w:div w:id="823620529">
          <w:marLeft w:val="0"/>
          <w:marRight w:val="0"/>
          <w:marTop w:val="0"/>
          <w:marBottom w:val="0"/>
          <w:divBdr>
            <w:top w:val="none" w:sz="0" w:space="0" w:color="auto"/>
            <w:left w:val="none" w:sz="0" w:space="0" w:color="auto"/>
            <w:bottom w:val="none" w:sz="0" w:space="0" w:color="auto"/>
            <w:right w:val="none" w:sz="0" w:space="0" w:color="auto"/>
          </w:divBdr>
        </w:div>
        <w:div w:id="104204302">
          <w:marLeft w:val="0"/>
          <w:marRight w:val="0"/>
          <w:marTop w:val="0"/>
          <w:marBottom w:val="0"/>
          <w:divBdr>
            <w:top w:val="none" w:sz="0" w:space="0" w:color="auto"/>
            <w:left w:val="none" w:sz="0" w:space="0" w:color="auto"/>
            <w:bottom w:val="none" w:sz="0" w:space="0" w:color="auto"/>
            <w:right w:val="none" w:sz="0" w:space="0" w:color="auto"/>
          </w:divBdr>
        </w:div>
      </w:divsChild>
    </w:div>
    <w:div w:id="1174419907">
      <w:bodyDiv w:val="1"/>
      <w:marLeft w:val="0"/>
      <w:marRight w:val="0"/>
      <w:marTop w:val="0"/>
      <w:marBottom w:val="0"/>
      <w:divBdr>
        <w:top w:val="none" w:sz="0" w:space="0" w:color="auto"/>
        <w:left w:val="none" w:sz="0" w:space="0" w:color="auto"/>
        <w:bottom w:val="none" w:sz="0" w:space="0" w:color="auto"/>
        <w:right w:val="none" w:sz="0" w:space="0" w:color="auto"/>
      </w:divBdr>
      <w:divsChild>
        <w:div w:id="20314427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50257999">
      <w:bodyDiv w:val="1"/>
      <w:marLeft w:val="0"/>
      <w:marRight w:val="0"/>
      <w:marTop w:val="0"/>
      <w:marBottom w:val="0"/>
      <w:divBdr>
        <w:top w:val="none" w:sz="0" w:space="0" w:color="auto"/>
        <w:left w:val="none" w:sz="0" w:space="0" w:color="auto"/>
        <w:bottom w:val="none" w:sz="0" w:space="0" w:color="auto"/>
        <w:right w:val="none" w:sz="0" w:space="0" w:color="auto"/>
      </w:divBdr>
    </w:div>
    <w:div w:id="1437825411">
      <w:bodyDiv w:val="1"/>
      <w:marLeft w:val="0"/>
      <w:marRight w:val="0"/>
      <w:marTop w:val="0"/>
      <w:marBottom w:val="0"/>
      <w:divBdr>
        <w:top w:val="none" w:sz="0" w:space="0" w:color="auto"/>
        <w:left w:val="none" w:sz="0" w:space="0" w:color="auto"/>
        <w:bottom w:val="none" w:sz="0" w:space="0" w:color="auto"/>
        <w:right w:val="none" w:sz="0" w:space="0" w:color="auto"/>
      </w:divBdr>
    </w:div>
    <w:div w:id="1617516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D05749-09C8-46D8-A226-8607BFC50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2782</Words>
  <Characters>15858</Characters>
  <Application>Microsoft Office Word</Application>
  <DocSecurity>0</DocSecurity>
  <Lines>132</Lines>
  <Paragraphs>37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18603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Стела</dc:creator>
  <cp:lastModifiedBy>Administrator</cp:lastModifiedBy>
  <cp:revision>6</cp:revision>
  <cp:lastPrinted>2022-07-12T14:57:00Z</cp:lastPrinted>
  <dcterms:created xsi:type="dcterms:W3CDTF">2022-12-12T09:44:00Z</dcterms:created>
  <dcterms:modified xsi:type="dcterms:W3CDTF">2022-12-12T14:07:00Z</dcterms:modified>
</cp:coreProperties>
</file>