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74EC71" w14:textId="37FB9F75" w:rsidR="00E621AF" w:rsidRPr="004B7B91" w:rsidRDefault="00E621AF">
      <w:pPr>
        <w:spacing w:line="0" w:lineRule="atLeast"/>
        <w:ind w:left="2260"/>
        <w:rPr>
          <w:rFonts w:ascii="Times New Roman" w:eastAsia="Times New Roman" w:hAnsi="Times New Roman"/>
          <w:b/>
          <w:sz w:val="31"/>
          <w:vertAlign w:val="superscript"/>
          <w:lang w:val="en-US"/>
        </w:rPr>
      </w:pPr>
      <w:r>
        <w:rPr>
          <w:rFonts w:ascii="Times New Roman" w:eastAsia="Times New Roman" w:hAnsi="Times New Roman"/>
          <w:b/>
          <w:sz w:val="24"/>
        </w:rPr>
        <w:t>ПОЛИТИКА ЗА БОРБА С ИЗМАМИТЕ</w:t>
      </w:r>
    </w:p>
    <w:p w14:paraId="5E9F85F0" w14:textId="77777777" w:rsidR="00E621AF" w:rsidRDefault="00E621AF">
      <w:pPr>
        <w:spacing w:line="226" w:lineRule="exact"/>
        <w:rPr>
          <w:rFonts w:ascii="Times New Roman" w:eastAsia="Times New Roman" w:hAnsi="Times New Roman"/>
          <w:sz w:val="24"/>
        </w:rPr>
      </w:pPr>
    </w:p>
    <w:p w14:paraId="28E22EB1" w14:textId="77777777" w:rsidR="00E621AF" w:rsidRDefault="00E621AF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0826025D" w14:textId="77777777" w:rsidR="00E621AF" w:rsidRDefault="00E621AF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Въведение</w:t>
      </w:r>
    </w:p>
    <w:p w14:paraId="353556E5" w14:textId="77777777" w:rsidR="00E621AF" w:rsidRDefault="00E621AF">
      <w:pPr>
        <w:spacing w:line="274" w:lineRule="exact"/>
        <w:rPr>
          <w:rFonts w:ascii="Times New Roman" w:eastAsia="Times New Roman" w:hAnsi="Times New Roman"/>
          <w:sz w:val="24"/>
        </w:rPr>
      </w:pPr>
    </w:p>
    <w:p w14:paraId="5A535001" w14:textId="53BF1481" w:rsidR="00E621AF" w:rsidRDefault="00E621AF" w:rsidP="00F66114">
      <w:pPr>
        <w:spacing w:line="248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Управляващият орган (УО)</w:t>
      </w:r>
      <w:r w:rsidR="00E05CDB">
        <w:rPr>
          <w:rFonts w:ascii="Times New Roman" w:eastAsia="Times New Roman" w:hAnsi="Times New Roman"/>
          <w:sz w:val="24"/>
        </w:rPr>
        <w:t xml:space="preserve"> на </w:t>
      </w:r>
      <w:r w:rsidR="00FF2C3B" w:rsidRPr="00FF2C3B">
        <w:rPr>
          <w:rFonts w:ascii="Times New Roman" w:eastAsia="Times New Roman" w:hAnsi="Times New Roman"/>
          <w:sz w:val="24"/>
        </w:rPr>
        <w:t xml:space="preserve">Програма „Конкурентоспособност и иновации в </w:t>
      </w:r>
      <w:bookmarkStart w:id="0" w:name="_GoBack"/>
      <w:bookmarkEnd w:id="0"/>
      <w:r w:rsidR="00FF2C3B" w:rsidRPr="00FF2C3B">
        <w:rPr>
          <w:rFonts w:ascii="Times New Roman" w:eastAsia="Times New Roman" w:hAnsi="Times New Roman"/>
          <w:sz w:val="24"/>
        </w:rPr>
        <w:t>предприятията“ 2021-2027</w:t>
      </w:r>
      <w:r w:rsidR="008560A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се ангажира да поддържа високи правни, етични и морални стандарти, да се придържа към принципите на почтеност, обективност и честност </w:t>
      </w:r>
      <w:r w:rsidR="00F66114">
        <w:rPr>
          <w:rFonts w:ascii="Times New Roman" w:eastAsia="Times New Roman" w:hAnsi="Times New Roman"/>
          <w:sz w:val="24"/>
        </w:rPr>
        <w:t xml:space="preserve">и желае да бъде възприеман като </w:t>
      </w:r>
      <w:r>
        <w:rPr>
          <w:rFonts w:ascii="Times New Roman" w:eastAsia="Times New Roman" w:hAnsi="Times New Roman"/>
          <w:b/>
          <w:sz w:val="24"/>
        </w:rPr>
        <w:t xml:space="preserve">противопоставящ се на измамите и корупцията </w:t>
      </w:r>
      <w:r>
        <w:rPr>
          <w:rFonts w:ascii="Times New Roman" w:eastAsia="Times New Roman" w:hAnsi="Times New Roman"/>
          <w:sz w:val="24"/>
        </w:rPr>
        <w:t>в начина,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по който извършва своята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дейност. От всички членове на персонала се очаква да споделят този ангажимент. Целта на тази политика е насърчаване на култура, която оказва възпиращ ефект върху измамната дейност и улеснява предотвратяването и откриването на измами и изготвянето на процедури, които ще спомогнат при разследването на измами и свързани с измама престъпления и ще гарантират, че тези случаи се разглеждат своевременно и по подходящ начин.</w:t>
      </w:r>
    </w:p>
    <w:p w14:paraId="493114C6" w14:textId="77777777" w:rsidR="00E621AF" w:rsidRDefault="00E621AF">
      <w:pPr>
        <w:spacing w:line="236" w:lineRule="exact"/>
        <w:rPr>
          <w:rFonts w:ascii="Times New Roman" w:eastAsia="Times New Roman" w:hAnsi="Times New Roman"/>
          <w:sz w:val="24"/>
        </w:rPr>
      </w:pPr>
    </w:p>
    <w:p w14:paraId="7AF6C4AC" w14:textId="77777777" w:rsidR="00E621AF" w:rsidRDefault="006B525A" w:rsidP="00815A94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 УО е в</w:t>
      </w:r>
      <w:r w:rsidR="00E621AF">
        <w:rPr>
          <w:rFonts w:ascii="Times New Roman" w:eastAsia="Times New Roman" w:hAnsi="Times New Roman"/>
          <w:sz w:val="24"/>
        </w:rPr>
        <w:t xml:space="preserve">ъведена процедура за </w:t>
      </w:r>
      <w:r w:rsidR="00E621AF">
        <w:rPr>
          <w:rFonts w:ascii="Times New Roman" w:eastAsia="Times New Roman" w:hAnsi="Times New Roman"/>
          <w:b/>
          <w:sz w:val="24"/>
        </w:rPr>
        <w:t>оповестяване на ситуации на конфликт на интереси</w:t>
      </w:r>
      <w:r w:rsidR="00E621AF">
        <w:rPr>
          <w:rFonts w:ascii="Times New Roman" w:eastAsia="Times New Roman" w:hAnsi="Times New Roman"/>
          <w:sz w:val="24"/>
        </w:rPr>
        <w:t>.</w:t>
      </w:r>
    </w:p>
    <w:p w14:paraId="67E3E508" w14:textId="77777777" w:rsidR="00E621AF" w:rsidRDefault="00E621AF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D64923" w14:textId="77777777" w:rsidR="00E621AF" w:rsidRDefault="00E621AF">
      <w:pPr>
        <w:spacing w:line="24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Понятието „измама“ обичайно се използва за описване на широк кръг от нарушения, включително кражба, корупция, злоупотреба, подкуп, фалшифициране, представяне на неверни данни, тайни споразумения, изпиране на пари и укриване на съществени факти. Това често включва използването на измама с цел лично облагодетелстване, облагодетелстване на свързано лице или трета страна, или загуба за друго лице — умисълът е основният елемент, който отличава измамите от нередностите. Измамата не само има потенциално финансово отражение, но може да доведе и до увреждане на репутацията на организацията, отговаряща за ефективното и ефикасно управление на финансовите средства. Това е от особено значение за публична организация, отговаряща за управлението на средствата на ЕС. Корупцията е злоупотреба с власт за лична изгода. Конфликт на интереси е налице , когато безпристрастното и обективно упражняване на официалните функции на едно лице е опорочено по причини, свързани със семейството, емоционалния живот, политическа или национална принадлежност, икономически или други интереси, споделяни например с кандидат или получател на средства от ЕС.</w:t>
      </w:r>
    </w:p>
    <w:p w14:paraId="33C08667" w14:textId="77777777" w:rsidR="00E621AF" w:rsidRDefault="00E621AF">
      <w:pPr>
        <w:spacing w:line="238" w:lineRule="exact"/>
        <w:rPr>
          <w:rFonts w:ascii="Times New Roman" w:eastAsia="Times New Roman" w:hAnsi="Times New Roman"/>
          <w:sz w:val="24"/>
        </w:rPr>
      </w:pPr>
    </w:p>
    <w:p w14:paraId="7BF0EA37" w14:textId="77777777" w:rsidR="00E621AF" w:rsidRDefault="00E621AF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Отговорности</w:t>
      </w:r>
    </w:p>
    <w:p w14:paraId="64564726" w14:textId="77777777" w:rsidR="00E621AF" w:rsidRDefault="00E621AF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5CF470B8" w14:textId="77777777" w:rsidR="00E621AF" w:rsidRDefault="00E621AF">
      <w:pPr>
        <w:numPr>
          <w:ilvl w:val="0"/>
          <w:numId w:val="1"/>
        </w:numPr>
        <w:tabs>
          <w:tab w:val="left" w:pos="360"/>
        </w:tabs>
        <w:spacing w:line="241" w:lineRule="auto"/>
        <w:ind w:left="36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В рамките на УО цялата отговорност за управлението на риска от измами и корупция е делегирана на </w:t>
      </w:r>
      <w:r w:rsidR="005823CF">
        <w:rPr>
          <w:rFonts w:ascii="Times New Roman" w:eastAsia="Times New Roman" w:hAnsi="Times New Roman"/>
          <w:sz w:val="24"/>
        </w:rPr>
        <w:t xml:space="preserve">Ръководителя </w:t>
      </w:r>
      <w:r w:rsidR="005341AF">
        <w:rPr>
          <w:rFonts w:ascii="Times New Roman" w:eastAsia="Times New Roman" w:hAnsi="Times New Roman"/>
          <w:sz w:val="24"/>
        </w:rPr>
        <w:t>н</w:t>
      </w:r>
      <w:r w:rsidR="005823CF">
        <w:rPr>
          <w:rFonts w:ascii="Times New Roman" w:eastAsia="Times New Roman" w:hAnsi="Times New Roman"/>
          <w:sz w:val="24"/>
        </w:rPr>
        <w:t>а УО</w:t>
      </w:r>
      <w:r>
        <w:rPr>
          <w:rFonts w:ascii="Times New Roman" w:eastAsia="Times New Roman" w:hAnsi="Times New Roman"/>
          <w:sz w:val="24"/>
        </w:rPr>
        <w:t>, който отговаря за:</w:t>
      </w:r>
    </w:p>
    <w:p w14:paraId="28951C9C" w14:textId="77777777" w:rsidR="00E621AF" w:rsidRDefault="00E621AF">
      <w:pPr>
        <w:spacing w:line="3" w:lineRule="exact"/>
        <w:rPr>
          <w:rFonts w:ascii="Symbol" w:eastAsia="Symbol" w:hAnsi="Symbol"/>
          <w:sz w:val="24"/>
        </w:rPr>
      </w:pPr>
    </w:p>
    <w:p w14:paraId="7B77575F" w14:textId="77777777" w:rsidR="00E621AF" w:rsidRDefault="00E621AF">
      <w:pPr>
        <w:spacing w:line="227" w:lineRule="auto"/>
        <w:ind w:left="1080" w:right="20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извършване,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с помощта на екип за оценка на риска,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 редовен преглед на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риска от измами;</w:t>
      </w:r>
    </w:p>
    <w:p w14:paraId="2C5FDB63" w14:textId="77777777" w:rsidR="00E621AF" w:rsidRDefault="00E621AF">
      <w:pPr>
        <w:tabs>
          <w:tab w:val="left" w:pos="1060"/>
        </w:tabs>
        <w:spacing w:line="244" w:lineRule="auto"/>
        <w:ind w:left="1080" w:right="20" w:hanging="359"/>
        <w:rPr>
          <w:rFonts w:ascii="Times New Roman" w:eastAsia="Times New Roman" w:hAnsi="Times New Roman"/>
          <w:sz w:val="24"/>
        </w:rPr>
      </w:pPr>
      <w:bookmarkStart w:id="1" w:name="page2"/>
      <w:bookmarkEnd w:id="1"/>
      <w:r>
        <w:rPr>
          <w:rFonts w:ascii="Courier New" w:eastAsia="Courier New" w:hAnsi="Courier New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установяване на ефективна политика за борба с измамите и план за ответни мерки срещу измамите;</w:t>
      </w:r>
    </w:p>
    <w:p w14:paraId="747032D0" w14:textId="77777777" w:rsidR="00E621AF" w:rsidRDefault="00E621AF">
      <w:pPr>
        <w:tabs>
          <w:tab w:val="left" w:pos="106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осигуряване на осведоменост относно измамите и обучение за персонала;</w:t>
      </w:r>
    </w:p>
    <w:p w14:paraId="0F5A4B34" w14:textId="77777777" w:rsidR="00E621AF" w:rsidRDefault="00E621AF">
      <w:pPr>
        <w:numPr>
          <w:ilvl w:val="1"/>
          <w:numId w:val="2"/>
        </w:numPr>
        <w:tabs>
          <w:tab w:val="left" w:pos="1080"/>
        </w:tabs>
        <w:spacing w:line="235" w:lineRule="auto"/>
        <w:ind w:left="1080" w:right="20" w:hanging="360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гарантиране на незабавното насочване от страна на УО на разследванията, когато такива се предприемат, към компетентните разследващи органи;</w:t>
      </w:r>
    </w:p>
    <w:p w14:paraId="1603C443" w14:textId="77777777" w:rsidR="00E621AF" w:rsidRDefault="00E621AF">
      <w:pPr>
        <w:spacing w:line="1" w:lineRule="exact"/>
        <w:rPr>
          <w:rFonts w:ascii="Courier New" w:eastAsia="Courier New" w:hAnsi="Courier New"/>
          <w:sz w:val="24"/>
        </w:rPr>
      </w:pPr>
    </w:p>
    <w:p w14:paraId="298D04ED" w14:textId="77777777" w:rsidR="00E621AF" w:rsidRDefault="00E621AF">
      <w:pPr>
        <w:numPr>
          <w:ilvl w:val="0"/>
          <w:numId w:val="2"/>
        </w:numPr>
        <w:tabs>
          <w:tab w:val="left" w:pos="360"/>
        </w:tabs>
        <w:spacing w:line="236" w:lineRule="auto"/>
        <w:ind w:left="360" w:right="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Лицата, отговорни за процесите/ръководителите на УО носят отговорност за ежедневното управление на рисковете от измами и плановете за действие, както е посочено в оценката на риска от измами, и по-специално за:</w:t>
      </w:r>
    </w:p>
    <w:p w14:paraId="2202AF9F" w14:textId="77777777" w:rsidR="00E621AF" w:rsidRDefault="00E621AF">
      <w:pPr>
        <w:spacing w:line="3" w:lineRule="exact"/>
        <w:rPr>
          <w:rFonts w:ascii="Symbol" w:eastAsia="Symbol" w:hAnsi="Symbol"/>
          <w:sz w:val="24"/>
        </w:rPr>
      </w:pPr>
    </w:p>
    <w:p w14:paraId="5C183117" w14:textId="77777777" w:rsidR="00E621AF" w:rsidRDefault="00E621AF">
      <w:pPr>
        <w:numPr>
          <w:ilvl w:val="1"/>
          <w:numId w:val="2"/>
        </w:numPr>
        <w:tabs>
          <w:tab w:val="left" w:pos="1080"/>
        </w:tabs>
        <w:spacing w:line="231" w:lineRule="auto"/>
        <w:ind w:left="1080" w:right="20" w:hanging="360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гарантиране на наличието на подходяща система за вътрешен контрол в тяхната област на отговорност;</w:t>
      </w:r>
    </w:p>
    <w:p w14:paraId="27202064" w14:textId="77777777" w:rsidR="00E621AF" w:rsidRDefault="00E621AF">
      <w:pPr>
        <w:spacing w:line="1" w:lineRule="exact"/>
        <w:rPr>
          <w:rFonts w:ascii="Times New Roman" w:eastAsia="Times New Roman" w:hAnsi="Times New Roman"/>
        </w:rPr>
      </w:pPr>
    </w:p>
    <w:p w14:paraId="1687586C" w14:textId="77777777" w:rsidR="00E621AF" w:rsidRDefault="00E621AF">
      <w:pPr>
        <w:tabs>
          <w:tab w:val="left" w:pos="106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предотвратяване и откриване на измами;</w:t>
      </w:r>
    </w:p>
    <w:p w14:paraId="6157F4A2" w14:textId="77777777" w:rsidR="00E621AF" w:rsidRDefault="00E621AF">
      <w:pPr>
        <w:numPr>
          <w:ilvl w:val="0"/>
          <w:numId w:val="3"/>
        </w:numPr>
        <w:tabs>
          <w:tab w:val="left" w:pos="1080"/>
        </w:tabs>
        <w:spacing w:line="231" w:lineRule="auto"/>
        <w:ind w:left="1080" w:hanging="360"/>
        <w:jc w:val="both"/>
        <w:rPr>
          <w:rFonts w:ascii="Courier New" w:eastAsia="Courier New" w:hAnsi="Courier New"/>
          <w:sz w:val="24"/>
        </w:rPr>
      </w:pPr>
      <w:r>
        <w:rPr>
          <w:rFonts w:ascii="Times New Roman" w:eastAsia="Times New Roman" w:hAnsi="Times New Roman"/>
          <w:sz w:val="24"/>
        </w:rPr>
        <w:t>осигуряване на надлежна проверка и прилагане на превантивни мерки в случай на съмнение за измама;</w:t>
      </w:r>
    </w:p>
    <w:p w14:paraId="0650DD0C" w14:textId="77777777" w:rsidR="00E621AF" w:rsidRDefault="00E621AF">
      <w:pPr>
        <w:spacing w:line="1" w:lineRule="exact"/>
        <w:rPr>
          <w:rFonts w:ascii="Times New Roman" w:eastAsia="Times New Roman" w:hAnsi="Times New Roman"/>
        </w:rPr>
      </w:pPr>
    </w:p>
    <w:p w14:paraId="673CC1F1" w14:textId="77777777" w:rsidR="00E621AF" w:rsidRPr="00B93844" w:rsidRDefault="00E621AF">
      <w:pPr>
        <w:tabs>
          <w:tab w:val="left" w:pos="1060"/>
        </w:tabs>
        <w:spacing w:line="227" w:lineRule="auto"/>
        <w:ind w:left="1080" w:right="20" w:hanging="359"/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 xml:space="preserve">предприемане на коригиращи мерки, включително всякакви </w:t>
      </w:r>
      <w:r w:rsidRPr="00B93844">
        <w:rPr>
          <w:rFonts w:ascii="Times New Roman" w:eastAsia="Times New Roman" w:hAnsi="Times New Roman"/>
          <w:sz w:val="24"/>
        </w:rPr>
        <w:t>административни наказания, когато това е уместно.</w:t>
      </w:r>
    </w:p>
    <w:p w14:paraId="20E91750" w14:textId="77777777" w:rsidR="00E621AF" w:rsidRPr="00B93844" w:rsidRDefault="00E621AF">
      <w:pPr>
        <w:spacing w:line="3" w:lineRule="exact"/>
        <w:rPr>
          <w:rFonts w:ascii="Times New Roman" w:eastAsia="Times New Roman" w:hAnsi="Times New Roman"/>
        </w:rPr>
      </w:pPr>
    </w:p>
    <w:p w14:paraId="29302CF5" w14:textId="1E53E075" w:rsidR="00E621AF" w:rsidRPr="00B93844" w:rsidRDefault="00797352">
      <w:pPr>
        <w:numPr>
          <w:ilvl w:val="0"/>
          <w:numId w:val="4"/>
        </w:numPr>
        <w:tabs>
          <w:tab w:val="left" w:pos="360"/>
        </w:tabs>
        <w:spacing w:line="243" w:lineRule="auto"/>
        <w:ind w:left="360" w:right="20" w:hanging="360"/>
        <w:jc w:val="both"/>
        <w:rPr>
          <w:rFonts w:ascii="Symbol" w:eastAsia="Symbol" w:hAnsi="Symbol"/>
          <w:sz w:val="24"/>
        </w:rPr>
      </w:pPr>
      <w:r w:rsidRPr="00B93844">
        <w:rPr>
          <w:rFonts w:ascii="Times New Roman" w:eastAsia="Times New Roman" w:hAnsi="Times New Roman"/>
          <w:sz w:val="24"/>
        </w:rPr>
        <w:t xml:space="preserve">Счетоводните </w:t>
      </w:r>
      <w:r w:rsidR="00E621AF" w:rsidRPr="00B93844">
        <w:rPr>
          <w:rFonts w:ascii="Times New Roman" w:eastAsia="Times New Roman" w:hAnsi="Times New Roman"/>
          <w:sz w:val="24"/>
        </w:rPr>
        <w:t>органи разполагат със система, в която се регистрира и съхранява надеждна информация за всяка операция; те получават адекватна информация от УО относно процедурите и проверките, извършени във връзка с разходите.</w:t>
      </w:r>
    </w:p>
    <w:p w14:paraId="38398520" w14:textId="77777777" w:rsidR="00E621AF" w:rsidRPr="00B93844" w:rsidRDefault="00E621AF">
      <w:pPr>
        <w:spacing w:line="2" w:lineRule="exact"/>
        <w:rPr>
          <w:rFonts w:ascii="Symbol" w:eastAsia="Symbol" w:hAnsi="Symbol"/>
          <w:sz w:val="24"/>
        </w:rPr>
      </w:pPr>
    </w:p>
    <w:p w14:paraId="11B4F977" w14:textId="77777777" w:rsidR="00E621AF" w:rsidRDefault="00E621AF">
      <w:pPr>
        <w:numPr>
          <w:ilvl w:val="0"/>
          <w:numId w:val="4"/>
        </w:numPr>
        <w:tabs>
          <w:tab w:val="left" w:pos="360"/>
        </w:tabs>
        <w:spacing w:line="219" w:lineRule="auto"/>
        <w:ind w:left="360" w:right="20" w:hanging="360"/>
        <w:jc w:val="both"/>
        <w:rPr>
          <w:rFonts w:ascii="Symbol" w:eastAsia="Symbol" w:hAnsi="Symbol"/>
          <w:sz w:val="24"/>
        </w:rPr>
      </w:pPr>
      <w:r w:rsidRPr="00B93844">
        <w:rPr>
          <w:rFonts w:ascii="Times New Roman" w:eastAsia="Times New Roman" w:hAnsi="Times New Roman"/>
          <w:sz w:val="24"/>
        </w:rPr>
        <w:t>Одитният орган е задължен да действа в съответствие със и в рамките на</w:t>
      </w:r>
      <w:r>
        <w:rPr>
          <w:rFonts w:ascii="Times New Roman" w:eastAsia="Times New Roman" w:hAnsi="Times New Roman"/>
          <w:sz w:val="24"/>
        </w:rPr>
        <w:t xml:space="preserve"> професионалните стандарти при оценяването на риска от измами и адекватността на въведената рамка за контрол.</w:t>
      </w:r>
    </w:p>
    <w:p w14:paraId="66D2FFBA" w14:textId="77777777" w:rsidR="00E621AF" w:rsidRDefault="00E621AF">
      <w:pPr>
        <w:spacing w:line="313" w:lineRule="exact"/>
        <w:rPr>
          <w:rFonts w:ascii="Times New Roman" w:eastAsia="Times New Roman" w:hAnsi="Times New Roman"/>
        </w:rPr>
      </w:pPr>
    </w:p>
    <w:p w14:paraId="47A976EF" w14:textId="77777777" w:rsidR="00E621AF" w:rsidRDefault="00E621AF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Докладване на измами</w:t>
      </w:r>
    </w:p>
    <w:p w14:paraId="4B448C09" w14:textId="77777777" w:rsidR="00E621AF" w:rsidRDefault="00E621AF">
      <w:pPr>
        <w:spacing w:line="30" w:lineRule="exact"/>
        <w:rPr>
          <w:rFonts w:ascii="Times New Roman" w:eastAsia="Times New Roman" w:hAnsi="Times New Roman"/>
        </w:rPr>
      </w:pPr>
    </w:p>
    <w:p w14:paraId="1FBD0D9D" w14:textId="77777777" w:rsidR="004965CB" w:rsidRPr="004965CB" w:rsidRDefault="00E621AF" w:rsidP="004965CB">
      <w:pPr>
        <w:spacing w:line="243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УО е въвел процедури за докладване на измами както на вътрешно равнище, така и пред Европейската служба за борба с измамите</w:t>
      </w:r>
      <w:r w:rsidR="00556257">
        <w:rPr>
          <w:rFonts w:ascii="Times New Roman" w:eastAsia="Times New Roman" w:hAnsi="Times New Roman"/>
          <w:sz w:val="24"/>
        </w:rPr>
        <w:t>. В съответствие с ч</w:t>
      </w:r>
      <w:r w:rsidR="00556257" w:rsidRPr="00556257">
        <w:rPr>
          <w:rFonts w:ascii="Times New Roman" w:eastAsia="Times New Roman" w:hAnsi="Times New Roman"/>
          <w:sz w:val="24"/>
        </w:rPr>
        <w:t xml:space="preserve">лен 325 (1) от Договора за функционирането на Европейския съюз (ДФЕС) държавите-членки </w:t>
      </w:r>
      <w:r w:rsidR="00556257">
        <w:rPr>
          <w:rFonts w:ascii="Times New Roman" w:eastAsia="Times New Roman" w:hAnsi="Times New Roman"/>
          <w:sz w:val="24"/>
        </w:rPr>
        <w:t xml:space="preserve">са длъжни да предприемат действия за борба </w:t>
      </w:r>
      <w:r w:rsidR="00556257" w:rsidRPr="00556257">
        <w:rPr>
          <w:rFonts w:ascii="Times New Roman" w:eastAsia="Times New Roman" w:hAnsi="Times New Roman"/>
          <w:sz w:val="24"/>
        </w:rPr>
        <w:t xml:space="preserve">с измамите и всяка незаконна дейност, засягаща финансовите интереси на Съюза. </w:t>
      </w:r>
      <w:r w:rsidR="00556257">
        <w:rPr>
          <w:rFonts w:ascii="Times New Roman" w:eastAsia="Times New Roman" w:hAnsi="Times New Roman"/>
          <w:sz w:val="24"/>
        </w:rPr>
        <w:t xml:space="preserve">УО представя пред </w:t>
      </w:r>
      <w:r w:rsidR="00556257" w:rsidRPr="00556257">
        <w:rPr>
          <w:rFonts w:ascii="Times New Roman" w:eastAsia="Times New Roman" w:hAnsi="Times New Roman"/>
          <w:sz w:val="24"/>
        </w:rPr>
        <w:t>Европейската комисия всяка година доклад, относно предприетите мерки за борба с измамите, в изпълнение на член 325 (5) от ДФЕС.</w:t>
      </w:r>
      <w:r>
        <w:rPr>
          <w:rFonts w:ascii="Times New Roman" w:eastAsia="Times New Roman" w:hAnsi="Times New Roman"/>
          <w:sz w:val="24"/>
        </w:rPr>
        <w:t xml:space="preserve"> </w:t>
      </w:r>
      <w:r w:rsidR="00556257" w:rsidRPr="00556257">
        <w:rPr>
          <w:rFonts w:ascii="Times New Roman" w:eastAsia="Times New Roman" w:hAnsi="Times New Roman"/>
          <w:sz w:val="24"/>
        </w:rPr>
        <w:t>С цел повишаване ефективността на действията за борба с измамите и други незаконни дейности в ущърб на интересите на Общността на 28 април 1999 г. с Решение на Комисията 1999/352/ЕО е създадена Европейската служба за борба с измамите (ОЛАФ) и е приет Регламент (ЕО) № 1073/1999 на Европейския Парламент и на Съвета от 25 май 1999 година относно разследванията, провеждани от Европейската служба за борба с измамите. Службата е натоварена с отговорност за провеждане на административни разследвания, като средство за борба с измамите, и има специален статут на независим орган за разследване в рамките на Европейската комисия. ОЛАФ упражнява правомощията за разследване на Комисията в съответствие със законодателството на ЕС и влезлите в сила споразумения с трети страни.</w:t>
      </w:r>
      <w:r w:rsidR="00556257" w:rsidRPr="00556257">
        <w:t xml:space="preserve"> </w:t>
      </w:r>
      <w:r w:rsidR="00556257" w:rsidRPr="00556257">
        <w:rPr>
          <w:rFonts w:ascii="Times New Roman" w:eastAsia="Times New Roman" w:hAnsi="Times New Roman"/>
          <w:sz w:val="24"/>
        </w:rPr>
        <w:t>Европейската служба за борба с измамите провежда своята дейност в тясно взаимодействие с Координационните служби за борба с измамите – АФКОС на държавите-членки (Anti-Fraud Co-ordination Service – AFCOS), с които осъществява ефективно сътрудничество и обмен на информация, включително информация от оперативен характер, като по този начин осигурява в рамките на Съюза единодействие и координация на борбата с измамите и нередностите.</w:t>
      </w:r>
      <w:r w:rsidR="00556257">
        <w:rPr>
          <w:rFonts w:ascii="Times New Roman" w:eastAsia="Times New Roman" w:hAnsi="Times New Roman"/>
          <w:sz w:val="24"/>
        </w:rPr>
        <w:t xml:space="preserve"> </w:t>
      </w:r>
      <w:r w:rsidR="00556257" w:rsidRPr="00556257">
        <w:rPr>
          <w:rFonts w:ascii="Times New Roman" w:eastAsia="Times New Roman" w:hAnsi="Times New Roman"/>
          <w:sz w:val="24"/>
        </w:rPr>
        <w:t xml:space="preserve">Наред с посочените задължения в чл. 325 (1) от ДФЕС, в чл. 325 (2) се предвижда, държавите-членки да предприемат </w:t>
      </w:r>
      <w:r w:rsidR="00556257" w:rsidRPr="00556257">
        <w:rPr>
          <w:rFonts w:ascii="Times New Roman" w:eastAsia="Times New Roman" w:hAnsi="Times New Roman"/>
          <w:sz w:val="24"/>
        </w:rPr>
        <w:lastRenderedPageBreak/>
        <w:t>същите мерки за предотвратяване на измами, засягащи финансовите интереси на Съюза, каквито биха предприели при предотвратяване на измами, засягащи собствените им финансови интереси.</w:t>
      </w:r>
      <w:r w:rsidR="004965CB">
        <w:rPr>
          <w:rFonts w:ascii="Times New Roman" w:eastAsia="Times New Roman" w:hAnsi="Times New Roman"/>
          <w:sz w:val="24"/>
        </w:rPr>
        <w:t xml:space="preserve"> В тази връзка е приета </w:t>
      </w:r>
      <w:r w:rsidR="004965CB" w:rsidRPr="004965CB">
        <w:rPr>
          <w:rFonts w:ascii="Times New Roman" w:eastAsia="Times New Roman" w:hAnsi="Times New Roman"/>
          <w:sz w:val="24"/>
        </w:rPr>
        <w:t>Национална стратегия за превенция и борба с нередностите и измамите, засягащи финансовите интереси на ЕС.</w:t>
      </w:r>
      <w:r w:rsidR="00556257" w:rsidRPr="00556257">
        <w:rPr>
          <w:rFonts w:ascii="Times New Roman" w:eastAsia="Times New Roman" w:hAnsi="Times New Roman"/>
          <w:sz w:val="24"/>
          <w:highlight w:val="yellow"/>
        </w:rPr>
        <w:t xml:space="preserve"> </w:t>
      </w:r>
      <w:r w:rsidR="004965CB" w:rsidRPr="00815A94">
        <w:rPr>
          <w:rFonts w:ascii="Times New Roman" w:eastAsia="Times New Roman" w:hAnsi="Times New Roman"/>
          <w:sz w:val="24"/>
        </w:rPr>
        <w:t xml:space="preserve">При осъществяване на контролните си функции, УО </w:t>
      </w:r>
      <w:r w:rsidR="004965CB" w:rsidRPr="004965CB">
        <w:rPr>
          <w:rFonts w:ascii="Times New Roman" w:eastAsia="Times New Roman" w:hAnsi="Times New Roman"/>
          <w:sz w:val="24"/>
        </w:rPr>
        <w:t xml:space="preserve">носи отговорност за въвеждането на ефективни системи за установяване и регистриране на случаи на нередности по всички приоритетни оси на оперативната програма, както и за тяхното докладване и последващо проследяване. </w:t>
      </w:r>
    </w:p>
    <w:p w14:paraId="32BFF96E" w14:textId="77777777" w:rsidR="00A52683" w:rsidRPr="00815A94" w:rsidRDefault="004965CB" w:rsidP="00A52683">
      <w:pPr>
        <w:spacing w:line="243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4965CB">
        <w:rPr>
          <w:rFonts w:ascii="Times New Roman" w:eastAsia="Times New Roman" w:hAnsi="Times New Roman"/>
          <w:sz w:val="24"/>
        </w:rPr>
        <w:tab/>
        <w:t>Управляващият орган анализира всеки сигнал за нередност/</w:t>
      </w:r>
      <w:r w:rsidR="00A52683">
        <w:rPr>
          <w:rFonts w:ascii="Times New Roman" w:eastAsia="Times New Roman" w:hAnsi="Times New Roman"/>
          <w:sz w:val="24"/>
        </w:rPr>
        <w:t>подозрение за измама</w:t>
      </w:r>
      <w:r w:rsidRPr="004965CB">
        <w:rPr>
          <w:rFonts w:ascii="Times New Roman" w:eastAsia="Times New Roman" w:hAnsi="Times New Roman"/>
          <w:sz w:val="24"/>
        </w:rPr>
        <w:t xml:space="preserve"> и при необходимост предприема корективни действия за подобряване на контролната среда и избягване на аналогични случаи на нередности в бъдеще, когато се касае за повтарящи се нередности или такива, предизвикани от слабости в контролната среда. Независимо от това, когато нередността е заподозряна или разкрита, трябва да се приложи система за отстраняването й.</w:t>
      </w:r>
      <w:r>
        <w:rPr>
          <w:rFonts w:ascii="Times New Roman" w:eastAsia="Times New Roman" w:hAnsi="Times New Roman"/>
          <w:sz w:val="24"/>
        </w:rPr>
        <w:t xml:space="preserve"> Тъй като и</w:t>
      </w:r>
      <w:r w:rsidRPr="004965CB">
        <w:rPr>
          <w:rFonts w:ascii="Times New Roman" w:eastAsia="Times New Roman" w:hAnsi="Times New Roman"/>
          <w:sz w:val="24"/>
        </w:rPr>
        <w:t xml:space="preserve">змамата е особен случай на нередност и се отличава от другите </w:t>
      </w:r>
      <w:r>
        <w:rPr>
          <w:rFonts w:ascii="Times New Roman" w:eastAsia="Times New Roman" w:hAnsi="Times New Roman"/>
          <w:sz w:val="24"/>
        </w:rPr>
        <w:t xml:space="preserve">видове по умишления си характер, УО не е компетентен да изрази становище за умишлеността и преднамереността на действията, довели до съмнението за измама. В тези случаи УО </w:t>
      </w:r>
      <w:r w:rsidR="00A52683">
        <w:rPr>
          <w:rFonts w:ascii="Times New Roman" w:eastAsia="Times New Roman" w:hAnsi="Times New Roman"/>
          <w:sz w:val="24"/>
        </w:rPr>
        <w:t xml:space="preserve">регистрира нередност – подозрение за измама и </w:t>
      </w:r>
      <w:r w:rsidR="00A52683" w:rsidRPr="00A52683">
        <w:rPr>
          <w:rFonts w:ascii="Times New Roman" w:eastAsia="Times New Roman" w:hAnsi="Times New Roman"/>
          <w:sz w:val="24"/>
        </w:rPr>
        <w:t xml:space="preserve">в изпълнение на задължението по чл. 28, ал. 1 от  </w:t>
      </w:r>
      <w:r w:rsidR="00A52683">
        <w:rPr>
          <w:rFonts w:ascii="Times New Roman" w:eastAsia="Times New Roman" w:hAnsi="Times New Roman"/>
          <w:sz w:val="24"/>
        </w:rPr>
        <w:t>Н</w:t>
      </w:r>
      <w:r w:rsidR="00A52683" w:rsidRPr="00A52683">
        <w:rPr>
          <w:rFonts w:ascii="Times New Roman" w:eastAsia="Times New Roman" w:hAnsi="Times New Roman"/>
          <w:sz w:val="24"/>
        </w:rPr>
        <w:t>аредба за администриране на нередности по европейските структурни и инвестиционни фондове, приета с ПМС № 173 от 13.07.2016 г. (</w:t>
      </w:r>
      <w:r w:rsidR="00A52683">
        <w:rPr>
          <w:rFonts w:ascii="Times New Roman" w:eastAsia="Times New Roman" w:hAnsi="Times New Roman"/>
          <w:sz w:val="24"/>
        </w:rPr>
        <w:t>НАНЕСИФ</w:t>
      </w:r>
      <w:r w:rsidR="00A52683" w:rsidRPr="00A52683">
        <w:rPr>
          <w:rFonts w:ascii="Times New Roman" w:eastAsia="Times New Roman" w:hAnsi="Times New Roman"/>
          <w:sz w:val="24"/>
        </w:rPr>
        <w:t xml:space="preserve">), </w:t>
      </w:r>
      <w:r>
        <w:rPr>
          <w:rFonts w:ascii="Times New Roman" w:eastAsia="Times New Roman" w:hAnsi="Times New Roman"/>
          <w:sz w:val="24"/>
        </w:rPr>
        <w:t xml:space="preserve">предоставя документацията, съдържаща </w:t>
      </w:r>
      <w:r w:rsidR="00EE4E49">
        <w:rPr>
          <w:rFonts w:ascii="Times New Roman" w:eastAsia="Times New Roman" w:hAnsi="Times New Roman"/>
          <w:sz w:val="24"/>
        </w:rPr>
        <w:t>установените от УО нарушения</w:t>
      </w:r>
      <w:r w:rsidR="00A52683">
        <w:rPr>
          <w:rFonts w:ascii="Times New Roman" w:eastAsia="Times New Roman" w:hAnsi="Times New Roman"/>
          <w:sz w:val="24"/>
        </w:rPr>
        <w:t>,</w:t>
      </w:r>
      <w:r w:rsidR="00EE4E49">
        <w:rPr>
          <w:rFonts w:ascii="Times New Roman" w:eastAsia="Times New Roman" w:hAnsi="Times New Roman"/>
          <w:sz w:val="24"/>
        </w:rPr>
        <w:t xml:space="preserve"> </w:t>
      </w:r>
      <w:r w:rsidR="00A52683">
        <w:rPr>
          <w:rFonts w:ascii="Times New Roman" w:eastAsia="Times New Roman" w:hAnsi="Times New Roman"/>
          <w:sz w:val="24"/>
        </w:rPr>
        <w:t xml:space="preserve">на </w:t>
      </w:r>
      <w:r w:rsidR="00A52683" w:rsidRPr="00A52683">
        <w:rPr>
          <w:rFonts w:ascii="Times New Roman" w:eastAsia="Times New Roman" w:hAnsi="Times New Roman"/>
          <w:sz w:val="24"/>
        </w:rPr>
        <w:t xml:space="preserve">отдел </w:t>
      </w:r>
      <w:r w:rsidR="00A52683" w:rsidRPr="00815A94">
        <w:rPr>
          <w:rFonts w:ascii="Times New Roman" w:eastAsia="Times New Roman" w:hAnsi="Times New Roman"/>
          <w:sz w:val="24"/>
        </w:rPr>
        <w:t>„</w:t>
      </w:r>
      <w:r w:rsidR="005E6679" w:rsidRPr="00815A94">
        <w:rPr>
          <w:rFonts w:ascii="Times New Roman" w:eastAsia="Times New Roman" w:hAnsi="Times New Roman"/>
          <w:sz w:val="24"/>
        </w:rPr>
        <w:t>Икономически</w:t>
      </w:r>
      <w:r w:rsidR="00A52683" w:rsidRPr="00815A94">
        <w:rPr>
          <w:rFonts w:ascii="Times New Roman" w:eastAsia="Times New Roman" w:hAnsi="Times New Roman"/>
          <w:sz w:val="24"/>
        </w:rPr>
        <w:t>”</w:t>
      </w:r>
      <w:r w:rsidR="0061231C" w:rsidRPr="00815A94">
        <w:rPr>
          <w:rFonts w:ascii="Times New Roman" w:eastAsia="Times New Roman" w:hAnsi="Times New Roman"/>
          <w:sz w:val="24"/>
        </w:rPr>
        <w:t>, сектор  „Противодействие на престъпленията против финансовите интереси на Европейския съюз”</w:t>
      </w:r>
      <w:r w:rsidR="005E6679" w:rsidRPr="00815A94">
        <w:rPr>
          <w:rFonts w:ascii="Times New Roman" w:eastAsia="Times New Roman" w:hAnsi="Times New Roman"/>
          <w:sz w:val="24"/>
        </w:rPr>
        <w:t xml:space="preserve"> </w:t>
      </w:r>
      <w:r w:rsidR="00A52683" w:rsidRPr="00815A94">
        <w:rPr>
          <w:rFonts w:ascii="Times New Roman" w:eastAsia="Times New Roman" w:hAnsi="Times New Roman"/>
          <w:sz w:val="24"/>
        </w:rPr>
        <w:t xml:space="preserve">към </w:t>
      </w:r>
      <w:r w:rsidR="0061231C" w:rsidRPr="00815A94">
        <w:rPr>
          <w:rFonts w:ascii="Times New Roman" w:eastAsia="Times New Roman" w:hAnsi="Times New Roman"/>
          <w:sz w:val="24"/>
        </w:rPr>
        <w:t>Софийска градска прокуратура</w:t>
      </w:r>
      <w:r w:rsidR="00A52683" w:rsidRPr="00815A94">
        <w:rPr>
          <w:rFonts w:ascii="Times New Roman" w:eastAsia="Times New Roman" w:hAnsi="Times New Roman"/>
          <w:sz w:val="24"/>
        </w:rPr>
        <w:t>.</w:t>
      </w:r>
      <w:r w:rsidR="00BD750C" w:rsidRPr="00815A94">
        <w:rPr>
          <w:rFonts w:ascii="Times New Roman" w:eastAsia="Times New Roman" w:hAnsi="Times New Roman"/>
          <w:sz w:val="24"/>
        </w:rPr>
        <w:t xml:space="preserve"> При наличие на неправомерно изплатени на бенефициента суми, УО изпраща покана за доброволно възстановяване, която при неизпълнение в срок води до предаване на преписката на НАП за принудително събиране на дължимите средства в съответствие с българското законодателство. След възстановяване на дължимите средства и след влязъл в сила акт на компетентния орган, УО приключва и закрива нередността.</w:t>
      </w:r>
    </w:p>
    <w:p w14:paraId="09D0D00C" w14:textId="77777777" w:rsidR="00E621AF" w:rsidRPr="00815A94" w:rsidRDefault="00A52683" w:rsidP="00815A94">
      <w:pPr>
        <w:spacing w:line="243" w:lineRule="auto"/>
        <w:ind w:right="20" w:firstLine="720"/>
        <w:jc w:val="both"/>
        <w:rPr>
          <w:rFonts w:ascii="Times New Roman" w:eastAsia="Times New Roman" w:hAnsi="Times New Roman"/>
          <w:i/>
          <w:sz w:val="24"/>
        </w:rPr>
      </w:pPr>
      <w:r w:rsidRPr="00815A94">
        <w:rPr>
          <w:rFonts w:ascii="Times New Roman" w:eastAsia="Times New Roman" w:hAnsi="Times New Roman"/>
          <w:sz w:val="24"/>
        </w:rPr>
        <w:t>За всяка регистрирана нередност се изготвя тримесечно уведомление в ИСУН, а на всеки три месеца в годината УО докладва установените нередности и подозрения за измама до дирекция АФКОС. Във връзка с инициативата на Комисията за въвеждане на електронното докладване на нередности, е въведена Системата за управление на нередности (IMS) при докладване на нередности в разходната част от бюджета на ЕС до ОЛАФ</w:t>
      </w:r>
      <w:r w:rsidR="00E621AF" w:rsidRPr="00815A94">
        <w:rPr>
          <w:rFonts w:ascii="Times New Roman" w:eastAsia="Times New Roman" w:hAnsi="Times New Roman"/>
          <w:i/>
          <w:sz w:val="24"/>
        </w:rPr>
        <w:t>.</w:t>
      </w:r>
    </w:p>
    <w:p w14:paraId="2ACA2318" w14:textId="77777777" w:rsidR="00E621AF" w:rsidRPr="00815A94" w:rsidRDefault="00E621AF">
      <w:pPr>
        <w:spacing w:line="231" w:lineRule="exact"/>
        <w:rPr>
          <w:rFonts w:ascii="Times New Roman" w:eastAsia="Times New Roman" w:hAnsi="Times New Roman"/>
        </w:rPr>
      </w:pPr>
    </w:p>
    <w:p w14:paraId="27B1152E" w14:textId="77777777" w:rsidR="00E621AF" w:rsidRDefault="00E621AF">
      <w:pPr>
        <w:spacing w:line="253" w:lineRule="auto"/>
        <w:jc w:val="both"/>
        <w:rPr>
          <w:rFonts w:ascii="Times New Roman" w:eastAsia="Times New Roman" w:hAnsi="Times New Roman"/>
          <w:i/>
          <w:sz w:val="24"/>
        </w:rPr>
      </w:pPr>
      <w:r w:rsidRPr="00815A94">
        <w:rPr>
          <w:rFonts w:ascii="Times New Roman" w:eastAsia="Times New Roman" w:hAnsi="Times New Roman"/>
          <w:sz w:val="24"/>
        </w:rPr>
        <w:t>Всички доклади се разглеждат при най-строга поверителност и в съответствие с</w:t>
      </w:r>
      <w:r w:rsidR="000D627F" w:rsidRPr="00815A94">
        <w:rPr>
          <w:rFonts w:ascii="Times New Roman" w:eastAsia="Times New Roman" w:hAnsi="Times New Roman"/>
          <w:sz w:val="24"/>
        </w:rPr>
        <w:t>ъс</w:t>
      </w:r>
      <w:r w:rsidRPr="00815A94">
        <w:rPr>
          <w:rFonts w:ascii="Times New Roman" w:eastAsia="Times New Roman" w:hAnsi="Times New Roman"/>
          <w:sz w:val="24"/>
        </w:rPr>
        <w:t xml:space="preserve"> </w:t>
      </w:r>
      <w:r w:rsidR="000D627F" w:rsidRPr="00815A94">
        <w:rPr>
          <w:rFonts w:ascii="Times New Roman" w:eastAsia="Times New Roman" w:hAnsi="Times New Roman"/>
          <w:sz w:val="24"/>
        </w:rPr>
        <w:t>Закон за защита на личните данни</w:t>
      </w:r>
      <w:r w:rsidRPr="00815A94">
        <w:rPr>
          <w:rFonts w:ascii="Times New Roman" w:eastAsia="Times New Roman" w:hAnsi="Times New Roman"/>
          <w:i/>
          <w:sz w:val="24"/>
        </w:rPr>
        <w:t>.</w:t>
      </w:r>
    </w:p>
    <w:p w14:paraId="4F8647CC" w14:textId="77777777" w:rsidR="00E621AF" w:rsidRDefault="00E621AF">
      <w:pPr>
        <w:spacing w:line="248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Служителите, които докладват нередности или съмнения за измама, са защитени от репресии.</w:t>
      </w:r>
    </w:p>
    <w:p w14:paraId="6D7D3EE3" w14:textId="77777777" w:rsidR="00E621AF" w:rsidRDefault="00E621AF">
      <w:pPr>
        <w:spacing w:line="228" w:lineRule="exact"/>
        <w:rPr>
          <w:rFonts w:ascii="Times New Roman" w:eastAsia="Times New Roman" w:hAnsi="Times New Roman"/>
        </w:rPr>
      </w:pPr>
    </w:p>
    <w:p w14:paraId="78E28C3D" w14:textId="77777777" w:rsidR="00F860B6" w:rsidRDefault="00F860B6">
      <w:pPr>
        <w:spacing w:line="228" w:lineRule="exact"/>
        <w:rPr>
          <w:rFonts w:ascii="Times New Roman" w:eastAsia="Times New Roman" w:hAnsi="Times New Roman"/>
        </w:rPr>
      </w:pPr>
    </w:p>
    <w:p w14:paraId="262AF114" w14:textId="77777777" w:rsidR="00E621AF" w:rsidRDefault="00E621AF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Мерки за борба с измамите</w:t>
      </w:r>
    </w:p>
    <w:p w14:paraId="586F5BEA" w14:textId="77777777" w:rsidR="00E621AF" w:rsidRDefault="00E621AF">
      <w:pPr>
        <w:spacing w:line="30" w:lineRule="exact"/>
        <w:rPr>
          <w:rFonts w:ascii="Times New Roman" w:eastAsia="Times New Roman" w:hAnsi="Times New Roman"/>
        </w:rPr>
      </w:pPr>
    </w:p>
    <w:p w14:paraId="4325FD12" w14:textId="4E3EDCF3" w:rsidR="00D819E4" w:rsidRDefault="00E621AF">
      <w:pPr>
        <w:spacing w:line="24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УО е въвел пропорционални мерки за борба с измамите въз основа на задълбочена оценка на риска от измами </w:t>
      </w:r>
      <w:r w:rsidR="00A37A12">
        <w:rPr>
          <w:rFonts w:ascii="Times New Roman" w:eastAsia="Times New Roman" w:hAnsi="Times New Roman"/>
          <w:sz w:val="24"/>
        </w:rPr>
        <w:t xml:space="preserve">съгласно </w:t>
      </w:r>
      <w:r>
        <w:rPr>
          <w:rFonts w:ascii="Times New Roman" w:eastAsia="Times New Roman" w:hAnsi="Times New Roman"/>
          <w:sz w:val="24"/>
        </w:rPr>
        <w:t xml:space="preserve">насоките на Комисията относно прилагането на член </w:t>
      </w:r>
      <w:r w:rsidR="008E05FF">
        <w:rPr>
          <w:rFonts w:ascii="Times New Roman" w:eastAsia="Times New Roman" w:hAnsi="Times New Roman"/>
          <w:sz w:val="24"/>
        </w:rPr>
        <w:t>74</w:t>
      </w:r>
      <w:r>
        <w:rPr>
          <w:rFonts w:ascii="Times New Roman" w:eastAsia="Times New Roman" w:hAnsi="Times New Roman"/>
          <w:sz w:val="24"/>
        </w:rPr>
        <w:t xml:space="preserve">, параграф </w:t>
      </w:r>
      <w:r w:rsidR="008E05FF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, буква </w:t>
      </w:r>
      <w:r w:rsidR="00A37A12">
        <w:rPr>
          <w:rFonts w:ascii="Times New Roman" w:eastAsia="Times New Roman" w:hAnsi="Times New Roman"/>
          <w:sz w:val="24"/>
        </w:rPr>
        <w:t>„</w:t>
      </w:r>
      <w:r>
        <w:rPr>
          <w:rFonts w:ascii="Times New Roman" w:eastAsia="Times New Roman" w:hAnsi="Times New Roman"/>
          <w:sz w:val="24"/>
        </w:rPr>
        <w:t>в</w:t>
      </w:r>
      <w:r w:rsidR="00A37A12">
        <w:rPr>
          <w:rFonts w:ascii="Times New Roman" w:eastAsia="Times New Roman" w:hAnsi="Times New Roman"/>
          <w:sz w:val="24"/>
        </w:rPr>
        <w:t>“</w:t>
      </w:r>
      <w:r w:rsidR="008E05FF">
        <w:rPr>
          <w:rFonts w:ascii="Times New Roman" w:eastAsia="Times New Roman" w:hAnsi="Times New Roman"/>
          <w:sz w:val="24"/>
        </w:rPr>
        <w:t xml:space="preserve"> от Регламент </w:t>
      </w:r>
      <w:r w:rsidR="008E05FF" w:rsidRPr="008E05FF">
        <w:rPr>
          <w:rFonts w:ascii="Times New Roman" w:eastAsia="Times New Roman" w:hAnsi="Times New Roman"/>
          <w:sz w:val="24"/>
        </w:rPr>
        <w:t>(ЕС)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>
        <w:rPr>
          <w:rFonts w:ascii="Times New Roman" w:eastAsia="Times New Roman" w:hAnsi="Times New Roman"/>
          <w:sz w:val="24"/>
        </w:rPr>
        <w:t xml:space="preserve">. По-специално УО използва ИТ инструменти за откриване на рискови операции като </w:t>
      </w:r>
      <w:r w:rsidR="00A37A12">
        <w:rPr>
          <w:rFonts w:ascii="Times New Roman" w:eastAsia="Times New Roman" w:hAnsi="Times New Roman"/>
          <w:sz w:val="24"/>
        </w:rPr>
        <w:t>ARACHNE</w:t>
      </w:r>
      <w:r>
        <w:rPr>
          <w:rFonts w:ascii="Times New Roman" w:eastAsia="Times New Roman" w:hAnsi="Times New Roman"/>
          <w:sz w:val="24"/>
        </w:rPr>
        <w:t xml:space="preserve"> и гарантира, че персоналът е осведомен относно рисковете от измами и е преминал обучение във връзка с борбата с измамите. УО извършва енергичен и бърз преглед на всички случаи на съмнения за измама и действително възникнали измами с оглед подобряване на системата за вътрешно управление и контрол, когато това е необходимо. </w:t>
      </w:r>
    </w:p>
    <w:p w14:paraId="236A65F2" w14:textId="5CAF392E" w:rsidR="001F0596" w:rsidRDefault="00D819E4" w:rsidP="00D819E4">
      <w:pPr>
        <w:spacing w:line="241" w:lineRule="auto"/>
        <w:jc w:val="both"/>
        <w:rPr>
          <w:rFonts w:ascii="Times New Roman" w:eastAsia="Times New Roman" w:hAnsi="Times New Roman"/>
          <w:sz w:val="24"/>
        </w:rPr>
      </w:pPr>
      <w:r w:rsidRPr="00815A94">
        <w:rPr>
          <w:rFonts w:ascii="Times New Roman" w:eastAsia="Times New Roman" w:hAnsi="Times New Roman"/>
          <w:sz w:val="24"/>
        </w:rPr>
        <w:t>УО използва инструмента АРАХНЕ, предоставен от ЕК за мониторинг на риска от нередности и измами, като пропорционална и адекватна мярка за борба с измамите. За целта в системата се извъ</w:t>
      </w:r>
      <w:r w:rsidR="007C0A38">
        <w:rPr>
          <w:rFonts w:ascii="Times New Roman" w:eastAsia="Times New Roman" w:hAnsi="Times New Roman"/>
          <w:sz w:val="24"/>
        </w:rPr>
        <w:t>р</w:t>
      </w:r>
      <w:r w:rsidRPr="00815A94">
        <w:rPr>
          <w:rFonts w:ascii="Times New Roman" w:eastAsia="Times New Roman" w:hAnsi="Times New Roman"/>
          <w:sz w:val="24"/>
        </w:rPr>
        <w:t>шват регулярни проверки за степента на ри</w:t>
      </w:r>
      <w:r w:rsidR="007C0A38">
        <w:rPr>
          <w:rFonts w:ascii="Times New Roman" w:eastAsia="Times New Roman" w:hAnsi="Times New Roman"/>
          <w:sz w:val="24"/>
        </w:rPr>
        <w:t>с</w:t>
      </w:r>
      <w:r w:rsidRPr="00815A94">
        <w:rPr>
          <w:rFonts w:ascii="Times New Roman" w:eastAsia="Times New Roman" w:hAnsi="Times New Roman"/>
          <w:sz w:val="24"/>
        </w:rPr>
        <w:t xml:space="preserve">ковете от измама. Инструментът ще бъде използван за извършване на проверки и в основните за УО процеси при: договаряне преди подписване на договори с кандидатите; при мониторинг и верификация преди извършване на проверки на място и верифициране на разходи, както и при контрол на провеждани от бенефициентите процедури за избор на изпълнител. Документирането на проверките се извършва чрез нарочна контрола в съответните контролни листове. </w:t>
      </w:r>
    </w:p>
    <w:p w14:paraId="43D5B68D" w14:textId="77777777" w:rsidR="00D819E4" w:rsidRPr="00815A94" w:rsidRDefault="00D819E4" w:rsidP="00D819E4">
      <w:pPr>
        <w:spacing w:line="241" w:lineRule="auto"/>
        <w:jc w:val="both"/>
        <w:rPr>
          <w:rFonts w:ascii="Times New Roman" w:eastAsia="Times New Roman" w:hAnsi="Times New Roman"/>
          <w:sz w:val="24"/>
        </w:rPr>
      </w:pPr>
      <w:r w:rsidRPr="00815A94">
        <w:rPr>
          <w:rFonts w:ascii="Times New Roman" w:eastAsia="Times New Roman" w:hAnsi="Times New Roman"/>
          <w:sz w:val="24"/>
        </w:rPr>
        <w:t>При извършваните проверки, информацията за високорисковите проекти, се свежда до знанието на компетентните отдели на УО, за повишено внимание при обработка на свързани с тях документи, или в случай на необходимост, за предприемане на подходящи мерки.</w:t>
      </w:r>
    </w:p>
    <w:p w14:paraId="78C91D8E" w14:textId="77777777" w:rsidR="00D47DAC" w:rsidRDefault="00D819E4" w:rsidP="00D819E4">
      <w:pPr>
        <w:spacing w:line="241" w:lineRule="auto"/>
        <w:jc w:val="both"/>
        <w:rPr>
          <w:rFonts w:ascii="Times New Roman" w:eastAsia="Times New Roman" w:hAnsi="Times New Roman"/>
          <w:i/>
          <w:sz w:val="24"/>
        </w:rPr>
      </w:pPr>
      <w:r w:rsidRPr="00815A94">
        <w:rPr>
          <w:rFonts w:ascii="Times New Roman" w:eastAsia="Times New Roman" w:hAnsi="Times New Roman"/>
          <w:sz w:val="24"/>
        </w:rPr>
        <w:t xml:space="preserve">Извън случаите описани по-горе, при възникнали съмнения за измама </w:t>
      </w:r>
      <w:r w:rsidR="001F0596" w:rsidRPr="00815A94">
        <w:rPr>
          <w:rFonts w:ascii="Times New Roman" w:eastAsia="Times New Roman" w:hAnsi="Times New Roman"/>
          <w:sz w:val="24"/>
        </w:rPr>
        <w:t>при</w:t>
      </w:r>
      <w:r w:rsidRPr="00815A94">
        <w:rPr>
          <w:rFonts w:ascii="Times New Roman" w:eastAsia="Times New Roman" w:hAnsi="Times New Roman"/>
          <w:sz w:val="24"/>
        </w:rPr>
        <w:t xml:space="preserve"> извъ</w:t>
      </w:r>
      <w:r w:rsidR="007C0A38">
        <w:rPr>
          <w:rFonts w:ascii="Times New Roman" w:eastAsia="Times New Roman" w:hAnsi="Times New Roman"/>
          <w:sz w:val="24"/>
        </w:rPr>
        <w:t>р</w:t>
      </w:r>
      <w:r w:rsidRPr="00815A94">
        <w:rPr>
          <w:rFonts w:ascii="Times New Roman" w:eastAsia="Times New Roman" w:hAnsi="Times New Roman"/>
          <w:sz w:val="24"/>
        </w:rPr>
        <w:t>шване на обичайните си задължения и при недостиг на информация за извършване на преценка, всеки служител на УО може да  инициира проверка на конкретни обстоятелства в системата АРАХНЕ, като изиска справка от служителите, отговорни за извъ</w:t>
      </w:r>
      <w:r w:rsidR="007C0A38">
        <w:rPr>
          <w:rFonts w:ascii="Times New Roman" w:eastAsia="Times New Roman" w:hAnsi="Times New Roman"/>
          <w:sz w:val="24"/>
        </w:rPr>
        <w:t>р</w:t>
      </w:r>
      <w:r w:rsidRPr="00815A94">
        <w:rPr>
          <w:rFonts w:ascii="Times New Roman" w:eastAsia="Times New Roman" w:hAnsi="Times New Roman"/>
          <w:sz w:val="24"/>
        </w:rPr>
        <w:t>шването на проверки в системата</w:t>
      </w:r>
      <w:r w:rsidR="005E1710">
        <w:rPr>
          <w:rFonts w:ascii="Times New Roman" w:eastAsia="Times New Roman" w:hAnsi="Times New Roman"/>
          <w:sz w:val="24"/>
        </w:rPr>
        <w:t>.</w:t>
      </w:r>
      <w:r w:rsidRPr="00D819E4">
        <w:rPr>
          <w:rFonts w:ascii="Times New Roman" w:eastAsia="Times New Roman" w:hAnsi="Times New Roman"/>
          <w:i/>
          <w:sz w:val="24"/>
        </w:rPr>
        <w:t xml:space="preserve"> </w:t>
      </w:r>
      <w:r w:rsidR="00171136"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683435E" wp14:editId="74BC2258">
                <wp:simplePos x="0" y="0"/>
                <wp:positionH relativeFrom="column">
                  <wp:posOffset>0</wp:posOffset>
                </wp:positionH>
                <wp:positionV relativeFrom="paragraph">
                  <wp:posOffset>580390</wp:posOffset>
                </wp:positionV>
                <wp:extent cx="1828800" cy="0"/>
                <wp:effectExtent l="9525" t="8890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C8A7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7pt" to="2in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q1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FD6MxgXAkBtdraUBs9qRfzpOl3h5SuO6L2PDJ8PRtIy0JG8iYlbJwB/N3wRTOIIQevY5tO&#10;re0DJDQAnaIa55sa/OQRhcOsmBVFCqLR0ZeQckw01vnPXPcoGBWWwDkCk+OT84EIKceQcI/SGyFl&#10;FFsqNFR4ni7mMcFpKVhwhjBn97taWnQkYVziF6sCz32Y1QfFIljHCVtfbU+EvNhwuVQBD0oBOlfr&#10;Mg8/FuliXayLfJLP5utJnjbN5NOmzifzTfbxQ/PQ1HWT/QzUsrzsBGNcBXbjbGb532l/fSWXqbpN&#10;560NyVv02C8gO/4j6ahlkO8yCDvNzls7agzjGIOvTyfM+/0e7PsHvvoFAAD//wMAUEsDBBQABgAI&#10;AAAAIQAZfNlE3AAAAAYBAAAPAAAAZHJzL2Rvd25yZXYueG1sTI/NTsMwEITvSH0Haytxo04rBG6I&#10;UyEQSD0g1B9xduMlCYnXUew26duziEN7nJnVzLfZanStOGEfak8a5rMEBFLhbU2lhv3u7U6BCNGQ&#10;Na0n1HDGAKt8cpOZ1PqBNnjaxlJwCYXUaKhi7FIpQ1GhM2HmOyTOvn3vTGTZl9L2ZuBy18pFkjxI&#10;Z2rihcp0+FJh0WyPTsOHkq/+s/kqzj/D7l2pdbN8XO+1vp2Oz08gIo7xcgx/+IwOOTMd/JFsEK0G&#10;fiRqWM7vQXC6UIqNw78h80xe4+e/AAAA//8DAFBLAQItABQABgAIAAAAIQC2gziS/gAAAOEBAAAT&#10;AAAAAAAAAAAAAAAAAAAAAABbQ29udGVudF9UeXBlc10ueG1sUEsBAi0AFAAGAAgAAAAhADj9If/W&#10;AAAAlAEAAAsAAAAAAAAAAAAAAAAALwEAAF9yZWxzLy5yZWxzUEsBAi0AFAAGAAgAAAAhACXL2rUR&#10;AgAAKAQAAA4AAAAAAAAAAAAAAAAALgIAAGRycy9lMm9Eb2MueG1sUEsBAi0AFAAGAAgAAAAhABl8&#10;2UTcAAAABgEAAA8AAAAAAAAAAAAAAAAAawQAAGRycy9kb3ducmV2LnhtbFBLBQYAAAAABAAEAPMA&#10;AAB0BQAAAAA=&#10;" o:allowincell="f" strokeweight=".48pt"/>
            </w:pict>
          </mc:Fallback>
        </mc:AlternateContent>
      </w:r>
    </w:p>
    <w:p w14:paraId="567FC4B9" w14:textId="77777777" w:rsidR="00E621AF" w:rsidRDefault="00E621AF">
      <w:pPr>
        <w:spacing w:line="200" w:lineRule="exact"/>
        <w:rPr>
          <w:rFonts w:ascii="Times New Roman" w:eastAsia="Times New Roman" w:hAnsi="Times New Roman"/>
        </w:rPr>
      </w:pPr>
    </w:p>
    <w:p w14:paraId="7EAADC06" w14:textId="77777777" w:rsidR="00E621AF" w:rsidRDefault="00E621AF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4"/>
          <w:u w:val="single"/>
        </w:rPr>
        <w:t>Заключение</w:t>
      </w:r>
    </w:p>
    <w:p w14:paraId="7BC7C4D1" w14:textId="77777777" w:rsidR="00E621AF" w:rsidRDefault="00E621AF">
      <w:pPr>
        <w:spacing w:line="30" w:lineRule="exact"/>
        <w:rPr>
          <w:rFonts w:ascii="Times New Roman" w:eastAsia="Times New Roman" w:hAnsi="Times New Roman"/>
        </w:rPr>
      </w:pPr>
    </w:p>
    <w:p w14:paraId="39D682D5" w14:textId="77777777" w:rsidR="00E621AF" w:rsidRDefault="00E621AF">
      <w:pPr>
        <w:spacing w:line="24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Измамите могат да имат множество различни проявления. УО е възприел политика на нулева толерантност към измамите и корупцията и е въвел стройна система за контрол, която има за цел да предотвратява и открива, доколкото това е практически възможно, извършването на измами и да отстранява въздействието им, ако те настъпят.</w:t>
      </w:r>
    </w:p>
    <w:p w14:paraId="7565F76C" w14:textId="77777777" w:rsidR="00E621AF" w:rsidRDefault="00E621AF">
      <w:pPr>
        <w:spacing w:line="237" w:lineRule="exact"/>
        <w:rPr>
          <w:rFonts w:ascii="Times New Roman" w:eastAsia="Times New Roman" w:hAnsi="Times New Roman"/>
        </w:rPr>
      </w:pPr>
    </w:p>
    <w:p w14:paraId="63D1E677" w14:textId="77777777" w:rsidR="00E621AF" w:rsidRDefault="00E621AF">
      <w:pPr>
        <w:spacing w:line="251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Тази политика и всички съответни процедури и стратегии се подпомагат </w:t>
      </w:r>
      <w:r w:rsidRPr="00305FBF">
        <w:rPr>
          <w:rFonts w:ascii="Times New Roman" w:eastAsia="Times New Roman" w:hAnsi="Times New Roman"/>
          <w:sz w:val="24"/>
        </w:rPr>
        <w:t xml:space="preserve">от </w:t>
      </w:r>
      <w:r w:rsidR="00305FBF" w:rsidRPr="00305FBF">
        <w:rPr>
          <w:rFonts w:ascii="Times New Roman" w:eastAsia="Times New Roman" w:hAnsi="Times New Roman"/>
          <w:sz w:val="24"/>
        </w:rPr>
        <w:t>Ръководителя на УО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който</w:t>
      </w:r>
      <w:r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активно ще ги проверява </w:t>
      </w:r>
      <w:r w:rsidR="00851D46">
        <w:rPr>
          <w:rFonts w:ascii="Times New Roman" w:eastAsia="Times New Roman" w:hAnsi="Times New Roman"/>
          <w:sz w:val="24"/>
        </w:rPr>
        <w:t>и ще следи за тяхната актуализ</w:t>
      </w:r>
      <w:r>
        <w:rPr>
          <w:rFonts w:ascii="Times New Roman" w:eastAsia="Times New Roman" w:hAnsi="Times New Roman"/>
          <w:sz w:val="24"/>
        </w:rPr>
        <w:t>а</w:t>
      </w:r>
      <w:r w:rsidR="00851D46">
        <w:rPr>
          <w:rFonts w:ascii="Times New Roman" w:eastAsia="Times New Roman" w:hAnsi="Times New Roman"/>
          <w:sz w:val="24"/>
        </w:rPr>
        <w:t>ция</w:t>
      </w:r>
      <w:r>
        <w:rPr>
          <w:rFonts w:ascii="Times New Roman" w:eastAsia="Times New Roman" w:hAnsi="Times New Roman"/>
          <w:sz w:val="24"/>
        </w:rPr>
        <w:t>.</w:t>
      </w:r>
    </w:p>
    <w:sectPr w:rsidR="00E621AF" w:rsidSect="001C1300">
      <w:headerReference w:type="default" r:id="rId7"/>
      <w:pgSz w:w="11900" w:h="16840"/>
      <w:pgMar w:top="1701" w:right="1420" w:bottom="1440" w:left="1440" w:header="426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C137" w14:textId="77777777" w:rsidR="000F30EF" w:rsidRDefault="000F30EF" w:rsidP="00F10098">
      <w:r>
        <w:separator/>
      </w:r>
    </w:p>
  </w:endnote>
  <w:endnote w:type="continuationSeparator" w:id="0">
    <w:p w14:paraId="64BE521D" w14:textId="77777777" w:rsidR="000F30EF" w:rsidRDefault="000F30EF" w:rsidP="00F1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B5727" w14:textId="77777777" w:rsidR="000F30EF" w:rsidRDefault="000F30EF" w:rsidP="00F10098">
      <w:r>
        <w:separator/>
      </w:r>
    </w:p>
  </w:footnote>
  <w:footnote w:type="continuationSeparator" w:id="0">
    <w:p w14:paraId="7B6C705F" w14:textId="77777777" w:rsidR="000F30EF" w:rsidRDefault="000F30EF" w:rsidP="00F1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7"/>
      <w:gridCol w:w="1702"/>
      <w:gridCol w:w="3971"/>
      <w:gridCol w:w="1560"/>
    </w:tblGrid>
    <w:tr w:rsidR="00A7585B" w:rsidRPr="00A7585B" w14:paraId="62503E0C" w14:textId="77777777" w:rsidTr="005D27CF">
      <w:trPr>
        <w:trHeight w:val="997"/>
        <w:tblHeader/>
        <w:jc w:val="center"/>
      </w:trPr>
      <w:tc>
        <w:tcPr>
          <w:tcW w:w="2697" w:type="dxa"/>
          <w:vMerge w:val="restart"/>
          <w:tcBorders>
            <w:top w:val="single" w:sz="4" w:space="0" w:color="auto"/>
            <w:left w:val="single" w:sz="2" w:space="0" w:color="000000"/>
            <w:right w:val="nil"/>
          </w:tcBorders>
          <w:vAlign w:val="center"/>
        </w:tcPr>
        <w:p w14:paraId="0800E525" w14:textId="77777777" w:rsidR="00A7585B" w:rsidRPr="00A7585B" w:rsidRDefault="00A7585B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Министерство на </w:t>
          </w:r>
          <w:r w:rsidR="00F860B6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иновациите и растежа</w:t>
          </w:r>
        </w:p>
        <w:p w14:paraId="2563650E" w14:textId="77777777" w:rsidR="00A7585B" w:rsidRPr="00A7585B" w:rsidRDefault="00A7585B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</w:pPr>
        </w:p>
        <w:p w14:paraId="71288ECB" w14:textId="493190EC" w:rsidR="00A7585B" w:rsidRPr="00A7585B" w:rsidRDefault="00A7585B" w:rsidP="00A774C8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Главна дирекция “Европейски фондове за конкурентоспособност” – Управляващ орган на </w:t>
          </w:r>
          <w:r w:rsidR="00A774C8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ПКИП</w:t>
          </w:r>
        </w:p>
      </w:tc>
      <w:tc>
        <w:tcPr>
          <w:tcW w:w="567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3BFAF13D" w14:textId="22FC84B9" w:rsidR="00A7585B" w:rsidRPr="00A7585B" w:rsidRDefault="00A7585B" w:rsidP="00A774C8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НАРЪЧНИК ПО </w:t>
          </w:r>
          <w:r w:rsidR="00A774C8" w:rsidRPr="00A774C8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ПРОГРАМА „КОНКУРЕНТОСПОСОБНОСТ И ИНОВАЦИИ В ПРЕДПРИЯТИЯТА“ 2021-2027</w:t>
          </w:r>
          <w:r w:rsidR="00A774C8" w:rsidRPr="00A774C8" w:rsidDel="00A774C8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 </w:t>
          </w: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(</w:t>
          </w:r>
          <w:r w:rsidR="00A774C8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ПКИП</w:t>
          </w: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)</w:t>
          </w:r>
        </w:p>
      </w:tc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250595CA" w14:textId="4C7C74D7" w:rsidR="00A7585B" w:rsidRPr="00F860B6" w:rsidRDefault="00A7585B" w:rsidP="00A774C8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Вариант </w:t>
          </w:r>
          <w:r w:rsidR="00E55CE5">
            <w:rPr>
              <w:rFonts w:ascii="Times New Roman" w:eastAsia="HG Mincho Light J" w:hAnsi="Times New Roman" w:cs="Times New Roman"/>
              <w:b/>
              <w:color w:val="000000"/>
              <w:szCs w:val="22"/>
              <w:lang w:val="en-US" w:eastAsia="en-US"/>
            </w:rPr>
            <w:t>1</w:t>
          </w:r>
        </w:p>
      </w:tc>
    </w:tr>
    <w:tr w:rsidR="00A7585B" w:rsidRPr="00A7585B" w14:paraId="521AD955" w14:textId="77777777" w:rsidTr="005D27CF">
      <w:trPr>
        <w:trHeight w:val="572"/>
        <w:jc w:val="center"/>
      </w:trPr>
      <w:tc>
        <w:tcPr>
          <w:tcW w:w="2697" w:type="dxa"/>
          <w:vMerge/>
          <w:tcBorders>
            <w:left w:val="single" w:sz="2" w:space="0" w:color="000000"/>
            <w:right w:val="nil"/>
          </w:tcBorders>
          <w:vAlign w:val="center"/>
          <w:hideMark/>
        </w:tcPr>
        <w:p w14:paraId="3B694021" w14:textId="77777777" w:rsidR="00A7585B" w:rsidRPr="00A7585B" w:rsidRDefault="00A7585B" w:rsidP="00A7585B">
          <w:pPr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</w:p>
      </w:tc>
      <w:tc>
        <w:tcPr>
          <w:tcW w:w="1702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4FCE0FCC" w14:textId="77777777" w:rsidR="00A7585B" w:rsidRPr="00A7585B" w:rsidRDefault="00A7585B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Глава 2</w:t>
          </w:r>
        </w:p>
        <w:p w14:paraId="2F40EED6" w14:textId="5D9B2875" w:rsidR="00A7585B" w:rsidRPr="00B93844" w:rsidRDefault="00A7585B" w:rsidP="003C7391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val="en-US"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Приложение 2.</w:t>
          </w:r>
          <w:r w:rsidR="003C7391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1</w:t>
          </w:r>
          <w:r w:rsidR="003C7391">
            <w:rPr>
              <w:rFonts w:ascii="Times New Roman" w:eastAsia="HG Mincho Light J" w:hAnsi="Times New Roman" w:cs="Times New Roman"/>
              <w:b/>
              <w:color w:val="000000"/>
              <w:szCs w:val="22"/>
              <w:lang w:val="en-US" w:eastAsia="en-US"/>
            </w:rPr>
            <w:t>3</w:t>
          </w:r>
        </w:p>
      </w:tc>
      <w:tc>
        <w:tcPr>
          <w:tcW w:w="3971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69174688" w14:textId="77777777" w:rsidR="00A7585B" w:rsidRPr="00A7585B" w:rsidRDefault="00A7585B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hAnsi="Times New Roman" w:cs="Times New Roman"/>
              <w:b/>
              <w:lang w:eastAsia="de-DE"/>
            </w:rPr>
          </w:pPr>
          <w:r>
            <w:rPr>
              <w:rFonts w:ascii="Times New Roman" w:hAnsi="Times New Roman" w:cs="Times New Roman"/>
              <w:b/>
              <w:lang w:eastAsia="de-DE"/>
            </w:rPr>
            <w:t>Политика за борба с измамите</w:t>
          </w:r>
        </w:p>
      </w:tc>
      <w:tc>
        <w:tcPr>
          <w:tcW w:w="1560" w:type="dxa"/>
          <w:tcBorders>
            <w:top w:val="nil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14:paraId="3CF9B17D" w14:textId="486EC827" w:rsidR="00A7585B" w:rsidRPr="00A7585B" w:rsidRDefault="00A7585B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A7585B">
            <w:rPr>
              <w:rFonts w:ascii="Times New Roman" w:eastAsia="Times New Roman" w:hAnsi="Times New Roman" w:cs="Times New Roman"/>
              <w:b/>
              <w:szCs w:val="24"/>
            </w:rPr>
            <w:t xml:space="preserve">страница: </w: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begin"/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instrText xml:space="preserve"> PAGE </w:instrTex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separate"/>
          </w:r>
          <w:r w:rsidR="009964A5">
            <w:rPr>
              <w:rFonts w:ascii="Times New Roman" w:eastAsia="Times New Roman" w:hAnsi="Times New Roman" w:cs="Times New Roman"/>
              <w:b/>
              <w:noProof/>
              <w:lang w:val="pl-PL" w:eastAsia="pl-PL"/>
            </w:rPr>
            <w:t>1</w: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end"/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t>/</w: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begin"/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instrText xml:space="preserve"> NUMPAGES </w:instrTex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separate"/>
          </w:r>
          <w:r w:rsidR="009964A5">
            <w:rPr>
              <w:rFonts w:ascii="Times New Roman" w:eastAsia="Times New Roman" w:hAnsi="Times New Roman" w:cs="Times New Roman"/>
              <w:b/>
              <w:noProof/>
              <w:lang w:val="pl-PL" w:eastAsia="pl-PL"/>
            </w:rPr>
            <w:t>4</w:t>
          </w:r>
          <w:r w:rsidRPr="00A7585B">
            <w:rPr>
              <w:rFonts w:ascii="Times New Roman" w:eastAsia="Times New Roman" w:hAnsi="Times New Roman" w:cs="Times New Roman"/>
              <w:b/>
              <w:lang w:val="pl-PL" w:eastAsia="pl-PL"/>
            </w:rPr>
            <w:fldChar w:fldCharType="end"/>
          </w:r>
        </w:p>
      </w:tc>
    </w:tr>
    <w:tr w:rsidR="00517DF4" w:rsidRPr="00A7585B" w14:paraId="51C0D869" w14:textId="77777777" w:rsidTr="00815A94">
      <w:trPr>
        <w:trHeight w:val="1100"/>
        <w:jc w:val="center"/>
      </w:trPr>
      <w:tc>
        <w:tcPr>
          <w:tcW w:w="2697" w:type="dxa"/>
          <w:vMerge/>
          <w:tcBorders>
            <w:left w:val="single" w:sz="2" w:space="0" w:color="000000"/>
            <w:bottom w:val="single" w:sz="4" w:space="0" w:color="auto"/>
            <w:right w:val="nil"/>
          </w:tcBorders>
          <w:vAlign w:val="center"/>
          <w:hideMark/>
        </w:tcPr>
        <w:p w14:paraId="6B10724F" w14:textId="77777777" w:rsidR="00517DF4" w:rsidRPr="00A7585B" w:rsidRDefault="00517DF4" w:rsidP="00A7585B">
          <w:pPr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</w:p>
      </w:tc>
      <w:tc>
        <w:tcPr>
          <w:tcW w:w="5673" w:type="dxa"/>
          <w:gridSpan w:val="2"/>
          <w:tcBorders>
            <w:top w:val="nil"/>
            <w:left w:val="single" w:sz="2" w:space="0" w:color="000000"/>
            <w:bottom w:val="single" w:sz="4" w:space="0" w:color="auto"/>
            <w:right w:val="nil"/>
          </w:tcBorders>
          <w:vAlign w:val="center"/>
          <w:hideMark/>
        </w:tcPr>
        <w:p w14:paraId="70FE3822" w14:textId="77777777" w:rsidR="00517DF4" w:rsidRPr="00A7585B" w:rsidRDefault="00517DF4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Одобрен от: Ръководител на Управляващия орган</w:t>
          </w:r>
        </w:p>
      </w:tc>
      <w:tc>
        <w:tcPr>
          <w:tcW w:w="1560" w:type="dxa"/>
          <w:tcBorders>
            <w:top w:val="nil"/>
            <w:left w:val="single" w:sz="2" w:space="0" w:color="000000"/>
            <w:bottom w:val="single" w:sz="4" w:space="0" w:color="auto"/>
            <w:right w:val="single" w:sz="2" w:space="0" w:color="000000"/>
          </w:tcBorders>
          <w:vAlign w:val="center"/>
          <w:hideMark/>
        </w:tcPr>
        <w:p w14:paraId="63BC5EDE" w14:textId="77777777" w:rsidR="00517DF4" w:rsidRPr="00A7585B" w:rsidRDefault="00517DF4" w:rsidP="00A7585B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</w:pPr>
          <w:r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Дата:</w:t>
          </w:r>
        </w:p>
        <w:p w14:paraId="4C9067DA" w14:textId="31DD5BA0" w:rsidR="0074195E" w:rsidRPr="00B93844" w:rsidRDefault="009964A5" w:rsidP="0074195E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</w:pPr>
          <w:r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ноември</w:t>
          </w:r>
          <w:r w:rsidR="00A774C8" w:rsidRPr="00B93844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 </w:t>
          </w:r>
        </w:p>
        <w:p w14:paraId="5AED040A" w14:textId="77777777" w:rsidR="00517DF4" w:rsidRPr="00A7585B" w:rsidRDefault="00F860B6" w:rsidP="00F860B6">
          <w:pPr>
            <w:widowControl w:val="0"/>
            <w:suppressLineNumbers/>
            <w:suppressAutoHyphens/>
            <w:spacing w:line="276" w:lineRule="auto"/>
            <w:jc w:val="center"/>
            <w:rPr>
              <w:rFonts w:ascii="Times New Roman" w:eastAsia="HG Mincho Light J" w:hAnsi="Times New Roman" w:cs="Times New Roman"/>
              <w:b/>
              <w:color w:val="000000"/>
              <w:szCs w:val="24"/>
              <w:lang w:eastAsia="en-US"/>
            </w:rPr>
          </w:pPr>
          <w:r w:rsidRPr="00285EE5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202</w:t>
          </w:r>
          <w:r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2</w:t>
          </w:r>
          <w:r w:rsidRPr="00285EE5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 xml:space="preserve"> </w:t>
          </w:r>
          <w:r>
            <w:rPr>
              <w:rFonts w:ascii="Times New Roman" w:eastAsia="HG Mincho Light J" w:hAnsi="Times New Roman" w:cs="Times New Roman"/>
              <w:b/>
              <w:color w:val="000000"/>
              <w:szCs w:val="22"/>
              <w:lang w:val="en-US" w:eastAsia="en-US"/>
            </w:rPr>
            <w:t xml:space="preserve"> </w:t>
          </w:r>
          <w:r w:rsidR="00517DF4" w:rsidRPr="00A7585B">
            <w:rPr>
              <w:rFonts w:ascii="Times New Roman" w:eastAsia="HG Mincho Light J" w:hAnsi="Times New Roman" w:cs="Times New Roman"/>
              <w:b/>
              <w:color w:val="000000"/>
              <w:szCs w:val="22"/>
              <w:lang w:eastAsia="en-US"/>
            </w:rPr>
            <w:t>г.</w:t>
          </w:r>
        </w:p>
      </w:tc>
    </w:tr>
  </w:tbl>
  <w:p w14:paraId="6E3B19BF" w14:textId="77777777" w:rsidR="00F10098" w:rsidRDefault="00F10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0E204F44">
      <w:start w:val="1"/>
      <w:numFmt w:val="bullet"/>
      <w:lvlText w:val="•"/>
      <w:lvlJc w:val="left"/>
    </w:lvl>
    <w:lvl w:ilvl="1" w:tplc="544C3FF2">
      <w:start w:val="1"/>
      <w:numFmt w:val="bullet"/>
      <w:lvlText w:val=""/>
      <w:lvlJc w:val="left"/>
    </w:lvl>
    <w:lvl w:ilvl="2" w:tplc="B85C3726">
      <w:start w:val="1"/>
      <w:numFmt w:val="bullet"/>
      <w:lvlText w:val=""/>
      <w:lvlJc w:val="left"/>
    </w:lvl>
    <w:lvl w:ilvl="3" w:tplc="1C66EF2E">
      <w:start w:val="1"/>
      <w:numFmt w:val="bullet"/>
      <w:lvlText w:val=""/>
      <w:lvlJc w:val="left"/>
    </w:lvl>
    <w:lvl w:ilvl="4" w:tplc="7C5AF1D0">
      <w:start w:val="1"/>
      <w:numFmt w:val="bullet"/>
      <w:lvlText w:val=""/>
      <w:lvlJc w:val="left"/>
    </w:lvl>
    <w:lvl w:ilvl="5" w:tplc="793A156E">
      <w:start w:val="1"/>
      <w:numFmt w:val="bullet"/>
      <w:lvlText w:val=""/>
      <w:lvlJc w:val="left"/>
    </w:lvl>
    <w:lvl w:ilvl="6" w:tplc="88908600">
      <w:start w:val="1"/>
      <w:numFmt w:val="bullet"/>
      <w:lvlText w:val=""/>
      <w:lvlJc w:val="left"/>
    </w:lvl>
    <w:lvl w:ilvl="7" w:tplc="435A2086">
      <w:start w:val="1"/>
      <w:numFmt w:val="bullet"/>
      <w:lvlText w:val=""/>
      <w:lvlJc w:val="left"/>
    </w:lvl>
    <w:lvl w:ilvl="8" w:tplc="1C02DBB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9B9AF80C">
      <w:start w:val="1"/>
      <w:numFmt w:val="bullet"/>
      <w:lvlText w:val="•"/>
      <w:lvlJc w:val="left"/>
    </w:lvl>
    <w:lvl w:ilvl="1" w:tplc="790E74A8">
      <w:start w:val="15"/>
      <w:numFmt w:val="lowerLetter"/>
      <w:lvlText w:val="%2"/>
      <w:lvlJc w:val="left"/>
    </w:lvl>
    <w:lvl w:ilvl="2" w:tplc="D762859E">
      <w:start w:val="1"/>
      <w:numFmt w:val="bullet"/>
      <w:lvlText w:val=""/>
      <w:lvlJc w:val="left"/>
    </w:lvl>
    <w:lvl w:ilvl="3" w:tplc="73B66FEE">
      <w:start w:val="1"/>
      <w:numFmt w:val="bullet"/>
      <w:lvlText w:val=""/>
      <w:lvlJc w:val="left"/>
    </w:lvl>
    <w:lvl w:ilvl="4" w:tplc="732609E8">
      <w:start w:val="1"/>
      <w:numFmt w:val="bullet"/>
      <w:lvlText w:val=""/>
      <w:lvlJc w:val="left"/>
    </w:lvl>
    <w:lvl w:ilvl="5" w:tplc="744E3C9A">
      <w:start w:val="1"/>
      <w:numFmt w:val="bullet"/>
      <w:lvlText w:val=""/>
      <w:lvlJc w:val="left"/>
    </w:lvl>
    <w:lvl w:ilvl="6" w:tplc="304AF8F0">
      <w:start w:val="1"/>
      <w:numFmt w:val="bullet"/>
      <w:lvlText w:val=""/>
      <w:lvlJc w:val="left"/>
    </w:lvl>
    <w:lvl w:ilvl="7" w:tplc="9D30E17E">
      <w:start w:val="1"/>
      <w:numFmt w:val="bullet"/>
      <w:lvlText w:val=""/>
      <w:lvlJc w:val="left"/>
    </w:lvl>
    <w:lvl w:ilvl="8" w:tplc="2D0223F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134492A6">
      <w:start w:val="15"/>
      <w:numFmt w:val="lowerLetter"/>
      <w:lvlText w:val="%1"/>
      <w:lvlJc w:val="left"/>
    </w:lvl>
    <w:lvl w:ilvl="1" w:tplc="6A7EEE4A">
      <w:start w:val="1"/>
      <w:numFmt w:val="bullet"/>
      <w:lvlText w:val=""/>
      <w:lvlJc w:val="left"/>
    </w:lvl>
    <w:lvl w:ilvl="2" w:tplc="50EE106C">
      <w:start w:val="1"/>
      <w:numFmt w:val="bullet"/>
      <w:lvlText w:val=""/>
      <w:lvlJc w:val="left"/>
    </w:lvl>
    <w:lvl w:ilvl="3" w:tplc="71C03A52">
      <w:start w:val="1"/>
      <w:numFmt w:val="bullet"/>
      <w:lvlText w:val=""/>
      <w:lvlJc w:val="left"/>
    </w:lvl>
    <w:lvl w:ilvl="4" w:tplc="DED8B790">
      <w:start w:val="1"/>
      <w:numFmt w:val="bullet"/>
      <w:lvlText w:val=""/>
      <w:lvlJc w:val="left"/>
    </w:lvl>
    <w:lvl w:ilvl="5" w:tplc="9B80FE96">
      <w:start w:val="1"/>
      <w:numFmt w:val="bullet"/>
      <w:lvlText w:val=""/>
      <w:lvlJc w:val="left"/>
    </w:lvl>
    <w:lvl w:ilvl="6" w:tplc="5164F338">
      <w:start w:val="1"/>
      <w:numFmt w:val="bullet"/>
      <w:lvlText w:val=""/>
      <w:lvlJc w:val="left"/>
    </w:lvl>
    <w:lvl w:ilvl="7" w:tplc="2B247FA0">
      <w:start w:val="1"/>
      <w:numFmt w:val="bullet"/>
      <w:lvlText w:val=""/>
      <w:lvlJc w:val="left"/>
    </w:lvl>
    <w:lvl w:ilvl="8" w:tplc="8228C98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22605CE">
      <w:start w:val="1"/>
      <w:numFmt w:val="bullet"/>
      <w:lvlText w:val="•"/>
      <w:lvlJc w:val="left"/>
    </w:lvl>
    <w:lvl w:ilvl="1" w:tplc="FFD4297C">
      <w:start w:val="1"/>
      <w:numFmt w:val="bullet"/>
      <w:lvlText w:val=""/>
      <w:lvlJc w:val="left"/>
    </w:lvl>
    <w:lvl w:ilvl="2" w:tplc="CF28B268">
      <w:start w:val="1"/>
      <w:numFmt w:val="bullet"/>
      <w:lvlText w:val=""/>
      <w:lvlJc w:val="left"/>
    </w:lvl>
    <w:lvl w:ilvl="3" w:tplc="ABFEA066">
      <w:start w:val="1"/>
      <w:numFmt w:val="bullet"/>
      <w:lvlText w:val=""/>
      <w:lvlJc w:val="left"/>
    </w:lvl>
    <w:lvl w:ilvl="4" w:tplc="EF0C4C10">
      <w:start w:val="1"/>
      <w:numFmt w:val="bullet"/>
      <w:lvlText w:val=""/>
      <w:lvlJc w:val="left"/>
    </w:lvl>
    <w:lvl w:ilvl="5" w:tplc="6B10A172">
      <w:start w:val="1"/>
      <w:numFmt w:val="bullet"/>
      <w:lvlText w:val=""/>
      <w:lvlJc w:val="left"/>
    </w:lvl>
    <w:lvl w:ilvl="6" w:tplc="211A22FE">
      <w:start w:val="1"/>
      <w:numFmt w:val="bullet"/>
      <w:lvlText w:val=""/>
      <w:lvlJc w:val="left"/>
    </w:lvl>
    <w:lvl w:ilvl="7" w:tplc="CBDE7B3E">
      <w:start w:val="1"/>
      <w:numFmt w:val="bullet"/>
      <w:lvlText w:val=""/>
      <w:lvlJc w:val="left"/>
    </w:lvl>
    <w:lvl w:ilvl="8" w:tplc="57CA7B6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68"/>
    <w:rsid w:val="000D627F"/>
    <w:rsid w:val="000E145F"/>
    <w:rsid w:val="000F30EF"/>
    <w:rsid w:val="00142F39"/>
    <w:rsid w:val="00171136"/>
    <w:rsid w:val="00197CD1"/>
    <w:rsid w:val="001A2A00"/>
    <w:rsid w:val="001A68D4"/>
    <w:rsid w:val="001C1300"/>
    <w:rsid w:val="001F0596"/>
    <w:rsid w:val="002203D6"/>
    <w:rsid w:val="0022528B"/>
    <w:rsid w:val="00285EE5"/>
    <w:rsid w:val="002C08F0"/>
    <w:rsid w:val="00305FBF"/>
    <w:rsid w:val="0037691C"/>
    <w:rsid w:val="003924D9"/>
    <w:rsid w:val="003A433E"/>
    <w:rsid w:val="003C7391"/>
    <w:rsid w:val="003E26D4"/>
    <w:rsid w:val="003F0B52"/>
    <w:rsid w:val="003F1193"/>
    <w:rsid w:val="00452BDB"/>
    <w:rsid w:val="00470F16"/>
    <w:rsid w:val="00476AA8"/>
    <w:rsid w:val="00485BAC"/>
    <w:rsid w:val="004965CB"/>
    <w:rsid w:val="004B7B91"/>
    <w:rsid w:val="004C5B18"/>
    <w:rsid w:val="004F4A51"/>
    <w:rsid w:val="004F5E5F"/>
    <w:rsid w:val="00517DF4"/>
    <w:rsid w:val="005341AF"/>
    <w:rsid w:val="00553E57"/>
    <w:rsid w:val="00556257"/>
    <w:rsid w:val="00570A2E"/>
    <w:rsid w:val="005823CF"/>
    <w:rsid w:val="005873C2"/>
    <w:rsid w:val="005B39F6"/>
    <w:rsid w:val="005D27CF"/>
    <w:rsid w:val="005E1710"/>
    <w:rsid w:val="005E6679"/>
    <w:rsid w:val="00606464"/>
    <w:rsid w:val="0061231C"/>
    <w:rsid w:val="00620D15"/>
    <w:rsid w:val="00635EC7"/>
    <w:rsid w:val="00657356"/>
    <w:rsid w:val="006B525A"/>
    <w:rsid w:val="006B5949"/>
    <w:rsid w:val="006F0518"/>
    <w:rsid w:val="00722D76"/>
    <w:rsid w:val="0073689D"/>
    <w:rsid w:val="0074195E"/>
    <w:rsid w:val="00797352"/>
    <w:rsid w:val="007A3A34"/>
    <w:rsid w:val="007B7434"/>
    <w:rsid w:val="007C0A38"/>
    <w:rsid w:val="007C37A0"/>
    <w:rsid w:val="00815A94"/>
    <w:rsid w:val="00826DE4"/>
    <w:rsid w:val="00851D46"/>
    <w:rsid w:val="008560AB"/>
    <w:rsid w:val="00864C58"/>
    <w:rsid w:val="00881C5C"/>
    <w:rsid w:val="008A4ABD"/>
    <w:rsid w:val="008C62E9"/>
    <w:rsid w:val="008D3027"/>
    <w:rsid w:val="008E05FF"/>
    <w:rsid w:val="009964A5"/>
    <w:rsid w:val="009A1854"/>
    <w:rsid w:val="009F257F"/>
    <w:rsid w:val="00A37A12"/>
    <w:rsid w:val="00A52683"/>
    <w:rsid w:val="00A64C3A"/>
    <w:rsid w:val="00A7585B"/>
    <w:rsid w:val="00A774C8"/>
    <w:rsid w:val="00A868D0"/>
    <w:rsid w:val="00A976D4"/>
    <w:rsid w:val="00AB7DFF"/>
    <w:rsid w:val="00B20BF6"/>
    <w:rsid w:val="00B36371"/>
    <w:rsid w:val="00B64FE9"/>
    <w:rsid w:val="00B71518"/>
    <w:rsid w:val="00B93844"/>
    <w:rsid w:val="00BD750C"/>
    <w:rsid w:val="00C61532"/>
    <w:rsid w:val="00CD13C0"/>
    <w:rsid w:val="00CE3C4B"/>
    <w:rsid w:val="00D20E93"/>
    <w:rsid w:val="00D47DAC"/>
    <w:rsid w:val="00D819E4"/>
    <w:rsid w:val="00DA26DC"/>
    <w:rsid w:val="00DC1B6A"/>
    <w:rsid w:val="00DD125A"/>
    <w:rsid w:val="00DF0386"/>
    <w:rsid w:val="00E05CDB"/>
    <w:rsid w:val="00E55CE5"/>
    <w:rsid w:val="00E621AF"/>
    <w:rsid w:val="00E63A68"/>
    <w:rsid w:val="00EC6935"/>
    <w:rsid w:val="00EE4E49"/>
    <w:rsid w:val="00EF22AE"/>
    <w:rsid w:val="00F10098"/>
    <w:rsid w:val="00F66114"/>
    <w:rsid w:val="00F860B6"/>
    <w:rsid w:val="00F9678C"/>
    <w:rsid w:val="00FD28DF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B422CCC"/>
  <w15:docId w15:val="{FBD14784-3818-46D6-9D4F-3D18715B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5C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D7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5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5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50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75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00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098"/>
  </w:style>
  <w:style w:type="paragraph" w:styleId="Footer">
    <w:name w:val="footer"/>
    <w:basedOn w:val="Normal"/>
    <w:link w:val="FooterChar"/>
    <w:uiPriority w:val="99"/>
    <w:unhideWhenUsed/>
    <w:rsid w:val="00F100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Mishurova</cp:lastModifiedBy>
  <cp:revision>25</cp:revision>
  <dcterms:created xsi:type="dcterms:W3CDTF">2020-01-28T08:06:00Z</dcterms:created>
  <dcterms:modified xsi:type="dcterms:W3CDTF">2022-11-11T10:58:00Z</dcterms:modified>
</cp:coreProperties>
</file>