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717CB5"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14:paraId="7FE6ED7C" w14:textId="6818195B" w:rsidR="00402ACA" w:rsidRPr="00724D75" w:rsidRDefault="00402ACA" w:rsidP="00402ACA">
      <w:pPr>
        <w:tabs>
          <w:tab w:val="center" w:pos="4536"/>
          <w:tab w:val="right" w:pos="9072"/>
        </w:tabs>
        <w:spacing w:after="0" w:line="240" w:lineRule="auto"/>
        <w:jc w:val="right"/>
        <w:rPr>
          <w:rFonts w:ascii="Times New Roman" w:eastAsia="Calibri" w:hAnsi="Times New Roman"/>
          <w:b/>
          <w:i/>
          <w:sz w:val="24"/>
          <w:szCs w:val="24"/>
          <w:lang w:val="en-US"/>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941E28">
        <w:rPr>
          <w:rFonts w:ascii="Times New Roman" w:eastAsia="Calibri" w:hAnsi="Times New Roman"/>
          <w:b/>
          <w:i/>
          <w:sz w:val="24"/>
          <w:szCs w:val="24"/>
          <w:lang w:val="en-US"/>
        </w:rPr>
        <w:t>4</w:t>
      </w:r>
      <w:bookmarkStart w:id="0" w:name="_GoBack"/>
      <w:bookmarkEnd w:id="0"/>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32D3B44C"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xml:space="preserve">, включително тези, предвидени по </w:t>
      </w:r>
      <w:r w:rsidR="00073A91" w:rsidRPr="00073A91">
        <w:rPr>
          <w:rFonts w:ascii="Times New Roman" w:hAnsi="Times New Roman"/>
          <w:sz w:val="24"/>
          <w:szCs w:val="24"/>
        </w:rPr>
        <w:t>Програма за ускоряване на икономическото възстановяване и трансформация чрез научни изследвания и иновации (C2.I1)</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77777777"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77777777"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Pr>
          <w:rFonts w:ascii="Times New Roman" w:hAnsi="Times New Roman"/>
          <w:sz w:val="24"/>
          <w:szCs w:val="24"/>
        </w:rPr>
        <w:t>ВУ</w:t>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Pr>
          <w:rFonts w:ascii="Times New Roman" w:hAnsi="Times New Roman"/>
          <w:sz w:val="24"/>
          <w:szCs w:val="24"/>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739FAF6E"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8652E5" w:rsidRPr="008652E5">
        <w:rPr>
          <w:rFonts w:ascii="Times New Roman" w:hAnsi="Times New Roman"/>
          <w:sz w:val="24"/>
          <w:szCs w:val="24"/>
        </w:rPr>
        <w:t>BG-RRP-</w:t>
      </w:r>
      <w:r w:rsidR="00887C04">
        <w:rPr>
          <w:rFonts w:ascii="Times New Roman" w:hAnsi="Times New Roman"/>
          <w:sz w:val="24"/>
          <w:szCs w:val="24"/>
        </w:rPr>
        <w:t>2.006</w:t>
      </w:r>
      <w:r w:rsidR="008652E5" w:rsidRPr="008652E5">
        <w:rPr>
          <w:rFonts w:ascii="Times New Roman" w:hAnsi="Times New Roman"/>
          <w:sz w:val="24"/>
          <w:szCs w:val="24"/>
        </w:rPr>
        <w:t xml:space="preserve"> </w:t>
      </w:r>
      <w:r w:rsidR="00C161DD" w:rsidRPr="005C1CE9">
        <w:rPr>
          <w:rFonts w:ascii="Times New Roman" w:hAnsi="Times New Roman"/>
          <w:sz w:val="24"/>
          <w:szCs w:val="24"/>
        </w:rPr>
        <w:t>„</w:t>
      </w:r>
      <w:r w:rsidR="005C1CE9" w:rsidRPr="005C1CE9">
        <w:rPr>
          <w:rFonts w:ascii="Times New Roman" w:hAnsi="Times New Roman"/>
          <w:bCs/>
          <w:sz w:val="24"/>
          <w:szCs w:val="24"/>
        </w:rPr>
        <w:t xml:space="preserve">Подкрепа за иновативни МСП, отличени с </w:t>
      </w:r>
      <w:r w:rsidR="00887C04">
        <w:rPr>
          <w:rFonts w:ascii="Times New Roman" w:hAnsi="Times New Roman"/>
          <w:bCs/>
          <w:sz w:val="24"/>
          <w:szCs w:val="24"/>
        </w:rPr>
        <w:t>П</w:t>
      </w:r>
      <w:r w:rsidR="005C1CE9" w:rsidRPr="005C1CE9">
        <w:rPr>
          <w:rFonts w:ascii="Times New Roman" w:hAnsi="Times New Roman"/>
          <w:bCs/>
          <w:sz w:val="24"/>
          <w:szCs w:val="24"/>
        </w:rPr>
        <w:t>ечат за високи постижения“</w:t>
      </w:r>
      <w:r w:rsidR="00C161DD" w:rsidRPr="005C1CE9">
        <w:rPr>
          <w:rFonts w:ascii="Times New Roman" w:hAnsi="Times New Roman"/>
          <w:sz w:val="24"/>
          <w:szCs w:val="24"/>
        </w:rPr>
        <w:t xml:space="preserve"> с </w:t>
      </w:r>
      <w:r w:rsidRPr="005C1CE9">
        <w:rPr>
          <w:rFonts w:ascii="Times New Roman" w:hAnsi="Times New Roman"/>
          <w:sz w:val="24"/>
          <w:szCs w:val="24"/>
        </w:rPr>
        <w:t>Известие</w:t>
      </w:r>
      <w:r w:rsidRPr="00EF6A85">
        <w:rPr>
          <w:rFonts w:ascii="Times New Roman" w:hAnsi="Times New Roman"/>
          <w:sz w:val="24"/>
          <w:szCs w:val="24"/>
        </w:rPr>
        <w:t xml:space="preserve">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lastRenderedPageBreak/>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2AF1A083"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705D9F42" w14:textId="5BE8543D"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5B62A932"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Технически насоки за прилагането на принципа за „ненанасяне на значителни вреди“ съгласно Регламента за Механизма за възстановяване и устойчивост (2021/C58/01)</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DB154" w14:textId="77777777" w:rsidR="00884973" w:rsidRDefault="00884973" w:rsidP="00402ACA">
      <w:pPr>
        <w:spacing w:after="0" w:line="240" w:lineRule="auto"/>
      </w:pPr>
      <w:r>
        <w:separator/>
      </w:r>
    </w:p>
  </w:endnote>
  <w:endnote w:type="continuationSeparator" w:id="0">
    <w:p w14:paraId="058F7F1A" w14:textId="77777777" w:rsidR="00884973" w:rsidRDefault="0088497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7B2E" w14:textId="77777777" w:rsidR="008B1316" w:rsidRDefault="008B1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36ED0" w14:textId="77777777"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1B9E"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B4B46" w14:textId="77777777" w:rsidR="00884973" w:rsidRDefault="00884973" w:rsidP="00402ACA">
      <w:pPr>
        <w:spacing w:after="0" w:line="240" w:lineRule="auto"/>
      </w:pPr>
      <w:r>
        <w:separator/>
      </w:r>
    </w:p>
  </w:footnote>
  <w:footnote w:type="continuationSeparator" w:id="0">
    <w:p w14:paraId="0E674042" w14:textId="77777777" w:rsidR="00884973" w:rsidRDefault="00884973"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0FEC0" w14:textId="6D15F4DB" w:rsidR="008B1316" w:rsidRDefault="008B1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E239" w14:textId="7E5F5E61" w:rsidR="00402ACA" w:rsidRDefault="00402ACA" w:rsidP="00402ACA">
    <w:pPr>
      <w:pStyle w:val="Header"/>
      <w:jc w:val="center"/>
    </w:pPr>
    <w:r>
      <w:rPr>
        <w:noProof/>
        <w:lang w:eastAsia="bg-BG"/>
      </w:rPr>
      <w:drawing>
        <wp:inline distT="0" distB="0" distL="0" distR="0" wp14:anchorId="731CA441" wp14:editId="2CD6503E">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3F09B" w14:textId="5B2D1F48" w:rsidR="008B1316" w:rsidRDefault="008B1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73A91"/>
    <w:rsid w:val="000B6072"/>
    <w:rsid w:val="000C72E1"/>
    <w:rsid w:val="000D19A2"/>
    <w:rsid w:val="00112ACA"/>
    <w:rsid w:val="002262CD"/>
    <w:rsid w:val="002D0FE8"/>
    <w:rsid w:val="00305583"/>
    <w:rsid w:val="0035732F"/>
    <w:rsid w:val="003816E5"/>
    <w:rsid w:val="003A35BB"/>
    <w:rsid w:val="003C31CA"/>
    <w:rsid w:val="003D1FDC"/>
    <w:rsid w:val="003E07BC"/>
    <w:rsid w:val="003E2AA6"/>
    <w:rsid w:val="003E659F"/>
    <w:rsid w:val="003F11B3"/>
    <w:rsid w:val="003F127D"/>
    <w:rsid w:val="00402ACA"/>
    <w:rsid w:val="0040728E"/>
    <w:rsid w:val="00454C6D"/>
    <w:rsid w:val="004A74F5"/>
    <w:rsid w:val="00535477"/>
    <w:rsid w:val="005C1CE9"/>
    <w:rsid w:val="005C6AC1"/>
    <w:rsid w:val="00622EF3"/>
    <w:rsid w:val="00645185"/>
    <w:rsid w:val="006564B8"/>
    <w:rsid w:val="00691015"/>
    <w:rsid w:val="006E063B"/>
    <w:rsid w:val="006E3C15"/>
    <w:rsid w:val="00705B73"/>
    <w:rsid w:val="00707B43"/>
    <w:rsid w:val="00717CB5"/>
    <w:rsid w:val="00724D75"/>
    <w:rsid w:val="00734A59"/>
    <w:rsid w:val="00791E18"/>
    <w:rsid w:val="007A32AE"/>
    <w:rsid w:val="007B4621"/>
    <w:rsid w:val="007D6027"/>
    <w:rsid w:val="007F019E"/>
    <w:rsid w:val="008652E5"/>
    <w:rsid w:val="00884973"/>
    <w:rsid w:val="00887C04"/>
    <w:rsid w:val="008B1316"/>
    <w:rsid w:val="00927FB8"/>
    <w:rsid w:val="00941E28"/>
    <w:rsid w:val="00971248"/>
    <w:rsid w:val="009A0149"/>
    <w:rsid w:val="009B2846"/>
    <w:rsid w:val="009D36F5"/>
    <w:rsid w:val="00A049DA"/>
    <w:rsid w:val="00A721A0"/>
    <w:rsid w:val="00A94C80"/>
    <w:rsid w:val="00A95615"/>
    <w:rsid w:val="00AA22E0"/>
    <w:rsid w:val="00AD22F2"/>
    <w:rsid w:val="00B035FE"/>
    <w:rsid w:val="00B175A1"/>
    <w:rsid w:val="00B9758F"/>
    <w:rsid w:val="00BC1543"/>
    <w:rsid w:val="00C161DD"/>
    <w:rsid w:val="00C47C4D"/>
    <w:rsid w:val="00CA50C2"/>
    <w:rsid w:val="00D551E4"/>
    <w:rsid w:val="00D667CE"/>
    <w:rsid w:val="00DE6316"/>
    <w:rsid w:val="00E34981"/>
    <w:rsid w:val="00E44CEF"/>
    <w:rsid w:val="00EF6A85"/>
    <w:rsid w:val="00F531A1"/>
    <w:rsid w:val="00F53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8983A"/>
  <w15:chartTrackingRefBased/>
  <w15:docId w15:val="{FE3746BF-EDA7-4498-9663-E5E9BDC0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AnitsaRuseva</cp:lastModifiedBy>
  <cp:revision>2</cp:revision>
  <dcterms:created xsi:type="dcterms:W3CDTF">2022-11-17T13:04:00Z</dcterms:created>
  <dcterms:modified xsi:type="dcterms:W3CDTF">2022-11-17T13:04:00Z</dcterms:modified>
</cp:coreProperties>
</file>