
<file path=[Content_Types].xml><?xml version="1.0" encoding="utf-8"?>
<Types xmlns="http://schemas.openxmlformats.org/package/2006/content-types">
  <Default Extension="doc" ContentType="application/msword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rPr>
          <w:b/>
        </w:rPr>
      </w:pP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-403859</wp:posOffset>
                </wp:positionH>
                <wp:positionV relativeFrom="paragraph">
                  <wp:posOffset>-36194</wp:posOffset>
                </wp:positionV>
                <wp:extent cx="2743200" cy="168973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4320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3"/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  <w:r>
                              <w:rPr>
                                <w:rFonts w:ascii="TimokU" w:hAnsi="TimokU"/>
                                <w:b/>
                                <w:caps/>
                              </w:rPr>
                            </w:r>
                            <w:r>
                              <w:rPr>
                                <w:b/>
                                <w:caps/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612"/>
                              <w:jc w:val="center"/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 xml:space="preserve">Република българия</w:t>
                            </w:r>
                            <w:r/>
                          </w:p>
                          <w:p>
                            <w:pPr>
                              <w:pStyle w:val="603"/>
                              <w:jc w:val="center"/>
                              <w:rPr>
                                <w:b/>
                                <w:spacing w:val="40"/>
                                <w:sz w:val="22"/>
                                <w:szCs w:val="22"/>
                              </w:rPr>
                              <w:pBdr>
                                <w:bottom w:val="single" w:color="000000" w:sz="6" w:space="1"/>
                              </w:pBdr>
                            </w:pPr>
                            <w:r>
                              <w:rPr>
                                <w:b/>
                                <w:spacing w:val="40"/>
                                <w:sz w:val="22"/>
                                <w:szCs w:val="22"/>
                              </w:rPr>
                              <w:t xml:space="preserve">МИНИСТЕРСТВО НА</w:t>
                            </w:r>
                            <w:r/>
                          </w:p>
                          <w:p>
                            <w:pPr>
                              <w:pStyle w:val="606"/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40"/>
                                <w:sz w:val="22"/>
                                <w:szCs w:val="22"/>
                              </w:rPr>
                              <w:t xml:space="preserve">ИНОВАЦИИТЕ И РАСТЕЖА</w:t>
                            </w:r>
                            <w:r/>
                          </w:p>
                          <w:p>
                            <w:pPr>
                              <w:pStyle w:val="60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60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1;o:allowoverlap:true;o:allowincell:false;mso-position-horizontal-relative:text;margin-left:-31.8pt;mso-position-horizontal:absolute;mso-position-vertical-relative:text;margin-top:-2.8pt;mso-position-vertical:absolute;width:216.0pt;height:133.0pt;" coordsize="100000,100000" path="" fillcolor="#FFFFFF" stroked="f">
                <v:path textboxrect="0,0,0,0"/>
                <v:textbox>
                  <w:txbxContent>
                    <w:p>
                      <w:pPr>
                        <w:pStyle w:val="603"/>
                        <w:jc w:val="center"/>
                        <w:rPr>
                          <w:b/>
                          <w:caps/>
                          <w:sz w:val="22"/>
                        </w:rPr>
                      </w:pPr>
                      <w:r>
                        <w:rPr>
                          <w:rFonts w:ascii="TimokU" w:hAnsi="TimokU"/>
                          <w:b/>
                          <w:caps/>
                        </w:rPr>
                      </w:r>
                      <w:r>
                        <w:rPr>
                          <w:b/>
                          <w:caps/>
                          <w:sz w:val="22"/>
                        </w:rPr>
                      </w:r>
                      <w:r/>
                    </w:p>
                    <w:p>
                      <w:pPr>
                        <w:pStyle w:val="612"/>
                        <w:jc w:val="center"/>
                        <w:rPr>
                          <w:rFonts w:ascii="Times New Roman" w:hAnsi="Times New Roman"/>
                          <w:spacing w:val="2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Република българия</w:t>
                      </w:r>
                      <w:r/>
                    </w:p>
                    <w:p>
                      <w:pPr>
                        <w:pStyle w:val="603"/>
                        <w:jc w:val="center"/>
                        <w:rPr>
                          <w:b/>
                          <w:spacing w:val="40"/>
                          <w:sz w:val="22"/>
                          <w:szCs w:val="22"/>
                        </w:rPr>
                        <w:pBdr>
                          <w:bottom w:val="single" w:color="000000" w:sz="6" w:space="1"/>
                        </w:pBdr>
                      </w:pPr>
                      <w:r>
                        <w:rPr>
                          <w:b/>
                          <w:spacing w:val="40"/>
                          <w:sz w:val="22"/>
                          <w:szCs w:val="22"/>
                        </w:rPr>
                        <w:t xml:space="preserve">МИНИСТЕРСТВО НА</w:t>
                      </w:r>
                      <w:r/>
                    </w:p>
                    <w:p>
                      <w:pPr>
                        <w:pStyle w:val="606"/>
                        <w:jc w:val="center"/>
                        <w:rPr>
                          <w:rFonts w:ascii="Times New Roman" w:hAnsi="Times New Roman"/>
                          <w:spacing w:val="4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40"/>
                          <w:sz w:val="22"/>
                          <w:szCs w:val="22"/>
                        </w:rPr>
                        <w:t xml:space="preserve">ИНОВАЦИИТЕ И РАСТЕЖА</w:t>
                      </w:r>
                      <w:r/>
                    </w:p>
                    <w:p>
                      <w:pPr>
                        <w:pStyle w:val="603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</w:r>
                      <w:r/>
                    </w:p>
                    <w:p>
                      <w:pPr>
                        <w:pStyle w:val="60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</w:rPr>
      </w:r>
      <w:r/>
    </w:p>
    <w:p>
      <w:pPr>
        <w:pStyle w:val="603"/>
        <w:rPr>
          <w:b/>
        </w:rPr>
      </w:pPr>
      <w:r>
        <w:rPr>
          <w:b/>
        </w:rPr>
      </w:r>
      <w:r/>
    </w:p>
    <w:p>
      <w:pPr>
        <w:pStyle w:val="603"/>
        <w:rPr>
          <w:b/>
          <w:caps/>
          <w:sz w:val="22"/>
        </w:rPr>
      </w:pPr>
      <w:r>
        <w:rPr>
          <w:rFonts w:ascii="TimokU" w:hAnsi="TimokU"/>
          <w:b/>
          <w:caps/>
        </w:rPr>
        <w:object w:dxaOrig="1307" w:dyaOrig="1123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mso-wrap-distance-left:0.0pt;mso-wrap-distance-top:0.0pt;mso-wrap-distance-right:0.0pt;mso-wrap-distance-bottom:0.0pt;width:65.3pt;height:56.1pt;" filled="f" stroked="f">
            <v:path textboxrect="0,0,0,0"/>
            <v:imagedata r:id="rId9" o:title=""/>
          </v:shape>
          <o:OLEObject DrawAspect="Content" r:id="rId10" ObjectID="_1525041" ProgID="Word.Picture.8" ShapeID="_x0000_i1" Type="Embed"/>
        </w:object>
      </w:r>
      <w:bookmarkStart w:id="0" w:name="_1147299980"/>
      <w:r/>
      <w:bookmarkEnd w:id="0"/>
      <w:r>
        <w:rPr>
          <w:b/>
          <w:caps/>
          <w:sz w:val="22"/>
        </w:rPr>
      </w:r>
      <w:r/>
    </w:p>
    <w:p>
      <w:pPr>
        <w:pStyle w:val="612"/>
        <w:rPr>
          <w:rFonts w:ascii="Times New Roman" w:hAnsi="Times New Roman"/>
          <w:spacing w:val="20"/>
          <w:sz w:val="20"/>
        </w:rPr>
      </w:pPr>
      <w:r>
        <w:rPr>
          <w:b w:val="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-403859</wp:posOffset>
                </wp:positionH>
                <wp:positionV relativeFrom="paragraph">
                  <wp:posOffset>109855</wp:posOffset>
                </wp:positionV>
                <wp:extent cx="2743200" cy="605155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432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3"/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  <w:r>
                              <w:rPr>
                                <w:b/>
                                <w:caps/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606"/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М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ИНИСТЕРСТВО НА ИНОВАЦИИТЕ И РАСТЕЖА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</w:r>
                            <w:r/>
                          </w:p>
                          <w:p>
                            <w:pPr>
                              <w:pStyle w:val="6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</w:r>
                            <w:r/>
                          </w:p>
                          <w:p>
                            <w:pPr>
                              <w:pStyle w:val="60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524288;o:allowoverlap:true;o:allowincell:false;mso-position-horizontal-relative:text;margin-left:-31.8pt;mso-position-horizontal:absolute;mso-position-vertical-relative:text;margin-top:8.7pt;mso-position-vertical:absolute;width:216.0pt;height:47.6pt;" coordsize="100000,100000" path="" fillcolor="#FFFFFF" stroked="f">
                <v:path textboxrect="0,0,0,0"/>
                <v:textbox>
                  <w:txbxContent>
                    <w:p>
                      <w:pPr>
                        <w:pStyle w:val="603"/>
                        <w:jc w:val="center"/>
                        <w:rPr>
                          <w:b/>
                          <w:caps/>
                          <w:sz w:val="22"/>
                        </w:rPr>
                      </w:pPr>
                      <w:r>
                        <w:rPr>
                          <w:b/>
                          <w:caps/>
                          <w:sz w:val="22"/>
                        </w:rPr>
                      </w:r>
                      <w:r/>
                    </w:p>
                    <w:p>
                      <w:pPr>
                        <w:pStyle w:val="606"/>
                        <w:jc w:val="center"/>
                        <w:rPr>
                          <w:rFonts w:ascii="Times New Roman" w:hAnsi="Times New Roman"/>
                          <w:spacing w:val="4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40"/>
                          <w:sz w:val="20"/>
                        </w:rPr>
                        <w:t xml:space="preserve">М</w:t>
                      </w:r>
                      <w:r>
                        <w:rPr>
                          <w:rFonts w:ascii="Times New Roman" w:hAnsi="Times New Roman"/>
                          <w:spacing w:val="40"/>
                          <w:sz w:val="20"/>
                        </w:rPr>
                        <w:t xml:space="preserve">ИНИСТЕРСТВО НА ИНОВАЦИИТЕ И РАСТЕЖА</w:t>
                      </w:r>
                      <w:r>
                        <w:rPr>
                          <w:rFonts w:ascii="Times New Roman" w:hAnsi="Times New Roman"/>
                          <w:spacing w:val="40"/>
                          <w:sz w:val="20"/>
                        </w:rPr>
                      </w:r>
                      <w:r/>
                    </w:p>
                    <w:p>
                      <w:pPr>
                        <w:pStyle w:val="6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</w:r>
                      <w:r/>
                    </w:p>
                    <w:p>
                      <w:pPr>
                        <w:pStyle w:val="60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pacing w:val="20"/>
          <w:sz w:val="20"/>
        </w:rPr>
        <w:t xml:space="preserve">Република българия</w:t>
      </w:r>
      <w:r>
        <w:rPr>
          <w:rFonts w:ascii="Times New Roman" w:hAnsi="Times New Roman"/>
          <w:spacing w:val="20"/>
          <w:sz w:val="20"/>
        </w:rPr>
      </w:r>
      <w:r/>
    </w:p>
    <w:p>
      <w:pPr>
        <w:jc w:val="left"/>
        <w:rPr>
          <w:b/>
        </w:rPr>
      </w:pPr>
      <w:r>
        <w:rPr>
          <w:b/>
        </w:rPr>
        <w:tab/>
        <w:tab/>
        <w:tab/>
        <w:tab/>
        <w:tab/>
      </w:r>
      <w:r>
        <w:rPr>
          <w:b/>
          <w:lang w:val="en-US"/>
        </w:rPr>
        <w:t xml:space="preserve">    </w:t>
      </w:r>
      <w:r>
        <w:rPr>
          <w:b/>
          <w:sz w:val="40"/>
          <w:szCs w:val="40"/>
        </w:rPr>
        <w:t xml:space="preserve">ОБЯВЛЕНИЕ</w:t>
      </w:r>
      <w:r/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pStyle w:val="603"/>
        <w:rPr>
          <w:b/>
        </w:rPr>
      </w:pPr>
      <w:r>
        <w:rPr>
          <w:b/>
        </w:rPr>
      </w:r>
      <w:r/>
    </w:p>
    <w:p>
      <w:pPr>
        <w:pStyle w:val="603"/>
        <w:ind w:right="-1" w:firstLine="709"/>
        <w:jc w:val="both"/>
        <w:rPr>
          <w:color w:val="1F1A17"/>
          <w:sz w:val="24"/>
          <w:szCs w:val="24"/>
        </w:rPr>
      </w:pPr>
      <w:r>
        <w:rPr>
          <w:color w:val="1F1A17"/>
          <w:sz w:val="24"/>
          <w:szCs w:val="24"/>
        </w:rPr>
        <w:t xml:space="preserve">На основание чл. 10а, ал. 1 от Закона за държавния служител, чл. 13, ал. 1 от Наредбата за провеждане на конкурсите и подбора при мобилност на държавни служители (НПКПМДСл) и </w:t>
      </w:r>
      <w:r>
        <w:rPr>
          <w:bCs/>
          <w:sz w:val="24"/>
          <w:szCs w:val="24"/>
        </w:rPr>
        <w:t xml:space="preserve">З</w:t>
      </w:r>
      <w:r>
        <w:rPr>
          <w:sz w:val="24"/>
          <w:szCs w:val="24"/>
        </w:rPr>
        <w:t xml:space="preserve">аповед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ЧР-МИР-</w:t>
      </w:r>
      <w:r>
        <w:rPr>
          <w:sz w:val="24"/>
          <w:szCs w:val="24"/>
        </w:rPr>
        <w:t xml:space="preserve">782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15.09.</w:t>
      </w:r>
      <w:r>
        <w:rPr>
          <w:sz w:val="24"/>
          <w:szCs w:val="24"/>
        </w:rPr>
        <w:t xml:space="preserve">2022 г., </w:t>
      </w:r>
      <w:r>
        <w:rPr>
          <w:sz w:val="24"/>
          <w:szCs w:val="24"/>
        </w:rPr>
        <w:t xml:space="preserve">Министерството на иновациите и растежа</w:t>
      </w:r>
      <w:r>
        <w:rPr>
          <w:color w:val="1F1A17"/>
          <w:sz w:val="24"/>
          <w:szCs w:val="24"/>
        </w:rPr>
        <w:t xml:space="preserve"> </w:t>
      </w:r>
      <w:r>
        <w:rPr>
          <w:color w:val="1F1A17"/>
          <w:sz w:val="24"/>
          <w:szCs w:val="24"/>
        </w:rPr>
        <w:t xml:space="preserve">(МИР) </w:t>
      </w:r>
      <w:r>
        <w:rPr>
          <w:color w:val="1F1A17"/>
          <w:sz w:val="24"/>
          <w:szCs w:val="24"/>
        </w:rPr>
        <w:t xml:space="preserve">обявява конкурс за длъжността</w:t>
      </w:r>
      <w:r>
        <w:rPr>
          <w:color w:val="1F1A17"/>
          <w:sz w:val="24"/>
          <w:szCs w:val="24"/>
        </w:rPr>
        <w:t xml:space="preserve">:</w:t>
      </w:r>
      <w:r>
        <w:rPr>
          <w:color w:val="1F1A17"/>
          <w:sz w:val="24"/>
          <w:szCs w:val="24"/>
        </w:rPr>
      </w:r>
      <w:r/>
    </w:p>
    <w:p>
      <w:pPr>
        <w:pStyle w:val="603"/>
        <w:ind w:right="-1"/>
        <w:jc w:val="both"/>
        <w:rPr>
          <w:color w:val="1F1A17"/>
          <w:sz w:val="12"/>
          <w:szCs w:val="12"/>
        </w:rPr>
      </w:pPr>
      <w:r>
        <w:rPr>
          <w:color w:val="1F1A17"/>
          <w:sz w:val="12"/>
          <w:szCs w:val="12"/>
        </w:rPr>
      </w:r>
      <w:r/>
    </w:p>
    <w:p>
      <w:pPr>
        <w:pStyle w:val="603"/>
        <w:ind w:right="-1"/>
        <w:jc w:val="both"/>
        <w:rPr>
          <w:color w:val="1F1A17"/>
          <w:sz w:val="12"/>
          <w:szCs w:val="12"/>
        </w:rPr>
      </w:pPr>
      <w:r>
        <w:rPr>
          <w:color w:val="1F1A17"/>
          <w:sz w:val="12"/>
          <w:szCs w:val="12"/>
        </w:rPr>
      </w:r>
      <w:r/>
    </w:p>
    <w:p>
      <w:pPr>
        <w:pStyle w:val="60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„експерт</w:t>
      </w:r>
      <w:r>
        <w:rPr>
          <w:b/>
          <w:sz w:val="24"/>
          <w:szCs w:val="24"/>
        </w:rPr>
        <w:t xml:space="preserve"> по проектиране на компютърни системи и мрежи</w:t>
      </w:r>
      <w:r>
        <w:rPr>
          <w:b/>
          <w:sz w:val="24"/>
          <w:szCs w:val="24"/>
        </w:rPr>
        <w:t xml:space="preserve">“ 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отдел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„</w:t>
      </w:r>
      <w:r>
        <w:rPr>
          <w:b/>
          <w:sz w:val="24"/>
          <w:szCs w:val="24"/>
        </w:rPr>
        <w:t xml:space="preserve">Информационно обслужване</w:t>
      </w:r>
      <w:r>
        <w:rPr>
          <w:b/>
          <w:sz w:val="24"/>
          <w:szCs w:val="24"/>
        </w:rPr>
        <w:t xml:space="preserve">“</w:t>
      </w:r>
      <w:r>
        <w:rPr>
          <w:b/>
          <w:sz w:val="24"/>
          <w:szCs w:val="24"/>
        </w:rPr>
        <w:t xml:space="preserve">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дирекция „</w:t>
      </w:r>
      <w:r>
        <w:rPr>
          <w:b/>
          <w:sz w:val="24"/>
          <w:szCs w:val="24"/>
        </w:rPr>
        <w:t xml:space="preserve">Административно и информационно обслужване</w:t>
      </w:r>
      <w:r>
        <w:rPr>
          <w:b/>
          <w:sz w:val="24"/>
          <w:szCs w:val="24"/>
        </w:rPr>
        <w:t xml:space="preserve">“</w:t>
      </w:r>
      <w:r>
        <w:rPr>
          <w:b/>
          <w:sz w:val="24"/>
          <w:szCs w:val="24"/>
        </w:rPr>
      </w:r>
      <w:r/>
    </w:p>
    <w:p>
      <w:pPr>
        <w:pStyle w:val="603"/>
        <w:ind w:right="-1"/>
        <w:jc w:val="both"/>
        <w:rPr>
          <w:b/>
          <w:bCs/>
          <w:color w:val="1F1A17"/>
          <w:sz w:val="12"/>
          <w:szCs w:val="12"/>
        </w:rPr>
      </w:pPr>
      <w:r>
        <w:rPr>
          <w:b/>
          <w:bCs/>
          <w:color w:val="1F1A17"/>
          <w:sz w:val="12"/>
          <w:szCs w:val="12"/>
        </w:rPr>
      </w:r>
      <w:r/>
    </w:p>
    <w:p>
      <w:pPr>
        <w:pStyle w:val="603"/>
        <w:ind w:right="-1" w:firstLine="284"/>
        <w:jc w:val="both"/>
        <w:rPr>
          <w:color w:val="1F1A17"/>
          <w:sz w:val="24"/>
          <w:szCs w:val="24"/>
        </w:rPr>
      </w:pPr>
      <w:r>
        <w:rPr>
          <w:color w:val="1F1A17"/>
          <w:sz w:val="24"/>
          <w:szCs w:val="24"/>
        </w:rPr>
        <w:t xml:space="preserve">       </w:t>
      </w:r>
      <w:r>
        <w:rPr>
          <w:color w:val="1F1A17"/>
          <w:sz w:val="24"/>
          <w:szCs w:val="24"/>
        </w:rPr>
      </w:r>
      <w:r/>
    </w:p>
    <w:p>
      <w:pPr>
        <w:pStyle w:val="603"/>
        <w:ind w:right="-1" w:firstLine="567"/>
        <w:jc w:val="both"/>
        <w:rPr>
          <w:sz w:val="24"/>
          <w:szCs w:val="24"/>
        </w:rPr>
      </w:pPr>
      <w:r>
        <w:rPr>
          <w:b/>
          <w:bCs/>
          <w:color w:val="1F1A17"/>
          <w:sz w:val="24"/>
          <w:szCs w:val="24"/>
        </w:rPr>
        <w:t xml:space="preserve">Описание на длъжността: </w:t>
      </w:r>
      <w:r>
        <w:rPr>
          <w:sz w:val="24"/>
          <w:szCs w:val="24"/>
        </w:rPr>
      </w:r>
      <w:r/>
    </w:p>
    <w:p>
      <w:pPr>
        <w:pStyle w:val="603"/>
        <w:ind w:firstLine="567"/>
        <w:jc w:val="both"/>
        <w:widowControl w:val="off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Координиране на дейности по проектиране, изграждане и поддръжка на информационни системи, включително с оглед на тяхното взаимодействие с други информационни системи и ресурси</w:t>
      </w:r>
      <w:r>
        <w:rPr>
          <w:rFonts w:ascii="Times New Roman CYR" w:hAnsi="Times New Roman CYR"/>
          <w:sz w:val="24"/>
          <w:szCs w:val="24"/>
        </w:rPr>
        <w:t xml:space="preserve">.</w:t>
      </w:r>
      <w:r>
        <w:rPr>
          <w:rFonts w:ascii="Times New Roman CYR" w:hAnsi="Times New Roman CYR"/>
          <w:sz w:val="24"/>
          <w:szCs w:val="24"/>
        </w:rPr>
        <w:t xml:space="preserve"> Проучване и следене на необходимостта от информационни и комуникационн</w:t>
      </w:r>
      <w:r>
        <w:rPr>
          <w:rFonts w:ascii="Times New Roman CYR" w:hAnsi="Times New Roman CYR"/>
          <w:sz w:val="24"/>
          <w:szCs w:val="24"/>
        </w:rPr>
        <w:t xml:space="preserve">и технологии в МИР, извършване на анализи и предлагане на експертни оценки и решения. Извършване на проучвания, анализи и определяне на тенденциите в развитието на информационните системи и технологии, и адаптирането им съобразно нуждите на министерството.</w:t>
      </w:r>
      <w:r>
        <w:rPr>
          <w:rFonts w:ascii="Times New Roman CYR" w:hAnsi="Times New Roman CYR"/>
          <w:sz w:val="24"/>
          <w:szCs w:val="24"/>
        </w:rPr>
      </w:r>
      <w:r/>
    </w:p>
    <w:p>
      <w:pPr>
        <w:pStyle w:val="603"/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03"/>
        <w:ind w:right="430" w:firstLine="567"/>
        <w:jc w:val="both"/>
        <w:rPr>
          <w:color w:val="1F1A17"/>
          <w:sz w:val="24"/>
          <w:szCs w:val="24"/>
        </w:rPr>
      </w:pPr>
      <w:r>
        <w:rPr>
          <w:b/>
          <w:bCs/>
          <w:color w:val="1F1A17"/>
          <w:sz w:val="24"/>
          <w:szCs w:val="24"/>
        </w:rPr>
        <w:t xml:space="preserve">Минимални и специфични изисквания за заемане на длъжността:</w:t>
      </w:r>
      <w:r>
        <w:rPr>
          <w:color w:val="1F1A17"/>
          <w:sz w:val="24"/>
          <w:szCs w:val="24"/>
        </w:rPr>
      </w:r>
      <w:r/>
    </w:p>
    <w:p>
      <w:pPr>
        <w:pStyle w:val="603"/>
        <w:numPr>
          <w:ilvl w:val="0"/>
          <w:numId w:val="2"/>
        </w:numPr>
        <w:ind w:left="720" w:hanging="153"/>
        <w:jc w:val="both"/>
        <w:widowControl w:val="off"/>
        <w:tabs>
          <w:tab w:val="clear" w:pos="360" w:leader="none"/>
          <w:tab w:val="num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образователно-квалификационна степен „</w:t>
      </w:r>
      <w:r>
        <w:rPr>
          <w:sz w:val="24"/>
          <w:szCs w:val="24"/>
        </w:rPr>
        <w:t xml:space="preserve">бакалавър</w:t>
      </w:r>
      <w:r>
        <w:rPr>
          <w:sz w:val="24"/>
          <w:szCs w:val="24"/>
        </w:rPr>
        <w:t xml:space="preserve">“</w:t>
      </w:r>
      <w:r>
        <w:rPr>
          <w:sz w:val="24"/>
          <w:szCs w:val="24"/>
        </w:rPr>
        <w:t xml:space="preserve">;</w:t>
      </w:r>
      <w:r/>
    </w:p>
    <w:p>
      <w:pPr>
        <w:pStyle w:val="603"/>
        <w:numPr>
          <w:ilvl w:val="0"/>
          <w:numId w:val="2"/>
        </w:numPr>
        <w:ind w:left="0" w:firstLine="567"/>
        <w:jc w:val="both"/>
        <w:widowControl w:val="off"/>
        <w:tabs>
          <w:tab w:val="num" w:pos="284" w:leader="none"/>
          <w:tab w:val="clear" w:pos="360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професионален опит – </w:t>
      </w:r>
      <w:r>
        <w:rPr>
          <w:rFonts w:ascii="Times New Roman CYR" w:hAnsi="Times New Roman CYR"/>
          <w:sz w:val="24"/>
          <w:szCs w:val="24"/>
        </w:rPr>
        <w:t xml:space="preserve">4</w:t>
      </w:r>
      <w:r>
        <w:rPr>
          <w:rFonts w:ascii="Times New Roman CYR" w:hAnsi="Times New Roman CYR"/>
          <w:sz w:val="24"/>
          <w:szCs w:val="24"/>
        </w:rPr>
        <w:t xml:space="preserve"> години</w:t>
      </w:r>
      <w:r>
        <w:rPr>
          <w:rFonts w:ascii="Times New Roman CYR" w:hAnsi="Times New Roman CYR"/>
          <w:sz w:val="24"/>
          <w:szCs w:val="24"/>
        </w:rPr>
        <w:t xml:space="preserve"> в областта на информационните и комуникационните технологии</w:t>
      </w:r>
      <w:r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 xml:space="preserve">и/</w:t>
      </w:r>
      <w:r>
        <w:rPr>
          <w:rFonts w:ascii="Times New Roman CYR" w:hAnsi="Times New Roman CYR"/>
          <w:sz w:val="24"/>
          <w:szCs w:val="24"/>
        </w:rPr>
        <w:t xml:space="preserve">или II младши ранг, в случай че има придобит такъв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603"/>
        <w:ind w:left="142" w:firstLine="66"/>
        <w:jc w:val="both"/>
        <w:widowControl w:val="off"/>
        <w:rPr>
          <w:rFonts w:ascii="Times New Roman CYR" w:hAnsi="Times New Roman CYR"/>
          <w:sz w:val="16"/>
          <w:szCs w:val="16"/>
        </w:rPr>
      </w:pPr>
      <w:r>
        <w:rPr>
          <w:rFonts w:ascii="Times New Roman CYR" w:hAnsi="Times New Roman CYR"/>
          <w:sz w:val="16"/>
          <w:szCs w:val="16"/>
        </w:rPr>
      </w:r>
      <w:r/>
    </w:p>
    <w:p>
      <w:pPr>
        <w:pStyle w:val="603"/>
        <w:ind w:left="360" w:right="-1" w:firstLine="207"/>
        <w:jc w:val="both"/>
        <w:widowControl w:val="off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Допълнителни умения и квалификации, носещи предимство за кандидатите</w:t>
      </w:r>
      <w:r>
        <w:rPr>
          <w:sz w:val="24"/>
          <w:szCs w:val="24"/>
        </w:rPr>
        <w:t xml:space="preserve">:</w:t>
      </w:r>
      <w:r/>
    </w:p>
    <w:p>
      <w:pPr>
        <w:pStyle w:val="603"/>
        <w:numPr>
          <w:ilvl w:val="0"/>
          <w:numId w:val="2"/>
        </w:numPr>
        <w:ind w:left="0" w:firstLine="567"/>
        <w:jc w:val="both"/>
        <w:tabs>
          <w:tab w:val="num" w:pos="284" w:leader="none"/>
          <w:tab w:val="clear" w:pos="360" w:leader="none"/>
          <w:tab w:val="num" w:pos="851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българските граждани, които са преминали сро</w:t>
      </w:r>
      <w:r>
        <w:rPr>
          <w:sz w:val="24"/>
          <w:szCs w:val="24"/>
        </w:rPr>
        <w:t xml:space="preserve">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  <w:r/>
    </w:p>
    <w:p>
      <w:pPr>
        <w:pStyle w:val="603"/>
        <w:ind w:left="720"/>
        <w:jc w:val="both"/>
        <w:widowControl w:val="off"/>
        <w:rPr>
          <w:rFonts w:ascii="Times New Roman CYR" w:hAnsi="Times New Roman CYR"/>
          <w:color w:val="FF0000"/>
          <w:sz w:val="16"/>
          <w:szCs w:val="16"/>
        </w:rPr>
      </w:pPr>
      <w:r>
        <w:rPr>
          <w:rFonts w:ascii="Times New Roman CYR" w:hAnsi="Times New Roman CYR"/>
          <w:color w:val="FF0000"/>
          <w:sz w:val="16"/>
          <w:szCs w:val="16"/>
        </w:rPr>
      </w:r>
      <w:r/>
    </w:p>
    <w:p>
      <w:pPr>
        <w:pStyle w:val="603"/>
        <w:ind w:left="360" w:right="-1" w:firstLine="20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Минимален размер на основната заплата: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800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лв. </w:t>
      </w:r>
      <w:r/>
    </w:p>
    <w:p>
      <w:pPr>
        <w:pStyle w:val="603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Индивидуалният размер на заплатата ще бъде определен при назначаването съгласно чл. 67, ал. 4 от Закона за държавния служител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чл. 8 и 9 от Наредбата за заплатите на служителите в държавната администрация.</w:t>
      </w:r>
      <w:r/>
    </w:p>
    <w:p>
      <w:pPr>
        <w:pStyle w:val="603"/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Индивидуалните основни месечни заплати на служителите, които постъпват за първи път в съответната административна структура и притежават определения с </w:t>
      </w:r>
      <w:r>
        <w:rPr>
          <w:sz w:val="24"/>
          <w:szCs w:val="24"/>
        </w:rPr>
        <w:t xml:space="preserve">Класификатора на длъжностите в администрацията </w:t>
      </w:r>
      <w:r>
        <w:rPr>
          <w:color w:val="000000"/>
          <w:sz w:val="24"/>
          <w:szCs w:val="24"/>
        </w:rPr>
        <w:t xml:space="preserve">минимален професионален опит, се определят в рамките на степен 1 от нивото на основната месечна заплата за длъжността.</w:t>
      </w:r>
      <w:r>
        <w:rPr>
          <w:sz w:val="24"/>
          <w:szCs w:val="24"/>
        </w:rPr>
      </w:r>
      <w:r/>
    </w:p>
    <w:p>
      <w:pPr>
        <w:pStyle w:val="60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Индивидуалните основни месечни заплати на служителите, които постъпват за първи път в съответната административна структура и имат професионален опит, надвишаващ минималния за длъжността, се определят, както следва:</w:t>
      </w:r>
      <w:r/>
    </w:p>
    <w:p>
      <w:pPr>
        <w:pStyle w:val="60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при професионален опит, надвишаващ минималния за длъжността с до 1 година - в рамките на степен 1 на нивото на основната месечна заплата за длъжността;</w:t>
      </w:r>
      <w:r/>
    </w:p>
    <w:p>
      <w:pPr>
        <w:pStyle w:val="60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при професионален опит, надвишаващ минималния за длъжността с от 1 до 7 години - в рамките на степен 2 на нивото на основната месечна заплата за длъжността;</w:t>
      </w:r>
      <w:r/>
    </w:p>
    <w:p>
      <w:pPr>
        <w:pStyle w:val="60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при професионален опит, надвишаващ минималния за длъжността с над 7 години - в рамките на степен 3 на нивото на основната месечна заплата за длъжността.</w:t>
      </w:r>
      <w:r>
        <w:rPr>
          <w:color w:val="000000"/>
          <w:sz w:val="24"/>
          <w:szCs w:val="24"/>
        </w:rPr>
      </w:r>
      <w:r/>
    </w:p>
    <w:p>
      <w:pPr>
        <w:pStyle w:val="60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603"/>
        <w:ind w:right="-1" w:firstLine="567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Начин на провеждане на конкурса: </w:t>
      </w:r>
      <w:r>
        <w:rPr>
          <w:color w:val="000000"/>
          <w:sz w:val="24"/>
          <w:szCs w:val="24"/>
        </w:rPr>
        <w:t xml:space="preserve">решаване на тест и интервю.</w:t>
      </w:r>
      <w:r>
        <w:rPr>
          <w:b/>
          <w:sz w:val="24"/>
          <w:szCs w:val="24"/>
        </w:rPr>
      </w:r>
      <w:r/>
    </w:p>
    <w:p>
      <w:pPr>
        <w:pStyle w:val="603"/>
        <w:ind w:right="-1" w:firstLine="567"/>
        <w:jc w:val="both"/>
      </w:pPr>
      <w:r>
        <w:rPr>
          <w:b/>
          <w:bCs/>
          <w:sz w:val="24"/>
          <w:szCs w:val="24"/>
        </w:rPr>
        <w:t xml:space="preserve">Необходими документи, които следва да бъдат представени от кандидатите за участие в конкурса:</w:t>
      </w:r>
      <w:r>
        <w:rPr>
          <w:sz w:val="24"/>
          <w:szCs w:val="24"/>
        </w:rPr>
      </w:r>
      <w:r/>
    </w:p>
    <w:p>
      <w:pPr>
        <w:pStyle w:val="603"/>
        <w:numPr>
          <w:ilvl w:val="0"/>
          <w:numId w:val="3"/>
        </w:numPr>
        <w:ind w:left="0" w:firstLine="567"/>
        <w:jc w:val="both"/>
        <w:tabs>
          <w:tab w:val="num" w:pos="567" w:leader="none"/>
          <w:tab w:val="clear" w:pos="720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заявление за участие в конкурс съгласно приложение № 3 към чл. 17, ал. 2 от НПКПМДСл;</w:t>
      </w:r>
      <w:r/>
    </w:p>
    <w:p>
      <w:pPr>
        <w:pStyle w:val="603"/>
        <w:numPr>
          <w:ilvl w:val="0"/>
          <w:numId w:val="3"/>
        </w:numPr>
        <w:ind w:left="709" w:hanging="142"/>
        <w:tabs>
          <w:tab w:val="num" w:pos="567" w:leader="none"/>
          <w:tab w:val="clear" w:pos="720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декларация по чл. 17, ал. 3, т. 1 от НПКПМДСл;</w:t>
      </w:r>
      <w:r/>
    </w:p>
    <w:p>
      <w:pPr>
        <w:pStyle w:val="603"/>
        <w:numPr>
          <w:ilvl w:val="0"/>
          <w:numId w:val="3"/>
        </w:numPr>
        <w:ind w:left="0" w:firstLine="567"/>
        <w:jc w:val="both"/>
        <w:tabs>
          <w:tab w:val="num" w:pos="567" w:leader="none"/>
          <w:tab w:val="clear" w:pos="720" w:leader="none"/>
          <w:tab w:val="left" w:pos="851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копие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документите за придобита образо</w:t>
      </w:r>
      <w:r>
        <w:rPr>
          <w:sz w:val="24"/>
          <w:szCs w:val="24"/>
        </w:rPr>
        <w:t xml:space="preserve">вателно-квалификационна степен и </w:t>
      </w:r>
      <w:r>
        <w:rPr>
          <w:sz w:val="24"/>
          <w:szCs w:val="24"/>
        </w:rPr>
        <w:t xml:space="preserve">допълнителна квалификация.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</w:t>
      </w:r>
      <w:r>
        <w:rPr>
          <w:sz w:val="24"/>
          <w:szCs w:val="24"/>
        </w:rPr>
        <w:t xml:space="preserve">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  <w:r>
        <w:rPr>
          <w:b/>
          <w:sz w:val="24"/>
          <w:szCs w:val="24"/>
        </w:rPr>
      </w:r>
      <w:r/>
    </w:p>
    <w:p>
      <w:pPr>
        <w:pStyle w:val="603"/>
        <w:numPr>
          <w:ilvl w:val="0"/>
          <w:numId w:val="3"/>
        </w:numPr>
        <w:ind w:left="0" w:firstLine="567"/>
        <w:jc w:val="both"/>
        <w:tabs>
          <w:tab w:val="num" w:pos="567" w:leader="none"/>
          <w:tab w:val="clear" w:pos="720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копие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официални документи за трудов стаж, служебен стаж, осигурителен стаж или извършване на дейност в чужбина, удостоверяващи продължителността на професионалния опит;</w:t>
      </w:r>
      <w:r/>
    </w:p>
    <w:p>
      <w:pPr>
        <w:pStyle w:val="603"/>
        <w:numPr>
          <w:ilvl w:val="0"/>
          <w:numId w:val="3"/>
        </w:numPr>
        <w:ind w:left="0" w:firstLine="567"/>
        <w:jc w:val="both"/>
        <w:tabs>
          <w:tab w:val="num" w:pos="567" w:leader="none"/>
          <w:tab w:val="clear" w:pos="720" w:leader="none"/>
          <w:tab w:val="left" w:pos="851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копие на</w:t>
      </w:r>
      <w:r>
        <w:rPr>
          <w:sz w:val="24"/>
          <w:szCs w:val="24"/>
        </w:rPr>
        <w:t xml:space="preserve"> документи, удостоверяващи придобития ранг като държавен служител (ако има такива).</w:t>
      </w:r>
      <w:r>
        <w:rPr>
          <w:b/>
          <w:sz w:val="24"/>
          <w:szCs w:val="24"/>
        </w:rPr>
      </w:r>
      <w:r/>
    </w:p>
    <w:p>
      <w:pPr>
        <w:pStyle w:val="603"/>
        <w:ind w:left="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603"/>
        <w:ind w:right="-1"/>
        <w:jc w:val="both"/>
        <w:tabs>
          <w:tab w:val="num" w:pos="0" w:leader="none"/>
          <w:tab w:val="left" w:pos="567" w:leader="none"/>
        </w:tabs>
        <w:rPr>
          <w:sz w:val="24"/>
          <w:szCs w:val="24"/>
        </w:rPr>
      </w:pPr>
      <w:r>
        <w:rPr>
          <w:b/>
          <w:bCs/>
          <w:color w:val="1F1A17"/>
          <w:sz w:val="24"/>
          <w:szCs w:val="24"/>
        </w:rPr>
        <w:tab/>
        <w:t xml:space="preserve">Документите за участие в конкурса се приемат</w:t>
      </w:r>
      <w:r>
        <w:rPr>
          <w:color w:val="1F1A17"/>
          <w:sz w:val="24"/>
          <w:szCs w:val="24"/>
        </w:rPr>
        <w:t xml:space="preserve"> </w:t>
      </w:r>
      <w:r>
        <w:rPr>
          <w:color w:val="1F1A17"/>
          <w:sz w:val="24"/>
          <w:szCs w:val="24"/>
        </w:rPr>
        <w:t xml:space="preserve">в сградата на </w:t>
      </w:r>
      <w:r>
        <w:rPr>
          <w:sz w:val="24"/>
          <w:szCs w:val="24"/>
        </w:rPr>
        <w:t xml:space="preserve">Министерс</w:t>
      </w:r>
      <w:r>
        <w:rPr>
          <w:sz w:val="24"/>
          <w:szCs w:val="24"/>
        </w:rPr>
        <w:t xml:space="preserve">твото на иновациите и растежа</w:t>
      </w:r>
      <w:r>
        <w:rPr>
          <w:sz w:val="24"/>
          <w:szCs w:val="24"/>
        </w:rPr>
        <w:t xml:space="preserve"> на адрес: гр. София, </w:t>
      </w:r>
      <w:r>
        <w:rPr>
          <w:sz w:val="24"/>
          <w:szCs w:val="24"/>
        </w:rPr>
        <w:t xml:space="preserve">ул. </w:t>
      </w:r>
      <w:r>
        <w:rPr>
          <w:sz w:val="24"/>
          <w:szCs w:val="24"/>
        </w:rPr>
        <w:t xml:space="preserve">„</w:t>
      </w:r>
      <w:r>
        <w:rPr>
          <w:sz w:val="24"/>
          <w:szCs w:val="24"/>
        </w:rPr>
        <w:t xml:space="preserve">Княз Александър I</w:t>
      </w:r>
      <w:r>
        <w:rPr>
          <w:sz w:val="24"/>
          <w:szCs w:val="24"/>
        </w:rPr>
        <w:t xml:space="preserve">“</w:t>
      </w:r>
      <w:r>
        <w:rPr>
          <w:sz w:val="24"/>
          <w:szCs w:val="24"/>
        </w:rPr>
        <w:t xml:space="preserve"> № 12</w:t>
      </w:r>
      <w:r>
        <w:rPr>
          <w:sz w:val="24"/>
          <w:szCs w:val="24"/>
        </w:rPr>
        <w:t xml:space="preserve">, в 10-дневен срок от публикуване на обявата за конкурса от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0 ч. до 1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,00 ч. (в работните дни) от служител на отдел „</w:t>
      </w:r>
      <w:r>
        <w:rPr>
          <w:sz w:val="24"/>
          <w:szCs w:val="24"/>
        </w:rPr>
        <w:t xml:space="preserve">Правно-нормативно осигуряване</w:t>
      </w:r>
      <w:r>
        <w:rPr>
          <w:sz w:val="24"/>
          <w:szCs w:val="24"/>
        </w:rPr>
        <w:t xml:space="preserve">“</w:t>
      </w:r>
      <w:r>
        <w:rPr>
          <w:sz w:val="24"/>
          <w:szCs w:val="24"/>
        </w:rPr>
        <w:t xml:space="preserve">. Документите се подават лично от всеки кандидат или чрез пълномощник. </w:t>
      </w:r>
      <w:r>
        <w:rPr>
          <w:sz w:val="24"/>
          <w:szCs w:val="24"/>
        </w:rPr>
      </w:r>
      <w:r/>
    </w:p>
    <w:p>
      <w:pPr>
        <w:pStyle w:val="603"/>
        <w:ind w:right="-1"/>
        <w:jc w:val="both"/>
        <w:tabs>
          <w:tab w:val="num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При подаване на документите на кандидатите на място се предоставя длъжностна характеристика и информация за пречките за назначаване, посочени в чл. 7, ал. 2 от Закона за държавния служител (ЗДСл). </w:t>
      </w:r>
      <w:r/>
    </w:p>
    <w:p>
      <w:pPr>
        <w:pStyle w:val="603"/>
        <w:ind w:right="-1"/>
        <w:jc w:val="both"/>
        <w:tabs>
          <w:tab w:val="num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Документите може да се подават и по електронен път на адрес: </w:t>
      </w:r>
      <w:r>
        <w:rPr>
          <w:sz w:val="24"/>
          <w:szCs w:val="24"/>
        </w:rPr>
        <w:t xml:space="preserve">r.shaykova@mig.gov.bg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като заявлението по чл. 17, ал. 2 от НПКПМДСл и декларацията по чл. 17, ал. 3, т. 1 от НПКПМДСл задължително се подписват от кандидатите с електронен подпис. </w:t>
      </w:r>
      <w:r/>
    </w:p>
    <w:p>
      <w:pPr>
        <w:pStyle w:val="603"/>
        <w:ind w:right="-1"/>
        <w:jc w:val="both"/>
        <w:tabs>
          <w:tab w:val="num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подаване на документите по електронен път кандидатите получават длъжностната характеристика и информацията за пречките за назначаване, посочени в чл. 7, ал. 2 от ЗДСл на посочения от тях електронен адрес.</w:t>
      </w:r>
      <w:r/>
    </w:p>
    <w:p>
      <w:pPr>
        <w:pStyle w:val="603"/>
        <w:ind w:right="-1" w:firstLine="567"/>
        <w:jc w:val="both"/>
        <w:tabs>
          <w:tab w:val="left" w:pos="567" w:leader="none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Списъците с допуснатите и недопуснатите до конкурса кандидати,</w:t>
      </w:r>
      <w:r>
        <w:rPr>
          <w:sz w:val="24"/>
          <w:szCs w:val="24"/>
        </w:rPr>
        <w:t xml:space="preserve"> както и всички други съобщения във връзка с конкурса ще се обявяват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интернет страницата на Министерс</w:t>
      </w:r>
      <w:r>
        <w:rPr>
          <w:sz w:val="24"/>
          <w:szCs w:val="24"/>
        </w:rPr>
        <w:t xml:space="preserve">твото на иновациите и растежа</w:t>
      </w:r>
      <w:r>
        <w:rPr>
          <w:sz w:val="24"/>
          <w:szCs w:val="24"/>
        </w:rPr>
        <w:t xml:space="preserve">.</w:t>
      </w:r>
      <w:r>
        <w:rPr>
          <w:b/>
          <w:sz w:val="24"/>
          <w:szCs w:val="24"/>
        </w:rPr>
      </w:r>
      <w:r/>
    </w:p>
    <w:p>
      <w:pPr>
        <w:pStyle w:val="60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ab/>
      </w:r>
      <w:r>
        <w:rPr>
          <w:b/>
          <w:sz w:val="26"/>
          <w:szCs w:val="26"/>
        </w:rPr>
      </w:r>
      <w:r/>
    </w:p>
    <w:p>
      <w:pPr>
        <w:pStyle w:val="60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ab/>
        <w:tab/>
      </w:r>
      <w:r/>
    </w:p>
    <w:p>
      <w:pPr>
        <w:pStyle w:val="603"/>
        <w:jc w:val="both"/>
        <w:spacing w:line="360" w:lineRule="auto"/>
        <w:rPr>
          <w:b/>
          <w:sz w:val="12"/>
          <w:szCs w:val="12"/>
        </w:rPr>
      </w:pPr>
      <w:r>
        <w:rPr>
          <w:b/>
          <w:sz w:val="12"/>
          <w:szCs w:val="12"/>
        </w:rPr>
      </w:r>
      <w:r/>
    </w:p>
    <w:p>
      <w:pPr>
        <w:pStyle w:val="603"/>
        <w:jc w:val="both"/>
        <w:spacing w:line="360" w:lineRule="auto"/>
        <w:rPr>
          <w:b/>
          <w:sz w:val="12"/>
          <w:szCs w:val="12"/>
        </w:rPr>
      </w:pPr>
      <w:r>
        <w:rPr>
          <w:b/>
          <w:sz w:val="12"/>
          <w:szCs w:val="12"/>
        </w:rPr>
      </w:r>
      <w:r/>
    </w:p>
    <w:p>
      <w:pPr>
        <w:pStyle w:val="603"/>
        <w:jc w:val="both"/>
        <w:spacing w:line="360" w:lineRule="auto"/>
        <w:rPr>
          <w:b/>
          <w:sz w:val="12"/>
          <w:szCs w:val="12"/>
        </w:rPr>
      </w:pPr>
      <w:r>
        <w:rPr>
          <w:b/>
          <w:sz w:val="12"/>
          <w:szCs w:val="12"/>
        </w:rPr>
      </w:r>
      <w:r/>
    </w:p>
    <w:p>
      <w:pPr>
        <w:pStyle w:val="603"/>
        <w:jc w:val="both"/>
        <w:spacing w:line="360" w:lineRule="auto"/>
        <w:rPr>
          <w:b/>
          <w:sz w:val="12"/>
          <w:szCs w:val="12"/>
        </w:rPr>
      </w:pPr>
      <w:r>
        <w:rPr>
          <w:b/>
          <w:sz w:val="12"/>
          <w:szCs w:val="12"/>
        </w:rPr>
      </w:r>
      <w:r/>
    </w:p>
    <w:p>
      <w:pPr>
        <w:pStyle w:val="603"/>
        <w:jc w:val="both"/>
        <w:spacing w:line="360" w:lineRule="auto"/>
        <w:rPr>
          <w:b/>
          <w:sz w:val="12"/>
          <w:szCs w:val="12"/>
        </w:rPr>
      </w:pPr>
      <w:r>
        <w:rPr>
          <w:b/>
          <w:sz w:val="12"/>
          <w:szCs w:val="12"/>
        </w:rPr>
      </w:r>
      <w:r/>
    </w:p>
    <w:p>
      <w:pPr>
        <w:pStyle w:val="603"/>
        <w:jc w:val="both"/>
        <w:spacing w:line="360" w:lineRule="auto"/>
        <w:rPr>
          <w:b/>
          <w:sz w:val="12"/>
          <w:szCs w:val="12"/>
        </w:rPr>
      </w:pPr>
      <w:r>
        <w:rPr>
          <w:b/>
          <w:sz w:val="12"/>
          <w:szCs w:val="12"/>
        </w:rPr>
      </w:r>
      <w:r/>
    </w:p>
    <w:p>
      <w:pPr>
        <w:pStyle w:val="603"/>
        <w:jc w:val="both"/>
        <w:spacing w:line="360" w:lineRule="auto"/>
        <w:rPr>
          <w:b/>
          <w:sz w:val="12"/>
          <w:szCs w:val="12"/>
        </w:rPr>
      </w:pPr>
      <w:r>
        <w:rPr>
          <w:b/>
          <w:sz w:val="12"/>
          <w:szCs w:val="12"/>
        </w:rPr>
      </w:r>
      <w:r/>
    </w:p>
    <w:sectPr>
      <w:footnotePr/>
      <w:endnotePr/>
      <w:type w:val="nextPage"/>
      <w:pgSz w:w="11906" w:h="16838" w:orient="portrait"/>
      <w:pgMar w:top="851" w:right="1274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 CYR">
    <w:panose1 w:val="02020603050405020304"/>
  </w:font>
  <w:font w:name="TimokU">
    <w:panose1 w:val="020E05020303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03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03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3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3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3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3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3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3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3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3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3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828" w:hanging="180"/>
        <w:tabs>
          <w:tab w:val="num" w:pos="6828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03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03"/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3"/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3"/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3"/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3"/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3"/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3"/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3"/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bg-BG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3"/>
    <w:next w:val="60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9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9"/>
    <w:link w:val="60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9"/>
    <w:link w:val="60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9"/>
    <w:link w:val="21"/>
    <w:uiPriority w:val="9"/>
    <w:rPr>
      <w:rFonts w:ascii="Arial" w:hAnsi="Arial" w:cs="Arial" w:eastAsia="Arial"/>
      <w:b/>
      <w:bCs/>
      <w:sz w:val="22"/>
      <w:szCs w:val="22"/>
    </w:rPr>
  </w:style>
  <w:style w:type="character" w:styleId="26">
    <w:name w:val="Heading 8 Char"/>
    <w:basedOn w:val="609"/>
    <w:link w:val="607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09"/>
    <w:link w:val="608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3"/>
    <w:next w:val="60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9"/>
    <w:link w:val="32"/>
    <w:uiPriority w:val="10"/>
    <w:rPr>
      <w:sz w:val="48"/>
      <w:szCs w:val="48"/>
    </w:rPr>
  </w:style>
  <w:style w:type="paragraph" w:styleId="34">
    <w:name w:val="Subtitle"/>
    <w:basedOn w:val="603"/>
    <w:next w:val="60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9"/>
    <w:link w:val="34"/>
    <w:uiPriority w:val="11"/>
    <w:rPr>
      <w:sz w:val="24"/>
      <w:szCs w:val="24"/>
    </w:rPr>
  </w:style>
  <w:style w:type="paragraph" w:styleId="36">
    <w:name w:val="Quote"/>
    <w:basedOn w:val="603"/>
    <w:next w:val="60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3"/>
    <w:next w:val="60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9"/>
    <w:link w:val="40"/>
    <w:uiPriority w:val="99"/>
  </w:style>
  <w:style w:type="paragraph" w:styleId="42">
    <w:name w:val="Footer"/>
    <w:basedOn w:val="60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9"/>
    <w:link w:val="42"/>
    <w:uiPriority w:val="99"/>
  </w:style>
  <w:style w:type="character" w:styleId="45">
    <w:name w:val="Caption Char"/>
    <w:basedOn w:val="612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9"/>
    <w:uiPriority w:val="99"/>
    <w:unhideWhenUsed/>
    <w:rPr>
      <w:vertAlign w:val="superscript"/>
    </w:rPr>
  </w:style>
  <w:style w:type="paragraph" w:styleId="176">
    <w:name w:val="endnote text"/>
    <w:basedOn w:val="60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9"/>
    <w:uiPriority w:val="99"/>
    <w:semiHidden/>
    <w:unhideWhenUsed/>
    <w:rPr>
      <w:vertAlign w:val="superscript"/>
    </w:rPr>
  </w:style>
  <w:style w:type="paragraph" w:styleId="179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next w:val="603"/>
    <w:link w:val="603"/>
    <w:rPr>
      <w:lang w:val="bg-BG" w:bidi="ar-SA" w:eastAsia="bg-BG"/>
    </w:rPr>
  </w:style>
  <w:style w:type="paragraph" w:styleId="604">
    <w:name w:val="Heading 2"/>
    <w:basedOn w:val="603"/>
    <w:next w:val="603"/>
    <w:link w:val="603"/>
    <w:pPr>
      <w:jc w:val="center"/>
      <w:keepNext/>
      <w:outlineLvl w:val="1"/>
    </w:pPr>
    <w:rPr>
      <w:b/>
      <w:sz w:val="28"/>
    </w:rPr>
  </w:style>
  <w:style w:type="paragraph" w:styleId="605">
    <w:name w:val="Heading 3"/>
    <w:basedOn w:val="603"/>
    <w:next w:val="603"/>
    <w:link w:val="603"/>
    <w:pPr>
      <w:keepNext/>
      <w:outlineLvl w:val="2"/>
    </w:pPr>
    <w:rPr>
      <w:sz w:val="24"/>
    </w:rPr>
  </w:style>
  <w:style w:type="paragraph" w:styleId="606">
    <w:name w:val="Heading 7"/>
    <w:basedOn w:val="603"/>
    <w:next w:val="603"/>
    <w:link w:val="614"/>
    <w:pPr>
      <w:keepNext/>
      <w:pBdr>
        <w:bottom w:val="single" w:color="000000" w:sz="6" w:space="1"/>
      </w:pBdr>
      <w:outlineLvl w:val="6"/>
    </w:pPr>
    <w:rPr>
      <w:rFonts w:ascii="TimokU" w:hAnsi="TimokU"/>
      <w:b/>
      <w:spacing w:val="56"/>
      <w:sz w:val="28"/>
    </w:rPr>
  </w:style>
  <w:style w:type="paragraph" w:styleId="607">
    <w:name w:val="Heading 8"/>
    <w:basedOn w:val="603"/>
    <w:next w:val="603"/>
    <w:link w:val="603"/>
    <w:pPr>
      <w:spacing w:before="240" w:after="60"/>
      <w:outlineLvl w:val="7"/>
    </w:pPr>
    <w:rPr>
      <w:i/>
      <w:iCs/>
      <w:sz w:val="24"/>
      <w:szCs w:val="24"/>
    </w:rPr>
  </w:style>
  <w:style w:type="paragraph" w:styleId="608">
    <w:name w:val="Heading 9"/>
    <w:basedOn w:val="603"/>
    <w:next w:val="603"/>
    <w:link w:val="603"/>
    <w:pPr>
      <w:keepNext/>
      <w:outlineLvl w:val="8"/>
    </w:pPr>
    <w:rPr>
      <w:b/>
      <w:sz w:val="28"/>
    </w:rPr>
  </w:style>
  <w:style w:type="character" w:styleId="609" w:default="1">
    <w:name w:val="Default Paragraph Font"/>
    <w:next w:val="609"/>
    <w:link w:val="603"/>
    <w:semiHidden/>
  </w:style>
  <w:style w:type="table" w:styleId="610">
    <w:name w:val="Table Normal"/>
    <w:next w:val="610"/>
    <w:link w:val="603"/>
    <w:semiHidden/>
    <w:tblPr/>
  </w:style>
  <w:style w:type="numbering" w:styleId="611" w:default="1">
    <w:name w:val="No List"/>
    <w:next w:val="611"/>
    <w:link w:val="603"/>
    <w:semiHidden/>
  </w:style>
  <w:style w:type="paragraph" w:styleId="612">
    <w:name w:val="Caption"/>
    <w:basedOn w:val="603"/>
    <w:next w:val="603"/>
    <w:link w:val="603"/>
    <w:rPr>
      <w:rFonts w:ascii="TimokU" w:hAnsi="TimokU"/>
      <w:b/>
      <w:caps/>
      <w:sz w:val="22"/>
    </w:rPr>
  </w:style>
  <w:style w:type="paragraph" w:styleId="613">
    <w:name w:val="Balloon Text"/>
    <w:basedOn w:val="603"/>
    <w:next w:val="613"/>
    <w:link w:val="603"/>
    <w:semiHidden/>
    <w:rPr>
      <w:rFonts w:ascii="Tahoma" w:hAnsi="Tahoma"/>
      <w:sz w:val="16"/>
      <w:szCs w:val="16"/>
    </w:rPr>
  </w:style>
  <w:style w:type="character" w:styleId="614">
    <w:name w:val="Heading 7 Char"/>
    <w:next w:val="614"/>
    <w:link w:val="606"/>
    <w:rPr>
      <w:rFonts w:ascii="TimokU" w:hAnsi="TimokU"/>
      <w:b/>
      <w:spacing w:val="56"/>
      <w:sz w:val="28"/>
    </w:rPr>
  </w:style>
  <w:style w:type="table" w:styleId="13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doc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2022-09-22T10:43:47Z</dcterms:modified>
</cp:coreProperties>
</file>