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EABC71" w14:textId="49526ED9" w:rsidR="00C1144B" w:rsidRPr="005B33FE" w:rsidRDefault="00350080" w:rsidP="007F4E6D">
      <w:pPr>
        <w:tabs>
          <w:tab w:val="center" w:pos="4536"/>
          <w:tab w:val="right" w:pos="9072"/>
        </w:tabs>
        <w:spacing w:after="0" w:line="240" w:lineRule="auto"/>
        <w:jc w:val="right"/>
        <w:rPr>
          <w:rFonts w:ascii="Calibri" w:eastAsia="Calibri" w:hAnsi="Calibri" w:cs="Times New Roman"/>
          <w:b/>
          <w:i/>
        </w:rPr>
      </w:pPr>
      <w:r>
        <w:rPr>
          <w:rFonts w:ascii="Calibri" w:eastAsia="Calibri" w:hAnsi="Calibri" w:cs="Times New Roman"/>
          <w:b/>
          <w:i/>
        </w:rPr>
        <w:t>Приложение 12</w:t>
      </w:r>
    </w:p>
    <w:p w14:paraId="2D4C0EBF" w14:textId="77777777" w:rsidR="00045584" w:rsidRDefault="00045584" w:rsidP="00C1144B">
      <w:pPr>
        <w:spacing w:after="0" w:line="240" w:lineRule="auto"/>
        <w:rPr>
          <w:rFonts w:eastAsia="Times New Roman" w:cstheme="minorHAnsi"/>
          <w:b/>
          <w:snapToGrid w:val="0"/>
          <w:kern w:val="28"/>
          <w:sz w:val="24"/>
          <w:szCs w:val="24"/>
        </w:rPr>
      </w:pPr>
    </w:p>
    <w:p w14:paraId="59DE8B1A" w14:textId="0A8489EF" w:rsidR="00C1144B" w:rsidRPr="008E4D35" w:rsidRDefault="007F4E6D" w:rsidP="00C1144B">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 </w:t>
      </w:r>
      <w:r w:rsidR="00C1144B" w:rsidRPr="008E4D35">
        <w:rPr>
          <w:rFonts w:eastAsia="Times New Roman" w:cstheme="minorHAnsi"/>
          <w:b/>
          <w:snapToGrid w:val="0"/>
          <w:kern w:val="28"/>
          <w:sz w:val="24"/>
          <w:szCs w:val="24"/>
        </w:rPr>
        <w:t>ИЗПОЛЗВАНИ СЪКРАЩЕНИЯ</w:t>
      </w:r>
      <w:r w:rsidR="001B13CE">
        <w:rPr>
          <w:rFonts w:eastAsia="Times New Roman" w:cstheme="minorHAnsi"/>
          <w:b/>
          <w:snapToGrid w:val="0"/>
          <w:kern w:val="28"/>
          <w:sz w:val="24"/>
          <w:szCs w:val="24"/>
        </w:rPr>
        <w:t>:</w:t>
      </w:r>
    </w:p>
    <w:p w14:paraId="498B5CDB" w14:textId="77777777" w:rsidR="00C1144B" w:rsidRPr="008E4D35" w:rsidRDefault="00C1144B" w:rsidP="00C1144B">
      <w:pPr>
        <w:spacing w:after="0" w:line="240" w:lineRule="auto"/>
        <w:rPr>
          <w:rFonts w:eastAsia="Times New Roman" w:cstheme="minorHAnsi"/>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8"/>
        <w:gridCol w:w="7200"/>
      </w:tblGrid>
      <w:tr w:rsidR="00F25879" w:rsidRPr="008E4D35" w14:paraId="12594DC3" w14:textId="77777777" w:rsidTr="00F14642">
        <w:tc>
          <w:tcPr>
            <w:tcW w:w="1124" w:type="pct"/>
            <w:shd w:val="clear" w:color="auto" w:fill="D9D9D9"/>
          </w:tcPr>
          <w:p w14:paraId="0276136E"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БНБ</w:t>
            </w:r>
          </w:p>
        </w:tc>
        <w:tc>
          <w:tcPr>
            <w:tcW w:w="3876" w:type="pct"/>
            <w:shd w:val="clear" w:color="auto" w:fill="F3F3F3"/>
          </w:tcPr>
          <w:p w14:paraId="06D41C96" w14:textId="77777777" w:rsidR="00F25879" w:rsidRPr="008E4D35" w:rsidRDefault="00F2587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Българска народна банка</w:t>
            </w:r>
          </w:p>
        </w:tc>
      </w:tr>
      <w:tr w:rsidR="00C1144B" w:rsidRPr="008E4D35" w14:paraId="5EAF3793" w14:textId="77777777" w:rsidTr="00F14642">
        <w:tc>
          <w:tcPr>
            <w:tcW w:w="1124" w:type="pct"/>
            <w:shd w:val="clear" w:color="auto" w:fill="D9D9D9"/>
          </w:tcPr>
          <w:p w14:paraId="0708DCD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ГД</w:t>
            </w:r>
          </w:p>
        </w:tc>
        <w:tc>
          <w:tcPr>
            <w:tcW w:w="3876" w:type="pct"/>
            <w:shd w:val="clear" w:color="auto" w:fill="F3F3F3"/>
          </w:tcPr>
          <w:p w14:paraId="7A0CF8B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Главна дирекция</w:t>
            </w:r>
          </w:p>
        </w:tc>
      </w:tr>
      <w:tr w:rsidR="00C1144B" w:rsidRPr="008E4D35" w14:paraId="3F1B25F6" w14:textId="77777777" w:rsidTr="00F14642">
        <w:tc>
          <w:tcPr>
            <w:tcW w:w="1124" w:type="pct"/>
            <w:shd w:val="clear" w:color="auto" w:fill="D9D9D9"/>
          </w:tcPr>
          <w:p w14:paraId="02F3DA9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ДДС</w:t>
            </w:r>
          </w:p>
        </w:tc>
        <w:tc>
          <w:tcPr>
            <w:tcW w:w="3876" w:type="pct"/>
            <w:shd w:val="clear" w:color="auto" w:fill="F3F3F3"/>
          </w:tcPr>
          <w:p w14:paraId="6015CB0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Данък добавена стойност</w:t>
            </w:r>
          </w:p>
        </w:tc>
      </w:tr>
      <w:tr w:rsidR="00C1144B" w:rsidRPr="008E4D35" w14:paraId="24A79EE6" w14:textId="77777777" w:rsidTr="00F14642">
        <w:tc>
          <w:tcPr>
            <w:tcW w:w="1124" w:type="pct"/>
            <w:shd w:val="clear" w:color="auto" w:fill="D9D9D9"/>
          </w:tcPr>
          <w:p w14:paraId="0F8C2B5B"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ДМА</w:t>
            </w:r>
          </w:p>
        </w:tc>
        <w:tc>
          <w:tcPr>
            <w:tcW w:w="3876" w:type="pct"/>
            <w:shd w:val="clear" w:color="auto" w:fill="F3F3F3"/>
          </w:tcPr>
          <w:p w14:paraId="0F68057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материални активи</w:t>
            </w:r>
          </w:p>
        </w:tc>
      </w:tr>
      <w:tr w:rsidR="00C1144B" w:rsidRPr="008E4D35" w14:paraId="59711424" w14:textId="77777777" w:rsidTr="00F14642">
        <w:tc>
          <w:tcPr>
            <w:tcW w:w="1124" w:type="pct"/>
            <w:shd w:val="clear" w:color="auto" w:fill="D9D9D9"/>
          </w:tcPr>
          <w:p w14:paraId="4D87952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ДНА</w:t>
            </w:r>
          </w:p>
        </w:tc>
        <w:tc>
          <w:tcPr>
            <w:tcW w:w="3876" w:type="pct"/>
            <w:shd w:val="clear" w:color="auto" w:fill="F3F3F3"/>
          </w:tcPr>
          <w:p w14:paraId="6571CA7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Дълготрайни нематериални активи</w:t>
            </w:r>
          </w:p>
        </w:tc>
      </w:tr>
      <w:tr w:rsidR="00C1144B" w:rsidRPr="008E4D35" w14:paraId="0E83FA86" w14:textId="77777777" w:rsidTr="00F14642">
        <w:tc>
          <w:tcPr>
            <w:tcW w:w="1124" w:type="pct"/>
            <w:shd w:val="clear" w:color="auto" w:fill="D9D9D9"/>
          </w:tcPr>
          <w:p w14:paraId="621E8BE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ДНФ</w:t>
            </w:r>
          </w:p>
        </w:tc>
        <w:tc>
          <w:tcPr>
            <w:tcW w:w="3876" w:type="pct"/>
            <w:shd w:val="clear" w:color="auto" w:fill="F3F3F3"/>
          </w:tcPr>
          <w:p w14:paraId="5BC77944" w14:textId="0181C03A" w:rsidR="00C1144B" w:rsidRPr="008E4D35" w:rsidRDefault="00C1144B" w:rsidP="00BE5E65">
            <w:pPr>
              <w:spacing w:after="0" w:line="240" w:lineRule="auto"/>
              <w:ind w:left="289" w:right="289"/>
              <w:rPr>
                <w:rFonts w:eastAsia="Times New Roman" w:cstheme="minorHAnsi"/>
                <w:b/>
                <w:snapToGrid w:val="0"/>
                <w:sz w:val="24"/>
                <w:szCs w:val="24"/>
              </w:rPr>
            </w:pPr>
            <w:r w:rsidRPr="008E4D35">
              <w:rPr>
                <w:rFonts w:eastAsia="Times New Roman" w:cstheme="minorHAnsi"/>
                <w:b/>
                <w:snapToGrid w:val="0"/>
                <w:sz w:val="24"/>
                <w:szCs w:val="24"/>
              </w:rPr>
              <w:t>Дирекция „Национален фонд”, Министерство на</w:t>
            </w:r>
            <w:r w:rsidR="00BE5E65">
              <w:rPr>
                <w:rFonts w:eastAsia="Times New Roman" w:cstheme="minorHAnsi"/>
                <w:b/>
                <w:snapToGrid w:val="0"/>
                <w:sz w:val="24"/>
                <w:szCs w:val="24"/>
              </w:rPr>
              <w:t xml:space="preserve"> </w:t>
            </w:r>
            <w:r w:rsidRPr="008E4D35">
              <w:rPr>
                <w:rFonts w:eastAsia="Times New Roman" w:cstheme="minorHAnsi"/>
                <w:b/>
                <w:snapToGrid w:val="0"/>
                <w:sz w:val="24"/>
                <w:szCs w:val="24"/>
              </w:rPr>
              <w:t xml:space="preserve">финансите </w:t>
            </w:r>
          </w:p>
        </w:tc>
      </w:tr>
      <w:tr w:rsidR="00D55DC2" w:rsidRPr="008E4D35" w14:paraId="04FDD3E2" w14:textId="77777777" w:rsidTr="00F14642">
        <w:tc>
          <w:tcPr>
            <w:tcW w:w="1124" w:type="pct"/>
            <w:shd w:val="clear" w:color="auto" w:fill="D9D9D9"/>
          </w:tcPr>
          <w:p w14:paraId="782EB1D4" w14:textId="77777777" w:rsidR="00D55DC2" w:rsidRPr="008E4D35" w:rsidRDefault="00D55DC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ДОПК</w:t>
            </w:r>
          </w:p>
        </w:tc>
        <w:tc>
          <w:tcPr>
            <w:tcW w:w="3876" w:type="pct"/>
            <w:shd w:val="clear" w:color="auto" w:fill="F3F3F3"/>
          </w:tcPr>
          <w:p w14:paraId="32691956" w14:textId="77777777" w:rsidR="00D55DC2" w:rsidRPr="008E4D35" w:rsidRDefault="000D040C" w:rsidP="008B34EF">
            <w:pPr>
              <w:spacing w:after="0" w:line="240" w:lineRule="auto"/>
              <w:ind w:left="289" w:right="289"/>
              <w:rPr>
                <w:rFonts w:eastAsia="Times New Roman" w:cstheme="minorHAnsi"/>
                <w:b/>
                <w:snapToGrid w:val="0"/>
                <w:sz w:val="24"/>
                <w:szCs w:val="24"/>
              </w:rPr>
            </w:pPr>
            <w:r>
              <w:rPr>
                <w:rFonts w:eastAsia="Times New Roman" w:cstheme="minorHAnsi"/>
                <w:b/>
                <w:snapToGrid w:val="0"/>
                <w:sz w:val="24"/>
                <w:szCs w:val="24"/>
              </w:rPr>
              <w:t>Данъчно-осигурител</w:t>
            </w:r>
            <w:r>
              <w:rPr>
                <w:rFonts w:eastAsia="Times New Roman" w:cstheme="minorHAnsi"/>
                <w:b/>
                <w:snapToGrid w:val="0"/>
                <w:sz w:val="24"/>
                <w:szCs w:val="24"/>
                <w:lang w:val="en-US"/>
              </w:rPr>
              <w:t>e</w:t>
            </w:r>
            <w:r w:rsidR="00244EF0">
              <w:rPr>
                <w:rFonts w:eastAsia="Times New Roman" w:cstheme="minorHAnsi"/>
                <w:b/>
                <w:snapToGrid w:val="0"/>
                <w:sz w:val="24"/>
                <w:szCs w:val="24"/>
              </w:rPr>
              <w:t>н</w:t>
            </w:r>
            <w:r w:rsidR="00D55DC2" w:rsidRPr="008E4D35">
              <w:rPr>
                <w:rFonts w:eastAsia="Times New Roman" w:cstheme="minorHAnsi"/>
                <w:b/>
                <w:snapToGrid w:val="0"/>
                <w:sz w:val="24"/>
                <w:szCs w:val="24"/>
              </w:rPr>
              <w:t xml:space="preserve"> процесуален кодекс</w:t>
            </w:r>
          </w:p>
        </w:tc>
      </w:tr>
      <w:tr w:rsidR="00C1144B" w:rsidRPr="008E4D35" w14:paraId="2DB942E1" w14:textId="77777777" w:rsidTr="00F14642">
        <w:tc>
          <w:tcPr>
            <w:tcW w:w="1124" w:type="pct"/>
            <w:shd w:val="clear" w:color="auto" w:fill="D9D9D9"/>
          </w:tcPr>
          <w:p w14:paraId="18B63E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ЕК</w:t>
            </w:r>
          </w:p>
        </w:tc>
        <w:tc>
          <w:tcPr>
            <w:tcW w:w="3876" w:type="pct"/>
            <w:shd w:val="clear" w:color="auto" w:fill="F3F3F3"/>
          </w:tcPr>
          <w:p w14:paraId="227CEDBD"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комисия</w:t>
            </w:r>
          </w:p>
        </w:tc>
      </w:tr>
      <w:tr w:rsidR="00C1144B" w:rsidRPr="008E4D35" w14:paraId="4E28A001" w14:textId="77777777" w:rsidTr="00F14642">
        <w:tc>
          <w:tcPr>
            <w:tcW w:w="1124" w:type="pct"/>
            <w:shd w:val="clear" w:color="auto" w:fill="D9D9D9"/>
          </w:tcPr>
          <w:p w14:paraId="374775B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ЕО</w:t>
            </w:r>
          </w:p>
        </w:tc>
        <w:tc>
          <w:tcPr>
            <w:tcW w:w="3876" w:type="pct"/>
            <w:shd w:val="clear" w:color="auto" w:fill="F3F3F3"/>
          </w:tcPr>
          <w:p w14:paraId="4B7B243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Европейска общност</w:t>
            </w:r>
          </w:p>
        </w:tc>
      </w:tr>
      <w:tr w:rsidR="00C1144B" w:rsidRPr="008E4D35" w14:paraId="730C8C56" w14:textId="77777777" w:rsidTr="00F14642">
        <w:tc>
          <w:tcPr>
            <w:tcW w:w="1124" w:type="pct"/>
            <w:shd w:val="clear" w:color="auto" w:fill="D9D9D9"/>
          </w:tcPr>
          <w:p w14:paraId="078F1A4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w:t>
            </w:r>
          </w:p>
        </w:tc>
        <w:tc>
          <w:tcPr>
            <w:tcW w:w="3876" w:type="pct"/>
            <w:shd w:val="clear" w:color="auto" w:fill="F3F3F3"/>
          </w:tcPr>
          <w:p w14:paraId="17F026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съюз</w:t>
            </w:r>
          </w:p>
        </w:tc>
      </w:tr>
      <w:tr w:rsidR="00B50A28" w:rsidRPr="008E4D35" w14:paraId="384F2F68" w14:textId="77777777" w:rsidTr="00F14642">
        <w:tc>
          <w:tcPr>
            <w:tcW w:w="1124" w:type="pct"/>
            <w:shd w:val="clear" w:color="auto" w:fill="D9D9D9"/>
          </w:tcPr>
          <w:p w14:paraId="4370BC99"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ЕСФ</w:t>
            </w:r>
          </w:p>
        </w:tc>
        <w:tc>
          <w:tcPr>
            <w:tcW w:w="3876" w:type="pct"/>
            <w:shd w:val="clear" w:color="auto" w:fill="F3F3F3"/>
          </w:tcPr>
          <w:p w14:paraId="57000F13" w14:textId="77777777" w:rsidR="00B50A28" w:rsidRPr="008E4D35" w:rsidRDefault="00B50A28"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социален фонд</w:t>
            </w:r>
          </w:p>
        </w:tc>
      </w:tr>
      <w:tr w:rsidR="00741F45" w:rsidRPr="008E4D35" w14:paraId="7243D277" w14:textId="77777777" w:rsidTr="00F14642">
        <w:tc>
          <w:tcPr>
            <w:tcW w:w="1124" w:type="pct"/>
            <w:shd w:val="clear" w:color="auto" w:fill="D9D9D9"/>
          </w:tcPr>
          <w:p w14:paraId="50DA8B03"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ЕФРР</w:t>
            </w:r>
          </w:p>
        </w:tc>
        <w:tc>
          <w:tcPr>
            <w:tcW w:w="3876" w:type="pct"/>
            <w:shd w:val="clear" w:color="auto" w:fill="F3F3F3"/>
          </w:tcPr>
          <w:p w14:paraId="6B13D0F2" w14:textId="77777777" w:rsidR="00741F45" w:rsidRPr="008E4D35" w:rsidRDefault="00741F4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Европейски фонд за регионално развитие</w:t>
            </w:r>
          </w:p>
        </w:tc>
      </w:tr>
      <w:tr w:rsidR="00015702" w:rsidRPr="008E4D35" w14:paraId="71AC357C" w14:textId="77777777" w:rsidTr="00F14642">
        <w:tc>
          <w:tcPr>
            <w:tcW w:w="1124" w:type="pct"/>
            <w:shd w:val="clear" w:color="auto" w:fill="D9D9D9"/>
          </w:tcPr>
          <w:p w14:paraId="2EEE177E"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ЗКПО</w:t>
            </w:r>
          </w:p>
        </w:tc>
        <w:tc>
          <w:tcPr>
            <w:tcW w:w="3876" w:type="pct"/>
            <w:shd w:val="clear" w:color="auto" w:fill="F3F3F3"/>
          </w:tcPr>
          <w:p w14:paraId="7F0804C7" w14:textId="77777777" w:rsidR="00015702" w:rsidRPr="008E4D35" w:rsidRDefault="0001570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корпоративното</w:t>
            </w:r>
            <w:r w:rsidR="004E15B4" w:rsidRPr="008E4D35">
              <w:rPr>
                <w:rFonts w:eastAsia="Times New Roman" w:cstheme="minorHAnsi"/>
                <w:b/>
                <w:snapToGrid w:val="0"/>
                <w:sz w:val="24"/>
                <w:szCs w:val="24"/>
              </w:rPr>
              <w:t xml:space="preserve"> подоходно облагане</w:t>
            </w:r>
          </w:p>
        </w:tc>
      </w:tr>
      <w:tr w:rsidR="00C1144B" w:rsidRPr="008E4D35" w14:paraId="47A29600" w14:textId="77777777" w:rsidTr="00F14642">
        <w:tc>
          <w:tcPr>
            <w:tcW w:w="1124" w:type="pct"/>
            <w:shd w:val="clear" w:color="auto" w:fill="D9D9D9"/>
          </w:tcPr>
          <w:p w14:paraId="768CC52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ЗМСП</w:t>
            </w:r>
          </w:p>
        </w:tc>
        <w:tc>
          <w:tcPr>
            <w:tcW w:w="3876" w:type="pct"/>
            <w:shd w:val="clear" w:color="auto" w:fill="F3F3F3"/>
          </w:tcPr>
          <w:p w14:paraId="1174C47C"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малките и средните предприятия</w:t>
            </w:r>
          </w:p>
        </w:tc>
      </w:tr>
      <w:tr w:rsidR="00C1144B" w:rsidRPr="008E4D35" w14:paraId="796EDF28" w14:textId="77777777" w:rsidTr="00F14642">
        <w:tc>
          <w:tcPr>
            <w:tcW w:w="1124" w:type="pct"/>
            <w:shd w:val="clear" w:color="auto" w:fill="D9D9D9"/>
          </w:tcPr>
          <w:p w14:paraId="43614661"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ЗОП</w:t>
            </w:r>
          </w:p>
        </w:tc>
        <w:tc>
          <w:tcPr>
            <w:tcW w:w="3876" w:type="pct"/>
            <w:shd w:val="clear" w:color="auto" w:fill="F3F3F3"/>
          </w:tcPr>
          <w:p w14:paraId="05D5E2E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обществените поръчки</w:t>
            </w:r>
          </w:p>
        </w:tc>
      </w:tr>
      <w:tr w:rsidR="0011077A" w:rsidRPr="008E4D35" w14:paraId="210E25B8" w14:textId="77777777" w:rsidTr="00F14642">
        <w:tc>
          <w:tcPr>
            <w:tcW w:w="1124" w:type="pct"/>
            <w:shd w:val="clear" w:color="auto" w:fill="D9D9D9"/>
          </w:tcPr>
          <w:p w14:paraId="2D73EB8E"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ЗУО</w:t>
            </w:r>
          </w:p>
        </w:tc>
        <w:tc>
          <w:tcPr>
            <w:tcW w:w="3876" w:type="pct"/>
            <w:shd w:val="clear" w:color="auto" w:fill="F3F3F3"/>
          </w:tcPr>
          <w:p w14:paraId="53208153" w14:textId="77777777" w:rsidR="0011077A" w:rsidRPr="008E4D35" w:rsidRDefault="0011077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Закон за управление на отпадъците</w:t>
            </w:r>
          </w:p>
        </w:tc>
      </w:tr>
      <w:tr w:rsidR="00C1144B" w:rsidRPr="008E4D35" w14:paraId="5D331B1D" w14:textId="77777777" w:rsidTr="00F14642">
        <w:tc>
          <w:tcPr>
            <w:tcW w:w="1124" w:type="pct"/>
            <w:shd w:val="clear" w:color="auto" w:fill="D9D9D9"/>
          </w:tcPr>
          <w:p w14:paraId="36C9D225"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ЗТР</w:t>
            </w:r>
          </w:p>
        </w:tc>
        <w:tc>
          <w:tcPr>
            <w:tcW w:w="3876" w:type="pct"/>
            <w:shd w:val="clear" w:color="auto" w:fill="F3F3F3"/>
          </w:tcPr>
          <w:p w14:paraId="778FA829"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Закон за търговския регистър</w:t>
            </w:r>
          </w:p>
        </w:tc>
      </w:tr>
      <w:tr w:rsidR="00764CC7" w:rsidRPr="008E4D35" w14:paraId="51BEDE50" w14:textId="77777777" w:rsidTr="00F14642">
        <w:tc>
          <w:tcPr>
            <w:tcW w:w="1124" w:type="pct"/>
            <w:shd w:val="clear" w:color="auto" w:fill="D9D9D9"/>
          </w:tcPr>
          <w:p w14:paraId="0CA408DF" w14:textId="77777777" w:rsidR="00764CC7" w:rsidRPr="00764CC7"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ЗУСЕСИФ</w:t>
            </w:r>
          </w:p>
        </w:tc>
        <w:tc>
          <w:tcPr>
            <w:tcW w:w="3876" w:type="pct"/>
            <w:shd w:val="clear" w:color="auto" w:fill="F3F3F3"/>
          </w:tcPr>
          <w:p w14:paraId="0BF5049E" w14:textId="77777777" w:rsidR="00764CC7" w:rsidRPr="008E4D35" w:rsidRDefault="00764CC7"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Закон </w:t>
            </w:r>
            <w:r w:rsidR="00E3682E">
              <w:rPr>
                <w:rFonts w:eastAsia="Times New Roman" w:cstheme="minorHAnsi"/>
                <w:b/>
                <w:snapToGrid w:val="0"/>
                <w:sz w:val="24"/>
                <w:szCs w:val="24"/>
              </w:rPr>
              <w:t>за управление на средствата от Е</w:t>
            </w:r>
            <w:r>
              <w:rPr>
                <w:rFonts w:eastAsia="Times New Roman" w:cstheme="minorHAnsi"/>
                <w:b/>
                <w:snapToGrid w:val="0"/>
                <w:sz w:val="24"/>
                <w:szCs w:val="24"/>
              </w:rPr>
              <w:t>вропейските структурни и инвестиционни фондове</w:t>
            </w:r>
          </w:p>
        </w:tc>
      </w:tr>
      <w:tr w:rsidR="00C83BE5" w:rsidRPr="008E4D35" w14:paraId="1965DD87" w14:textId="77777777" w:rsidTr="00F14642">
        <w:tc>
          <w:tcPr>
            <w:tcW w:w="1124" w:type="pct"/>
            <w:shd w:val="clear" w:color="auto" w:fill="D9D9D9"/>
          </w:tcPr>
          <w:p w14:paraId="226396C1" w14:textId="036344B9" w:rsidR="00C83BE5" w:rsidRPr="00034209" w:rsidRDefault="00C83BE5" w:rsidP="008B34EF">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ИС</w:t>
            </w:r>
            <w:r w:rsidR="00424C2D" w:rsidRPr="00034209">
              <w:rPr>
                <w:rFonts w:eastAsia="Times New Roman" w:cstheme="minorHAnsi"/>
                <w:b/>
                <w:snapToGrid w:val="0"/>
                <w:sz w:val="24"/>
                <w:szCs w:val="24"/>
              </w:rPr>
              <w:t>М</w:t>
            </w:r>
          </w:p>
        </w:tc>
        <w:tc>
          <w:tcPr>
            <w:tcW w:w="3876" w:type="pct"/>
            <w:shd w:val="clear" w:color="auto" w:fill="F3F3F3"/>
          </w:tcPr>
          <w:p w14:paraId="619B2EF8" w14:textId="015E4BC7" w:rsidR="00C83BE5" w:rsidRPr="00034209" w:rsidRDefault="00C83BE5" w:rsidP="006B3EF3">
            <w:pPr>
              <w:spacing w:after="0" w:line="240" w:lineRule="auto"/>
              <w:ind w:left="288" w:right="288"/>
              <w:rPr>
                <w:rFonts w:eastAsia="Times New Roman" w:cstheme="minorHAnsi"/>
                <w:b/>
                <w:snapToGrid w:val="0"/>
                <w:sz w:val="24"/>
                <w:szCs w:val="24"/>
              </w:rPr>
            </w:pPr>
            <w:r w:rsidRPr="00034209">
              <w:rPr>
                <w:rFonts w:eastAsia="Times New Roman" w:cstheme="minorHAnsi"/>
                <w:b/>
                <w:snapToGrid w:val="0"/>
                <w:sz w:val="24"/>
                <w:szCs w:val="24"/>
              </w:rPr>
              <w:t xml:space="preserve">Информационна система за </w:t>
            </w:r>
            <w:r w:rsidR="00424C2D" w:rsidRPr="00034209">
              <w:rPr>
                <w:rFonts w:eastAsia="Times New Roman" w:cstheme="minorHAnsi"/>
                <w:b/>
                <w:snapToGrid w:val="0"/>
                <w:sz w:val="24"/>
                <w:szCs w:val="24"/>
              </w:rPr>
              <w:t>Механизма</w:t>
            </w:r>
            <w:r w:rsidR="004C6D46">
              <w:rPr>
                <w:rFonts w:eastAsia="Times New Roman" w:cstheme="minorHAnsi"/>
                <w:b/>
                <w:snapToGrid w:val="0"/>
                <w:sz w:val="24"/>
                <w:szCs w:val="24"/>
              </w:rPr>
              <w:t xml:space="preserve"> – ИСУН 2020, раздел</w:t>
            </w:r>
            <w:r w:rsidR="006B3EF3">
              <w:rPr>
                <w:rFonts w:eastAsia="Times New Roman" w:cstheme="minorHAnsi"/>
                <w:b/>
                <w:snapToGrid w:val="0"/>
                <w:sz w:val="24"/>
                <w:szCs w:val="24"/>
              </w:rPr>
              <w:t xml:space="preserve"> НПВУ</w:t>
            </w:r>
          </w:p>
        </w:tc>
      </w:tr>
      <w:tr w:rsidR="00875315" w:rsidRPr="008E4D35" w14:paraId="47F9140A" w14:textId="77777777" w:rsidTr="00F14642">
        <w:tc>
          <w:tcPr>
            <w:tcW w:w="1124" w:type="pct"/>
            <w:shd w:val="clear" w:color="auto" w:fill="D9D9D9"/>
          </w:tcPr>
          <w:p w14:paraId="525A6082" w14:textId="6A70B7FC" w:rsidR="00875315" w:rsidRPr="00034209" w:rsidRDefault="00875315"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ИСУН 2020</w:t>
            </w:r>
          </w:p>
        </w:tc>
        <w:tc>
          <w:tcPr>
            <w:tcW w:w="3876" w:type="pct"/>
            <w:shd w:val="clear" w:color="auto" w:fill="F3F3F3"/>
          </w:tcPr>
          <w:p w14:paraId="70354DDD" w14:textId="5CC6D32A" w:rsidR="00875315" w:rsidRPr="00034209" w:rsidRDefault="00875315"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Информационна система за управление и наблюдение</w:t>
            </w:r>
            <w:r w:rsidR="00067C3A">
              <w:rPr>
                <w:rFonts w:eastAsia="Times New Roman" w:cstheme="minorHAnsi"/>
                <w:b/>
                <w:snapToGrid w:val="0"/>
                <w:sz w:val="24"/>
                <w:szCs w:val="24"/>
              </w:rPr>
              <w:t xml:space="preserve"> на средствата от ЕС в България</w:t>
            </w:r>
            <w:r>
              <w:rPr>
                <w:rFonts w:eastAsia="Times New Roman" w:cstheme="minorHAnsi"/>
                <w:b/>
                <w:snapToGrid w:val="0"/>
                <w:sz w:val="24"/>
                <w:szCs w:val="24"/>
              </w:rPr>
              <w:t xml:space="preserve"> 2020</w:t>
            </w:r>
          </w:p>
        </w:tc>
      </w:tr>
      <w:tr w:rsidR="009228BD" w:rsidRPr="008E4D35" w14:paraId="61026595" w14:textId="77777777" w:rsidTr="00F14642">
        <w:tc>
          <w:tcPr>
            <w:tcW w:w="1124" w:type="pct"/>
            <w:shd w:val="clear" w:color="auto" w:fill="D9D9D9"/>
          </w:tcPr>
          <w:p w14:paraId="73F03A10"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КЕП</w:t>
            </w:r>
          </w:p>
        </w:tc>
        <w:tc>
          <w:tcPr>
            <w:tcW w:w="3876" w:type="pct"/>
            <w:shd w:val="clear" w:color="auto" w:fill="F3F3F3"/>
          </w:tcPr>
          <w:p w14:paraId="61F07697" w14:textId="77777777" w:rsidR="009228BD" w:rsidRPr="008E4D35" w:rsidRDefault="009228BD"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Квалифициран електронен подпис</w:t>
            </w:r>
          </w:p>
        </w:tc>
      </w:tr>
      <w:tr w:rsidR="00C1144B" w:rsidRPr="008E4D35" w14:paraId="3A7FE9F4" w14:textId="77777777" w:rsidTr="00F14642">
        <w:tc>
          <w:tcPr>
            <w:tcW w:w="1124" w:type="pct"/>
            <w:shd w:val="clear" w:color="auto" w:fill="D9D9D9"/>
          </w:tcPr>
          <w:p w14:paraId="33FFE01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КИД 2008</w:t>
            </w:r>
          </w:p>
        </w:tc>
        <w:tc>
          <w:tcPr>
            <w:tcW w:w="3876" w:type="pct"/>
            <w:shd w:val="clear" w:color="auto" w:fill="F3F3F3"/>
          </w:tcPr>
          <w:p w14:paraId="7A44BFD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Класификация на икономическите дейности 2008</w:t>
            </w:r>
          </w:p>
        </w:tc>
      </w:tr>
      <w:tr w:rsidR="00775161" w:rsidRPr="008E4D35" w14:paraId="2B896C32" w14:textId="77777777" w:rsidTr="00F14642">
        <w:tc>
          <w:tcPr>
            <w:tcW w:w="1124" w:type="pct"/>
            <w:shd w:val="clear" w:color="auto" w:fill="D9D9D9"/>
          </w:tcPr>
          <w:p w14:paraId="583F097C" w14:textId="77777777" w:rsidR="00775161"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МВУ</w:t>
            </w:r>
          </w:p>
        </w:tc>
        <w:tc>
          <w:tcPr>
            <w:tcW w:w="3876" w:type="pct"/>
            <w:shd w:val="clear" w:color="auto" w:fill="F3F3F3"/>
          </w:tcPr>
          <w:p w14:paraId="055BBDB5" w14:textId="77777777" w:rsidR="00775161"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 xml:space="preserve">Механизъм </w:t>
            </w:r>
            <w:r w:rsidR="00775161" w:rsidRPr="00775161">
              <w:rPr>
                <w:rFonts w:eastAsia="Times New Roman" w:cstheme="minorHAnsi"/>
                <w:b/>
                <w:snapToGrid w:val="0"/>
                <w:sz w:val="24"/>
                <w:szCs w:val="24"/>
              </w:rPr>
              <w:t>за възстановяване и устойчивост,</w:t>
            </w:r>
          </w:p>
        </w:tc>
      </w:tr>
      <w:tr w:rsidR="00C1144B" w:rsidRPr="008E4D35" w14:paraId="7FC0B55B" w14:textId="77777777" w:rsidTr="00F14642">
        <w:tc>
          <w:tcPr>
            <w:tcW w:w="1124" w:type="pct"/>
            <w:shd w:val="clear" w:color="auto" w:fill="D9D9D9"/>
          </w:tcPr>
          <w:p w14:paraId="520890C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w:t>
            </w:r>
            <w:r w:rsidR="001B21F3">
              <w:rPr>
                <w:rFonts w:eastAsia="Times New Roman" w:cstheme="minorHAnsi"/>
                <w:b/>
                <w:snapToGrid w:val="0"/>
                <w:sz w:val="24"/>
                <w:szCs w:val="24"/>
              </w:rPr>
              <w:t>Р</w:t>
            </w:r>
          </w:p>
        </w:tc>
        <w:tc>
          <w:tcPr>
            <w:tcW w:w="3876" w:type="pct"/>
            <w:shd w:val="clear" w:color="auto" w:fill="F3F3F3"/>
          </w:tcPr>
          <w:p w14:paraId="2DA72199" w14:textId="77777777" w:rsidR="00C1144B" w:rsidRPr="008E4D35" w:rsidRDefault="00775161"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Министерство на иновациите и растежа</w:t>
            </w:r>
          </w:p>
        </w:tc>
      </w:tr>
      <w:tr w:rsidR="00C1144B" w:rsidRPr="008E4D35" w14:paraId="4C8158D3" w14:textId="77777777" w:rsidTr="00F14642">
        <w:tc>
          <w:tcPr>
            <w:tcW w:w="1124" w:type="pct"/>
            <w:shd w:val="clear" w:color="auto" w:fill="D9D9D9"/>
          </w:tcPr>
          <w:p w14:paraId="1EFA6EE7"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w:t>
            </w:r>
          </w:p>
        </w:tc>
        <w:tc>
          <w:tcPr>
            <w:tcW w:w="3876" w:type="pct"/>
            <w:shd w:val="clear" w:color="auto" w:fill="F3F3F3"/>
          </w:tcPr>
          <w:p w14:paraId="087D5DBA"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Министерски съвет</w:t>
            </w:r>
          </w:p>
        </w:tc>
      </w:tr>
      <w:tr w:rsidR="00C1144B" w:rsidRPr="008E4D35" w14:paraId="44AFEF1E" w14:textId="77777777" w:rsidTr="00F14642">
        <w:tc>
          <w:tcPr>
            <w:tcW w:w="1124" w:type="pct"/>
            <w:shd w:val="clear" w:color="auto" w:fill="D9D9D9"/>
          </w:tcPr>
          <w:p w14:paraId="19396F9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МСП</w:t>
            </w:r>
          </w:p>
        </w:tc>
        <w:tc>
          <w:tcPr>
            <w:tcW w:w="3876" w:type="pct"/>
            <w:shd w:val="clear" w:color="auto" w:fill="F3F3F3"/>
          </w:tcPr>
          <w:p w14:paraId="4B7AE4FF"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Малки и средни предприятия</w:t>
            </w:r>
          </w:p>
        </w:tc>
      </w:tr>
      <w:tr w:rsidR="001B6CC2" w:rsidRPr="008E4D35" w14:paraId="74FE7EC6" w14:textId="77777777" w:rsidTr="00F14642">
        <w:tc>
          <w:tcPr>
            <w:tcW w:w="1124" w:type="pct"/>
            <w:shd w:val="clear" w:color="auto" w:fill="D9D9D9"/>
          </w:tcPr>
          <w:p w14:paraId="2C751BA1" w14:textId="77777777" w:rsidR="001B6CC2" w:rsidRPr="008E4D35" w:rsidRDefault="001B6CC2"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НСМСП</w:t>
            </w:r>
          </w:p>
        </w:tc>
        <w:tc>
          <w:tcPr>
            <w:tcW w:w="3876" w:type="pct"/>
            <w:shd w:val="clear" w:color="auto" w:fill="F3F3F3"/>
          </w:tcPr>
          <w:p w14:paraId="7BD34866" w14:textId="77777777" w:rsidR="00C97263" w:rsidRDefault="001B6CC2" w:rsidP="008B34EF">
            <w:pPr>
              <w:spacing w:after="0" w:line="240" w:lineRule="auto"/>
              <w:ind w:left="289" w:right="289"/>
              <w:rPr>
                <w:rFonts w:eastAsia="Times New Roman" w:cstheme="minorHAnsi"/>
                <w:b/>
                <w:snapToGrid w:val="0"/>
                <w:sz w:val="24"/>
                <w:szCs w:val="24"/>
              </w:rPr>
            </w:pPr>
            <w:r w:rsidRPr="001B6CC2">
              <w:rPr>
                <w:rFonts w:eastAsia="Times New Roman" w:cstheme="minorHAnsi"/>
                <w:b/>
                <w:snapToGrid w:val="0"/>
                <w:sz w:val="24"/>
                <w:szCs w:val="24"/>
              </w:rPr>
              <w:t xml:space="preserve">Националната стратегия за малките и средни предприятия </w:t>
            </w:r>
          </w:p>
          <w:p w14:paraId="23B1BF24" w14:textId="4C588AD7" w:rsidR="001B6CC2" w:rsidRPr="008E4D35" w:rsidRDefault="001B6CC2" w:rsidP="008B34EF">
            <w:pPr>
              <w:spacing w:after="0" w:line="240" w:lineRule="auto"/>
              <w:ind w:left="289" w:right="289"/>
              <w:rPr>
                <w:rFonts w:eastAsia="Times New Roman" w:cstheme="minorHAnsi"/>
                <w:b/>
                <w:snapToGrid w:val="0"/>
                <w:sz w:val="24"/>
                <w:szCs w:val="24"/>
              </w:rPr>
            </w:pPr>
            <w:r w:rsidRPr="001B6CC2">
              <w:rPr>
                <w:rFonts w:eastAsia="Times New Roman" w:cstheme="minorHAnsi"/>
                <w:b/>
                <w:snapToGrid w:val="0"/>
                <w:sz w:val="24"/>
                <w:szCs w:val="24"/>
              </w:rPr>
              <w:t>2021-2027</w:t>
            </w:r>
          </w:p>
        </w:tc>
      </w:tr>
      <w:tr w:rsidR="00482E5A" w:rsidRPr="008E4D35" w14:paraId="7B8AEDF6" w14:textId="77777777" w:rsidTr="00F14642">
        <w:tc>
          <w:tcPr>
            <w:tcW w:w="1124" w:type="pct"/>
            <w:shd w:val="clear" w:color="auto" w:fill="D9D9D9"/>
          </w:tcPr>
          <w:p w14:paraId="625262B2" w14:textId="77777777" w:rsidR="00482E5A" w:rsidRPr="008E4D35" w:rsidRDefault="00482E5A"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НПВУ</w:t>
            </w:r>
          </w:p>
        </w:tc>
        <w:tc>
          <w:tcPr>
            <w:tcW w:w="3876" w:type="pct"/>
            <w:shd w:val="clear" w:color="auto" w:fill="F3F3F3"/>
          </w:tcPr>
          <w:p w14:paraId="0DA12EBE" w14:textId="77777777" w:rsidR="00482E5A" w:rsidRPr="008E4D35" w:rsidRDefault="00482E5A" w:rsidP="008B34EF">
            <w:pPr>
              <w:spacing w:after="0" w:line="240" w:lineRule="auto"/>
              <w:ind w:left="288" w:right="288"/>
              <w:rPr>
                <w:rFonts w:eastAsia="Times New Roman" w:cstheme="minorHAnsi"/>
                <w:b/>
                <w:snapToGrid w:val="0"/>
                <w:sz w:val="24"/>
                <w:szCs w:val="24"/>
              </w:rPr>
            </w:pPr>
            <w:r w:rsidRPr="00482E5A">
              <w:rPr>
                <w:rFonts w:eastAsia="Times New Roman" w:cstheme="minorHAnsi"/>
                <w:b/>
                <w:snapToGrid w:val="0"/>
                <w:sz w:val="24"/>
                <w:szCs w:val="24"/>
              </w:rPr>
              <w:t>Национален план за възстановяване и устойчивост</w:t>
            </w:r>
          </w:p>
        </w:tc>
      </w:tr>
      <w:tr w:rsidR="00C1144B" w:rsidRPr="008E4D35" w14:paraId="68F676FE" w14:textId="77777777" w:rsidTr="00F14642">
        <w:tc>
          <w:tcPr>
            <w:tcW w:w="1124" w:type="pct"/>
            <w:shd w:val="clear" w:color="auto" w:fill="D9D9D9"/>
          </w:tcPr>
          <w:p w14:paraId="1BD7E663"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НСИ</w:t>
            </w:r>
          </w:p>
        </w:tc>
        <w:tc>
          <w:tcPr>
            <w:tcW w:w="3876" w:type="pct"/>
            <w:shd w:val="clear" w:color="auto" w:fill="F3F3F3"/>
          </w:tcPr>
          <w:p w14:paraId="44AE2CB8"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Национален статистически институт</w:t>
            </w:r>
          </w:p>
        </w:tc>
      </w:tr>
      <w:tr w:rsidR="00734B42" w:rsidRPr="008E4D35" w14:paraId="56F2D5BF" w14:textId="77777777" w:rsidTr="00F14642">
        <w:tc>
          <w:tcPr>
            <w:tcW w:w="1124" w:type="pct"/>
            <w:shd w:val="clear" w:color="auto" w:fill="D9D9D9"/>
          </w:tcPr>
          <w:p w14:paraId="523FDA8B" w14:textId="77777777" w:rsidR="00734B42" w:rsidRPr="008E4D35" w:rsidRDefault="00734B4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ОПИК</w:t>
            </w:r>
          </w:p>
        </w:tc>
        <w:tc>
          <w:tcPr>
            <w:tcW w:w="3876" w:type="pct"/>
            <w:shd w:val="clear" w:color="auto" w:fill="F3F3F3"/>
          </w:tcPr>
          <w:p w14:paraId="76AFF264" w14:textId="77777777" w:rsidR="00734B42" w:rsidRPr="008E4D35" w:rsidRDefault="00734B42"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Оперативна програма „</w:t>
            </w:r>
            <w:r w:rsidR="001375DA" w:rsidRPr="008E4D35">
              <w:rPr>
                <w:rFonts w:eastAsia="Times New Roman" w:cstheme="minorHAnsi"/>
                <w:b/>
                <w:snapToGrid w:val="0"/>
                <w:sz w:val="24"/>
                <w:szCs w:val="24"/>
              </w:rPr>
              <w:t xml:space="preserve">Иновации и </w:t>
            </w:r>
            <w:r w:rsidR="00D31E18">
              <w:rPr>
                <w:rFonts w:eastAsia="Times New Roman" w:cstheme="minorHAnsi"/>
                <w:b/>
                <w:snapToGrid w:val="0"/>
                <w:sz w:val="24"/>
                <w:szCs w:val="24"/>
              </w:rPr>
              <w:t>к</w:t>
            </w:r>
            <w:r w:rsidRPr="008E4D35">
              <w:rPr>
                <w:rFonts w:eastAsia="Times New Roman" w:cstheme="minorHAnsi"/>
                <w:b/>
                <w:snapToGrid w:val="0"/>
                <w:sz w:val="24"/>
                <w:szCs w:val="24"/>
              </w:rPr>
              <w:t>онкурентоспособност“</w:t>
            </w:r>
          </w:p>
        </w:tc>
      </w:tr>
      <w:tr w:rsidR="00DA7AAF" w:rsidRPr="008E4D35" w14:paraId="3A9E38BA" w14:textId="77777777" w:rsidTr="00F14642">
        <w:tc>
          <w:tcPr>
            <w:tcW w:w="1124" w:type="pct"/>
            <w:shd w:val="clear" w:color="auto" w:fill="D9D9D9"/>
          </w:tcPr>
          <w:p w14:paraId="3CFEDE1F" w14:textId="77777777" w:rsidR="00DA7AAF" w:rsidRPr="008E4D35"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ПИТ</w:t>
            </w:r>
          </w:p>
        </w:tc>
        <w:tc>
          <w:tcPr>
            <w:tcW w:w="3876" w:type="pct"/>
            <w:shd w:val="clear" w:color="auto" w:fill="F3F3F3"/>
          </w:tcPr>
          <w:p w14:paraId="189C2E05" w14:textId="77777777" w:rsidR="00DA7AAF" w:rsidRPr="008E4D35" w:rsidRDefault="001B21F3"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Програма</w:t>
            </w:r>
            <w:r w:rsidR="00DA7AAF" w:rsidRPr="00DA7AAF">
              <w:rPr>
                <w:rFonts w:eastAsia="Times New Roman" w:cstheme="minorHAnsi"/>
                <w:b/>
                <w:snapToGrid w:val="0"/>
                <w:sz w:val="24"/>
                <w:szCs w:val="24"/>
              </w:rPr>
              <w:t xml:space="preserve"> за икономическа трансформация</w:t>
            </w:r>
          </w:p>
        </w:tc>
      </w:tr>
      <w:tr w:rsidR="00C1144B" w:rsidRPr="008E4D35" w14:paraId="3FC02BD6" w14:textId="77777777" w:rsidTr="00F14642">
        <w:tc>
          <w:tcPr>
            <w:tcW w:w="1124" w:type="pct"/>
            <w:shd w:val="clear" w:color="auto" w:fill="D9D9D9"/>
          </w:tcPr>
          <w:p w14:paraId="62F31946"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ПМС</w:t>
            </w:r>
          </w:p>
        </w:tc>
        <w:tc>
          <w:tcPr>
            <w:tcW w:w="3876" w:type="pct"/>
            <w:shd w:val="clear" w:color="auto" w:fill="F3F3F3"/>
          </w:tcPr>
          <w:p w14:paraId="231D8D3D"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Постановление на Министерски съвет</w:t>
            </w:r>
          </w:p>
        </w:tc>
      </w:tr>
      <w:tr w:rsidR="00C1144B" w:rsidRPr="008E4D35" w14:paraId="297BA064" w14:textId="77777777" w:rsidTr="00F14642">
        <w:tc>
          <w:tcPr>
            <w:tcW w:w="1124" w:type="pct"/>
            <w:shd w:val="clear" w:color="auto" w:fill="D9D9D9"/>
          </w:tcPr>
          <w:p w14:paraId="4A5E7FF1"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СМР</w:t>
            </w:r>
          </w:p>
        </w:tc>
        <w:tc>
          <w:tcPr>
            <w:tcW w:w="3876" w:type="pct"/>
            <w:shd w:val="clear" w:color="auto" w:fill="F3F3F3"/>
          </w:tcPr>
          <w:p w14:paraId="265F1A2B" w14:textId="77777777" w:rsidR="00C1144B" w:rsidRPr="008E4D35" w:rsidRDefault="00C1144B"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Строително-монтажни работи</w:t>
            </w:r>
          </w:p>
        </w:tc>
      </w:tr>
      <w:tr w:rsidR="007759E7" w:rsidRPr="008E4D35" w14:paraId="0234903C" w14:textId="77777777" w:rsidTr="00F14642">
        <w:tc>
          <w:tcPr>
            <w:tcW w:w="1124" w:type="pct"/>
            <w:shd w:val="clear" w:color="auto" w:fill="D9D9D9"/>
          </w:tcPr>
          <w:p w14:paraId="06C4DBB9" w14:textId="77777777" w:rsidR="007759E7" w:rsidRPr="00DA7AAF" w:rsidRDefault="00DA7AAF" w:rsidP="008B34EF">
            <w:pPr>
              <w:spacing w:after="0" w:line="240" w:lineRule="auto"/>
              <w:ind w:left="288" w:right="288"/>
              <w:rPr>
                <w:rFonts w:eastAsia="Times New Roman" w:cstheme="minorHAnsi"/>
                <w:b/>
                <w:snapToGrid w:val="0"/>
                <w:sz w:val="24"/>
                <w:szCs w:val="24"/>
              </w:rPr>
            </w:pPr>
            <w:r>
              <w:rPr>
                <w:rFonts w:eastAsia="Times New Roman" w:cstheme="minorHAnsi"/>
                <w:b/>
                <w:snapToGrid w:val="0"/>
                <w:sz w:val="24"/>
                <w:szCs w:val="24"/>
              </w:rPr>
              <w:t>СНД</w:t>
            </w:r>
          </w:p>
        </w:tc>
        <w:tc>
          <w:tcPr>
            <w:tcW w:w="3876" w:type="pct"/>
            <w:shd w:val="clear" w:color="auto" w:fill="F3F3F3"/>
          </w:tcPr>
          <w:p w14:paraId="492DEEF2" w14:textId="77777777" w:rsidR="007759E7" w:rsidRPr="008E4D35" w:rsidRDefault="00DA7AAF" w:rsidP="008B34EF">
            <w:pPr>
              <w:spacing w:after="0" w:line="240" w:lineRule="auto"/>
              <w:ind w:left="288" w:right="288"/>
              <w:rPr>
                <w:rFonts w:eastAsia="Times New Roman" w:cstheme="minorHAnsi"/>
                <w:b/>
                <w:snapToGrid w:val="0"/>
                <w:sz w:val="24"/>
                <w:szCs w:val="24"/>
              </w:rPr>
            </w:pPr>
            <w:r w:rsidRPr="00DA7AAF">
              <w:rPr>
                <w:rFonts w:eastAsia="Times New Roman" w:cstheme="minorHAnsi"/>
                <w:b/>
                <w:snapToGrid w:val="0"/>
                <w:sz w:val="24"/>
                <w:szCs w:val="24"/>
              </w:rPr>
              <w:t>Структурат</w:t>
            </w:r>
            <w:r w:rsidR="001B21F3">
              <w:rPr>
                <w:rFonts w:eastAsia="Times New Roman" w:cstheme="minorHAnsi"/>
                <w:b/>
                <w:snapToGrid w:val="0"/>
                <w:sz w:val="24"/>
                <w:szCs w:val="24"/>
              </w:rPr>
              <w:t>а за наблюдение и докладване</w:t>
            </w:r>
          </w:p>
        </w:tc>
      </w:tr>
      <w:tr w:rsidR="00413F4A" w:rsidRPr="008E4D35" w14:paraId="2DB343D8" w14:textId="77777777" w:rsidTr="00F14642">
        <w:tc>
          <w:tcPr>
            <w:tcW w:w="1124" w:type="pct"/>
            <w:shd w:val="clear" w:color="auto" w:fill="D9D9D9"/>
          </w:tcPr>
          <w:p w14:paraId="358E0ADD" w14:textId="77777777" w:rsidR="00413F4A" w:rsidRPr="008E4D35" w:rsidRDefault="00413F4A"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ФК</w:t>
            </w:r>
          </w:p>
        </w:tc>
        <w:tc>
          <w:tcPr>
            <w:tcW w:w="3876" w:type="pct"/>
            <w:shd w:val="clear" w:color="auto" w:fill="F3F3F3"/>
          </w:tcPr>
          <w:p w14:paraId="25439B8D" w14:textId="77777777" w:rsidR="00413F4A" w:rsidRPr="008E4D35" w:rsidRDefault="00413F4A"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Формуляр за кандидатстване</w:t>
            </w:r>
          </w:p>
        </w:tc>
      </w:tr>
      <w:tr w:rsidR="00BC06E5" w:rsidRPr="008E4D35" w14:paraId="05FC2D16" w14:textId="77777777" w:rsidTr="00F14642">
        <w:tc>
          <w:tcPr>
            <w:tcW w:w="1124" w:type="pct"/>
            <w:shd w:val="clear" w:color="auto" w:fill="D9D9D9"/>
          </w:tcPr>
          <w:p w14:paraId="513E8438" w14:textId="77777777" w:rsidR="00BC06E5" w:rsidRPr="008E4D35" w:rsidRDefault="00B219EC"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ЮЗР</w:t>
            </w:r>
          </w:p>
        </w:tc>
        <w:tc>
          <w:tcPr>
            <w:tcW w:w="3876" w:type="pct"/>
            <w:shd w:val="clear" w:color="auto" w:fill="F3F3F3"/>
          </w:tcPr>
          <w:p w14:paraId="66632E82" w14:textId="77777777" w:rsidR="00BC06E5" w:rsidRPr="008E4D35" w:rsidRDefault="00624B99" w:rsidP="008B34EF">
            <w:pPr>
              <w:spacing w:after="0" w:line="240" w:lineRule="auto"/>
              <w:ind w:left="288" w:right="288"/>
              <w:rPr>
                <w:rFonts w:eastAsia="Times New Roman" w:cstheme="minorHAnsi"/>
                <w:b/>
                <w:snapToGrid w:val="0"/>
                <w:sz w:val="24"/>
                <w:szCs w:val="24"/>
              </w:rPr>
            </w:pPr>
            <w:r w:rsidRPr="008E4D35">
              <w:rPr>
                <w:rFonts w:eastAsia="Times New Roman" w:cstheme="minorHAnsi"/>
                <w:b/>
                <w:snapToGrid w:val="0"/>
                <w:sz w:val="24"/>
                <w:szCs w:val="24"/>
              </w:rPr>
              <w:t xml:space="preserve">Югозападен район </w:t>
            </w:r>
          </w:p>
        </w:tc>
      </w:tr>
    </w:tbl>
    <w:p w14:paraId="365A6222" w14:textId="77777777" w:rsidR="00DA3619" w:rsidRPr="008E4D35" w:rsidRDefault="00DA3619">
      <w:pPr>
        <w:rPr>
          <w:rFonts w:cstheme="minorHAnsi"/>
          <w:sz w:val="24"/>
          <w:szCs w:val="24"/>
        </w:rPr>
      </w:pPr>
    </w:p>
    <w:p w14:paraId="44739495" w14:textId="535CFC72" w:rsidR="00F56BC0" w:rsidRDefault="007F4E6D" w:rsidP="00F56BC0">
      <w:pPr>
        <w:spacing w:after="0" w:line="240" w:lineRule="auto"/>
        <w:rPr>
          <w:rFonts w:eastAsia="Times New Roman" w:cstheme="minorHAnsi"/>
          <w:b/>
          <w:snapToGrid w:val="0"/>
          <w:kern w:val="28"/>
          <w:sz w:val="24"/>
          <w:szCs w:val="24"/>
        </w:rPr>
      </w:pPr>
      <w:r>
        <w:rPr>
          <w:rFonts w:eastAsia="Times New Roman" w:cstheme="minorHAnsi"/>
          <w:b/>
          <w:snapToGrid w:val="0"/>
          <w:kern w:val="28"/>
          <w:sz w:val="24"/>
          <w:szCs w:val="24"/>
          <w:lang w:val="en-US"/>
        </w:rPr>
        <w:t xml:space="preserve">II. </w:t>
      </w:r>
      <w:r w:rsidR="00DF094A" w:rsidRPr="008E4D35">
        <w:rPr>
          <w:rFonts w:eastAsia="Times New Roman" w:cstheme="minorHAnsi"/>
          <w:b/>
          <w:snapToGrid w:val="0"/>
          <w:kern w:val="28"/>
          <w:sz w:val="24"/>
          <w:szCs w:val="24"/>
        </w:rPr>
        <w:t>ОСНОВНИ ДЕФИНИЦИИ</w:t>
      </w:r>
      <w:r w:rsidR="009B0FAC">
        <w:rPr>
          <w:rFonts w:eastAsia="Times New Roman" w:cstheme="minorHAnsi"/>
          <w:b/>
          <w:snapToGrid w:val="0"/>
          <w:kern w:val="28"/>
          <w:sz w:val="24"/>
          <w:szCs w:val="24"/>
        </w:rPr>
        <w:t>:</w:t>
      </w:r>
    </w:p>
    <w:p w14:paraId="2117F6FE" w14:textId="77777777" w:rsidR="00E12165" w:rsidRPr="008E4D35" w:rsidRDefault="00E12165" w:rsidP="00F56BC0">
      <w:pPr>
        <w:spacing w:after="0" w:line="240" w:lineRule="auto"/>
        <w:rPr>
          <w:rFonts w:eastAsia="Times New Roman" w:cstheme="minorHAnsi"/>
          <w:b/>
          <w:snapToGrid w:val="0"/>
          <w:kern w:val="28"/>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3"/>
        <w:gridCol w:w="6429"/>
      </w:tblGrid>
      <w:tr w:rsidR="002D0B4D" w:rsidRPr="008E4D35" w14:paraId="3BBB5745" w14:textId="77777777" w:rsidTr="00D54E1F">
        <w:tc>
          <w:tcPr>
            <w:tcW w:w="9062" w:type="dxa"/>
            <w:gridSpan w:val="2"/>
            <w:shd w:val="clear" w:color="auto" w:fill="E6E6E6"/>
          </w:tcPr>
          <w:p w14:paraId="2F6B201A" w14:textId="77777777" w:rsidR="002D0B4D" w:rsidRPr="00D31E18" w:rsidRDefault="002D0B4D" w:rsidP="001172F3">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b/>
                <w:snapToGrid w:val="0"/>
                <w:sz w:val="24"/>
                <w:szCs w:val="24"/>
              </w:rPr>
              <w:t>Общи</w:t>
            </w:r>
          </w:p>
        </w:tc>
      </w:tr>
      <w:tr w:rsidR="006932EA" w:rsidRPr="008E4D35" w14:paraId="4CFC2123" w14:textId="77777777" w:rsidTr="00D54E1F">
        <w:tc>
          <w:tcPr>
            <w:tcW w:w="2633" w:type="dxa"/>
            <w:shd w:val="clear" w:color="auto" w:fill="E6E6E6"/>
          </w:tcPr>
          <w:p w14:paraId="7A3BF8B6" w14:textId="77777777" w:rsidR="006932EA" w:rsidRPr="009200B0" w:rsidRDefault="006932EA"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Горски продукт</w:t>
            </w:r>
          </w:p>
        </w:tc>
        <w:tc>
          <w:tcPr>
            <w:tcW w:w="6429" w:type="dxa"/>
            <w:shd w:val="clear" w:color="auto" w:fill="F3F3F3"/>
          </w:tcPr>
          <w:p w14:paraId="69C16489" w14:textId="77777777" w:rsidR="006932EA" w:rsidRDefault="006932EA" w:rsidP="00F14642">
            <w:pPr>
              <w:spacing w:line="240" w:lineRule="auto"/>
              <w:jc w:val="both"/>
              <w:rPr>
                <w:rFonts w:eastAsia="Times New Roman" w:cstheme="minorHAnsi"/>
                <w:snapToGrid w:val="0"/>
                <w:sz w:val="24"/>
                <w:szCs w:val="24"/>
              </w:rPr>
            </w:pPr>
            <w:r>
              <w:rPr>
                <w:rFonts w:eastAsia="Times New Roman" w:cstheme="minorHAnsi"/>
                <w:snapToGrid w:val="0"/>
                <w:sz w:val="24"/>
                <w:szCs w:val="24"/>
              </w:rPr>
              <w:t>Дървесина и недървесни горски продукти. „</w:t>
            </w:r>
            <w:r w:rsidRPr="0003699C">
              <w:rPr>
                <w:rFonts w:eastAsia="Times New Roman" w:cstheme="minorHAnsi"/>
                <w:snapToGrid w:val="0"/>
                <w:sz w:val="24"/>
                <w:szCs w:val="24"/>
              </w:rPr>
              <w:t>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r>
              <w:rPr>
                <w:rFonts w:eastAsia="Times New Roman" w:cstheme="minorHAnsi"/>
                <w:snapToGrid w:val="0"/>
                <w:sz w:val="24"/>
                <w:szCs w:val="24"/>
              </w:rPr>
              <w:t>.</w:t>
            </w:r>
          </w:p>
          <w:p w14:paraId="3B3AD6E1" w14:textId="77777777" w:rsidR="006932EA" w:rsidRPr="00E42994" w:rsidRDefault="006932EA" w:rsidP="00647A60">
            <w:pPr>
              <w:spacing w:after="240"/>
              <w:jc w:val="both"/>
              <w:rPr>
                <w:rFonts w:eastAsia="Times New Roman" w:cstheme="minorHAnsi"/>
                <w:snapToGrid w:val="0"/>
                <w:sz w:val="24"/>
                <w:szCs w:val="24"/>
              </w:rPr>
            </w:pPr>
            <w:r w:rsidRPr="00E42994">
              <w:rPr>
                <w:rFonts w:eastAsia="Times New Roman" w:cstheme="minorHAnsi"/>
                <w:snapToGrid w:val="0"/>
                <w:sz w:val="24"/>
                <w:szCs w:val="24"/>
              </w:rPr>
              <w:t>Дефиницията включва и продукти от следните производства преди индустриалн</w:t>
            </w:r>
            <w:r w:rsidR="00647A60">
              <w:rPr>
                <w:rFonts w:eastAsia="Times New Roman" w:cstheme="minorHAnsi"/>
                <w:snapToGrid w:val="0"/>
                <w:sz w:val="24"/>
                <w:szCs w:val="24"/>
              </w:rPr>
              <w:t>ата преработка на дървесината:</w:t>
            </w:r>
          </w:p>
          <w:p w14:paraId="5B5239EC" w14:textId="77777777" w:rsidR="006932EA" w:rsidRPr="00E42994" w:rsidRDefault="006932EA" w:rsidP="0048471A">
            <w:pPr>
              <w:numPr>
                <w:ilvl w:val="0"/>
                <w:numId w:val="2"/>
              </w:numPr>
              <w:spacing w:before="240"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Машинно обработване на дървен материал чрез бичене, фрезоване, комбинирано или рязане или развиване; </w:t>
            </w:r>
          </w:p>
          <w:p w14:paraId="7C84F7CF"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Нарязване, сортиране, рендосване, профилиране, окрайчване, фасониране и шлайфане; </w:t>
            </w:r>
          </w:p>
          <w:p w14:paraId="1423C1AE"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Сушене и импрегниране на дървен материал; </w:t>
            </w:r>
          </w:p>
          <w:p w14:paraId="3AC9DEE4"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Производство</w:t>
            </w:r>
            <w:r w:rsidRPr="00E42994">
              <w:rPr>
                <w:rFonts w:ascii="Calibri" w:eastAsia="Times New Roman" w:hAnsi="Calibri" w:cs="Calibri"/>
                <w:i/>
                <w:iCs/>
              </w:rPr>
              <w:t xml:space="preserve"> </w:t>
            </w:r>
            <w:r w:rsidRPr="00E42994">
              <w:rPr>
                <w:rFonts w:eastAsia="Times New Roman" w:cstheme="minorHAnsi"/>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6D78B0E2" w14:textId="77777777" w:rsidR="006932EA" w:rsidRPr="00E42994" w:rsidRDefault="006932EA" w:rsidP="0048471A">
            <w:pPr>
              <w:numPr>
                <w:ilvl w:val="0"/>
                <w:numId w:val="2"/>
              </w:numPr>
              <w:spacing w:after="0" w:line="240" w:lineRule="auto"/>
              <w:ind w:left="317" w:hanging="317"/>
              <w:jc w:val="both"/>
              <w:rPr>
                <w:rFonts w:eastAsia="Times New Roman" w:cstheme="minorHAnsi"/>
                <w:snapToGrid w:val="0"/>
                <w:sz w:val="24"/>
                <w:szCs w:val="24"/>
              </w:rPr>
            </w:pPr>
            <w:r w:rsidRPr="00E42994">
              <w:rPr>
                <w:rFonts w:eastAsia="Times New Roman" w:cstheme="minorHAnsi"/>
                <w:snapToGrid w:val="0"/>
                <w:sz w:val="24"/>
                <w:szCs w:val="24"/>
              </w:rPr>
              <w:t xml:space="preserve">Производство на колове или колчета: белене, цепене, заостряне, пакетиране; </w:t>
            </w:r>
          </w:p>
          <w:p w14:paraId="4A26C90F" w14:textId="77777777" w:rsidR="006932EA" w:rsidRPr="00880021" w:rsidRDefault="006932EA" w:rsidP="0048471A">
            <w:pPr>
              <w:numPr>
                <w:ilvl w:val="0"/>
                <w:numId w:val="2"/>
              </w:numPr>
              <w:spacing w:after="0" w:line="240" w:lineRule="auto"/>
              <w:ind w:left="317" w:hanging="317"/>
              <w:jc w:val="both"/>
              <w:rPr>
                <w:rFonts w:eastAsia="Times New Roman" w:cstheme="minorHAnsi"/>
                <w:snapToGrid w:val="0"/>
                <w:sz w:val="24"/>
                <w:szCs w:val="24"/>
                <w:lang w:val="en-US"/>
              </w:rPr>
            </w:pPr>
            <w:r w:rsidRPr="00E42994">
              <w:rPr>
                <w:rFonts w:eastAsia="Times New Roman" w:cstheme="minorHAnsi"/>
                <w:snapToGrid w:val="0"/>
                <w:sz w:val="24"/>
                <w:szCs w:val="24"/>
              </w:rPr>
              <w:t>Производство на дърва за горене: рязане, цепене</w:t>
            </w:r>
            <w:r w:rsidRPr="00E42994">
              <w:rPr>
                <w:rFonts w:ascii="Calibri" w:eastAsia="Times New Roman" w:hAnsi="Calibri" w:cs="Calibri"/>
                <w:i/>
                <w:iCs/>
              </w:rPr>
              <w:t xml:space="preserve">, </w:t>
            </w:r>
            <w:r w:rsidRPr="00E42994">
              <w:rPr>
                <w:rFonts w:eastAsia="Times New Roman" w:cstheme="minorHAnsi"/>
                <w:snapToGrid w:val="0"/>
                <w:sz w:val="24"/>
                <w:szCs w:val="24"/>
              </w:rPr>
              <w:t>пакетиране;</w:t>
            </w:r>
          </w:p>
        </w:tc>
      </w:tr>
      <w:tr w:rsidR="00655AB9" w:rsidRPr="008E4D35" w14:paraId="3B158AD3" w14:textId="77777777" w:rsidTr="00D54E1F">
        <w:tc>
          <w:tcPr>
            <w:tcW w:w="2633" w:type="dxa"/>
            <w:shd w:val="clear" w:color="auto" w:fill="E6E6E6"/>
          </w:tcPr>
          <w:p w14:paraId="7F9009A3" w14:textId="77777777" w:rsidR="00655AB9" w:rsidRPr="008E4D35" w:rsidRDefault="00655AB9" w:rsidP="00021DCF">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Група предприятия</w:t>
            </w:r>
          </w:p>
        </w:tc>
        <w:tc>
          <w:tcPr>
            <w:tcW w:w="6429" w:type="dxa"/>
            <w:shd w:val="clear" w:color="auto" w:fill="F3F3F3"/>
          </w:tcPr>
          <w:p w14:paraId="235E8686" w14:textId="77777777" w:rsidR="000F5A47" w:rsidRDefault="00655AB9" w:rsidP="000F5A47">
            <w:pPr>
              <w:spacing w:before="100" w:beforeAutospacing="1" w:after="0" w:line="240" w:lineRule="auto"/>
              <w:jc w:val="both"/>
            </w:pPr>
            <w:r>
              <w:rPr>
                <w:rFonts w:eastAsia="Times New Roman" w:cstheme="minorHAnsi"/>
                <w:snapToGrid w:val="0"/>
                <w:sz w:val="24"/>
                <w:szCs w:val="24"/>
              </w:rPr>
              <w:t>„Г</w:t>
            </w:r>
            <w:r w:rsidRPr="00655AB9">
              <w:rPr>
                <w:rFonts w:eastAsia="Times New Roman" w:cstheme="minorHAnsi"/>
                <w:snapToGrid w:val="0"/>
                <w:sz w:val="24"/>
                <w:szCs w:val="24"/>
              </w:rPr>
              <w:t>рупа" означава предприятие майка и всички не</w:t>
            </w:r>
            <w:r>
              <w:rPr>
                <w:rFonts w:eastAsia="Times New Roman" w:cstheme="minorHAnsi"/>
                <w:snapToGrid w:val="0"/>
                <w:sz w:val="24"/>
                <w:szCs w:val="24"/>
              </w:rPr>
              <w:t xml:space="preserve">гови дъщерни предприятия, като: </w:t>
            </w:r>
            <w:r w:rsidRPr="00655AB9">
              <w:rPr>
                <w:rFonts w:eastAsia="Times New Roman" w:cstheme="minorHAnsi"/>
                <w:snapToGrid w:val="0"/>
                <w:sz w:val="24"/>
                <w:szCs w:val="24"/>
              </w:rPr>
              <w:t>"предприятие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r>
              <w:rPr>
                <w:rFonts w:eastAsia="Times New Roman" w:cstheme="minorHAnsi"/>
                <w:snapToGrid w:val="0"/>
                <w:sz w:val="24"/>
                <w:szCs w:val="24"/>
              </w:rPr>
              <w:t>.</w:t>
            </w:r>
          </w:p>
          <w:p w14:paraId="53CEAED2" w14:textId="5AAFBFD0" w:rsidR="00655AB9" w:rsidRDefault="000F5A47" w:rsidP="000F5A47">
            <w:pPr>
              <w:spacing w:after="100" w:afterAutospacing="1" w:line="240" w:lineRule="auto"/>
              <w:jc w:val="both"/>
              <w:rPr>
                <w:rFonts w:eastAsia="Times New Roman" w:cstheme="minorHAnsi"/>
                <w:snapToGrid w:val="0"/>
                <w:sz w:val="24"/>
                <w:szCs w:val="24"/>
              </w:rPr>
            </w:pPr>
            <w:r w:rsidRPr="000F5A47">
              <w:rPr>
                <w:rFonts w:eastAsia="Times New Roman" w:cstheme="minorHAnsi"/>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 на ЮЛНЦ), отчитайки възможността общия източник на контрол да се осъществява, както от предприятия, така и от физически ли</w:t>
            </w:r>
            <w:r>
              <w:rPr>
                <w:rFonts w:eastAsia="Times New Roman" w:cstheme="minorHAnsi"/>
                <w:snapToGrid w:val="0"/>
                <w:sz w:val="24"/>
                <w:szCs w:val="24"/>
              </w:rPr>
              <w:t>ца, участващи в управлението им</w:t>
            </w:r>
            <w:r w:rsidRPr="000F5A47">
              <w:rPr>
                <w:rFonts w:eastAsia="Times New Roman" w:cstheme="minorHAnsi"/>
                <w:snapToGrid w:val="0"/>
                <w:sz w:val="24"/>
                <w:szCs w:val="24"/>
              </w:rPr>
              <w:t>.</w:t>
            </w:r>
          </w:p>
        </w:tc>
      </w:tr>
      <w:tr w:rsidR="0019069B" w:rsidRPr="008E4D35" w14:paraId="05E0F38C" w14:textId="77777777" w:rsidTr="00D54E1F">
        <w:tc>
          <w:tcPr>
            <w:tcW w:w="2633" w:type="dxa"/>
            <w:shd w:val="clear" w:color="auto" w:fill="E6E6E6"/>
          </w:tcPr>
          <w:p w14:paraId="447BA701"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Дата на започване на работата</w:t>
            </w:r>
          </w:p>
        </w:tc>
        <w:tc>
          <w:tcPr>
            <w:tcW w:w="6429" w:type="dxa"/>
            <w:shd w:val="clear" w:color="auto" w:fill="F3F3F3"/>
          </w:tcPr>
          <w:p w14:paraId="56C2AFD9" w14:textId="77777777" w:rsidR="0019069B" w:rsidRPr="008E4D35" w:rsidRDefault="009944A0" w:rsidP="00F14642">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Pr="009944A0">
              <w:rPr>
                <w:rFonts w:eastAsia="Times New Roman" w:cstheme="minorHAnsi"/>
                <w:snapToGrid w:val="0"/>
                <w:sz w:val="24"/>
                <w:szCs w:val="24"/>
              </w:rPr>
              <w:t xml:space="preserve">значава първото от следните събития: започване на строителните работи, свързани с инвестицията, или </w:t>
            </w:r>
            <w:r w:rsidRPr="009944A0">
              <w:rPr>
                <w:rFonts w:eastAsia="Times New Roman" w:cstheme="minorHAnsi"/>
                <w:snapToGrid w:val="0"/>
                <w:sz w:val="24"/>
                <w:szCs w:val="24"/>
              </w:rPr>
              <w:lastRenderedPageBreak/>
              <w:t>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19069B" w:rsidRPr="008E4D35" w14:paraId="43982907" w14:textId="77777777" w:rsidTr="00D54E1F">
        <w:tc>
          <w:tcPr>
            <w:tcW w:w="2633" w:type="dxa"/>
            <w:shd w:val="clear" w:color="auto" w:fill="E6E6E6"/>
          </w:tcPr>
          <w:p w14:paraId="21EC01ED" w14:textId="77777777" w:rsidR="0019069B" w:rsidRPr="008E4D35" w:rsidRDefault="0019069B"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Дейност</w:t>
            </w:r>
          </w:p>
        </w:tc>
        <w:tc>
          <w:tcPr>
            <w:tcW w:w="6429" w:type="dxa"/>
            <w:shd w:val="clear" w:color="auto" w:fill="F3F3F3"/>
          </w:tcPr>
          <w:p w14:paraId="7612A02F" w14:textId="77777777" w:rsidR="0019069B" w:rsidRPr="008E4D35" w:rsidRDefault="0019069B"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B03600" w:rsidRPr="008E4D35" w14:paraId="566CECB6" w14:textId="77777777" w:rsidTr="00D54E1F">
        <w:tc>
          <w:tcPr>
            <w:tcW w:w="2633" w:type="dxa"/>
            <w:shd w:val="clear" w:color="auto" w:fill="E6E6E6"/>
          </w:tcPr>
          <w:p w14:paraId="3F6AD86B" w14:textId="77777777" w:rsidR="00B03600" w:rsidRPr="008E4D35" w:rsidRDefault="00B03600"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 xml:space="preserve">Енергийна инфраструктура </w:t>
            </w:r>
          </w:p>
        </w:tc>
        <w:tc>
          <w:tcPr>
            <w:tcW w:w="6429" w:type="dxa"/>
            <w:shd w:val="clear" w:color="auto" w:fill="F3F3F3"/>
          </w:tcPr>
          <w:p w14:paraId="00FD69C6" w14:textId="77777777" w:rsidR="003204C2" w:rsidRDefault="00B03600"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П</w:t>
            </w:r>
            <w:r>
              <w:rPr>
                <w:rFonts w:eastAsia="Times New Roman" w:cstheme="minorHAnsi"/>
                <w:snapToGrid w:val="0"/>
                <w:sz w:val="24"/>
                <w:szCs w:val="24"/>
              </w:rPr>
              <w:t xml:space="preserve">о смисъла на </w:t>
            </w:r>
            <w:r w:rsidR="00C764B5">
              <w:rPr>
                <w:rFonts w:eastAsia="Times New Roman" w:cstheme="minorHAnsi"/>
                <w:snapToGrid w:val="0"/>
                <w:sz w:val="24"/>
                <w:szCs w:val="24"/>
              </w:rPr>
              <w:t>чл. 2, пар. 130</w:t>
            </w:r>
            <w:r>
              <w:rPr>
                <w:rFonts w:eastAsia="Times New Roman" w:cstheme="minorHAnsi"/>
                <w:snapToGrid w:val="0"/>
                <w:sz w:val="24"/>
                <w:szCs w:val="24"/>
              </w:rPr>
              <w:t xml:space="preserve"> от Регламент (ЕО) № 651/2014</w:t>
            </w:r>
            <w:r w:rsidR="00C764B5">
              <w:rPr>
                <w:rFonts w:eastAsia="Times New Roman" w:cstheme="minorHAnsi"/>
                <w:snapToGrid w:val="0"/>
                <w:sz w:val="24"/>
                <w:szCs w:val="24"/>
              </w:rPr>
              <w:t xml:space="preserve"> </w:t>
            </w:r>
            <w:r w:rsidR="00C764B5" w:rsidRPr="00C764B5">
              <w:rPr>
                <w:rFonts w:eastAsia="Times New Roman" w:cstheme="minorHAnsi"/>
                <w:snapToGrid w:val="0"/>
                <w:sz w:val="24"/>
                <w:szCs w:val="24"/>
              </w:rPr>
              <w:t>„енергийна инфраструктура“ означава всякакво материално оборудване или съоръжения, които са разположени в</w:t>
            </w:r>
            <w:r w:rsidR="00C764B5" w:rsidRPr="00C764B5">
              <w:rPr>
                <w:rFonts w:eastAsia="Times New Roman" w:cstheme="minorHAnsi"/>
                <w:snapToGrid w:val="0"/>
                <w:sz w:val="24"/>
                <w:szCs w:val="24"/>
              </w:rPr>
              <w:br/>
              <w:t>Съюза или свързват Съюза с една или повече трети държави и които попадат в една от следните категории:</w:t>
            </w:r>
          </w:p>
          <w:p w14:paraId="14CF8FCC" w14:textId="77777777" w:rsidR="003204C2" w:rsidRDefault="00C764B5" w:rsidP="003204C2">
            <w:pPr>
              <w:spacing w:after="0" w:line="240" w:lineRule="auto"/>
              <w:jc w:val="both"/>
              <w:rPr>
                <w:rFonts w:eastAsia="Times New Roman" w:cstheme="minorHAnsi"/>
                <w:snapToGrid w:val="0"/>
                <w:sz w:val="24"/>
                <w:szCs w:val="24"/>
              </w:rPr>
            </w:pPr>
            <w:r>
              <w:rPr>
                <w:rFonts w:eastAsia="Times New Roman" w:cstheme="minorHAnsi"/>
                <w:snapToGrid w:val="0"/>
                <w:sz w:val="24"/>
                <w:szCs w:val="24"/>
              </w:rPr>
              <w:t xml:space="preserve">а) </w:t>
            </w:r>
            <w:r w:rsidRPr="00C764B5">
              <w:rPr>
                <w:rFonts w:eastAsia="Times New Roman" w:cstheme="minorHAnsi"/>
                <w:snapToGrid w:val="0"/>
                <w:sz w:val="24"/>
                <w:szCs w:val="24"/>
              </w:rPr>
              <w:t>относно електроенергията:</w:t>
            </w:r>
            <w:r w:rsidRPr="00C764B5">
              <w:rPr>
                <w:rFonts w:eastAsia="Times New Roman" w:cstheme="minorHAnsi"/>
                <w:snapToGrid w:val="0"/>
                <w:sz w:val="24"/>
                <w:szCs w:val="24"/>
              </w:rPr>
              <w:br/>
              <w:t>i) инфраструктура за пренос съгласно определението в член 2, точка 3 от Директива 2009/72/ЕО от 13 юли</w:t>
            </w:r>
            <w:r w:rsidRPr="00C764B5">
              <w:rPr>
                <w:rFonts w:eastAsia="Times New Roman" w:cstheme="minorHAnsi"/>
                <w:snapToGrid w:val="0"/>
                <w:sz w:val="24"/>
                <w:szCs w:val="24"/>
              </w:rPr>
              <w:br/>
              <w:t>2009 г. относно общите правила за вътрешния пазар на електроенергия (2 );</w:t>
            </w:r>
            <w:r w:rsidRPr="00C764B5">
              <w:rPr>
                <w:rFonts w:eastAsia="Times New Roman" w:cstheme="minorHAnsi"/>
                <w:snapToGrid w:val="0"/>
                <w:sz w:val="24"/>
                <w:szCs w:val="24"/>
              </w:rPr>
              <w:br/>
              <w:t>ii) инфраструктура за разпределение съгласно определението в член 2, точка 5 от Директива 2009/72/ЕО;</w:t>
            </w:r>
            <w:r w:rsidRPr="00C764B5">
              <w:rPr>
                <w:rFonts w:eastAsia="Times New Roman" w:cstheme="minorHAnsi"/>
                <w:snapToGrid w:val="0"/>
                <w:sz w:val="24"/>
                <w:szCs w:val="24"/>
              </w:rPr>
              <w:br/>
              <w:t>iii) хранилища за електроенергия, които се определят като съоръжения, използвани за натрупване на електрое</w:t>
            </w:r>
            <w:r w:rsidRPr="00C764B5">
              <w:rPr>
                <w:rFonts w:eastAsia="Times New Roman" w:cstheme="minorHAnsi"/>
                <w:snapToGrid w:val="0"/>
                <w:sz w:val="24"/>
                <w:szCs w:val="24"/>
              </w:rPr>
              <w:br/>
              <w:t>нергия за постоянно или временно в надземна или подземна инфраструктура или геоложки обекти, при</w:t>
            </w:r>
            <w:r w:rsidRPr="00C764B5">
              <w:rPr>
                <w:rFonts w:eastAsia="Times New Roman" w:cstheme="minorHAnsi"/>
                <w:snapToGrid w:val="0"/>
                <w:sz w:val="24"/>
                <w:szCs w:val="24"/>
              </w:rPr>
              <w:br/>
              <w:t>условие че те са директно свързани към електропроводи за високо налягане, проектирани за напрежение</w:t>
            </w:r>
            <w:r w:rsidRPr="00C764B5">
              <w:rPr>
                <w:rFonts w:eastAsia="Times New Roman" w:cstheme="minorHAnsi"/>
                <w:snapToGrid w:val="0"/>
                <w:sz w:val="24"/>
                <w:szCs w:val="24"/>
              </w:rPr>
              <w:br/>
              <w:t>110 kV или по-високо;</w:t>
            </w:r>
            <w:r w:rsidRPr="00C764B5">
              <w:rPr>
                <w:rFonts w:eastAsia="Times New Roman" w:cstheme="minorHAnsi"/>
                <w:snapToGrid w:val="0"/>
                <w:sz w:val="24"/>
                <w:szCs w:val="24"/>
              </w:rPr>
              <w:br/>
              <w:t>iv) всякакво оборудване или инсталация, които са от основно значение за безопасната, сигурна и ефективна</w:t>
            </w:r>
            <w:r w:rsidRPr="00C764B5">
              <w:rPr>
                <w:rFonts w:eastAsia="Times New Roman" w:cstheme="minorHAnsi"/>
                <w:snapToGrid w:val="0"/>
                <w:sz w:val="24"/>
                <w:szCs w:val="24"/>
              </w:rPr>
              <w:br/>
              <w:t>работа на системите, определени в букви i)—iii), включително системите за защита, следене и контрол за</w:t>
            </w:r>
            <w:r w:rsidRPr="00C764B5">
              <w:rPr>
                <w:rFonts w:eastAsia="Times New Roman" w:cstheme="minorHAnsi"/>
                <w:snapToGrid w:val="0"/>
                <w:sz w:val="24"/>
                <w:szCs w:val="24"/>
              </w:rPr>
              <w:br/>
              <w:t>всички напрежения и подстанции;</w:t>
            </w:r>
            <w:r w:rsidR="003204C2">
              <w:rPr>
                <w:rFonts w:eastAsia="Times New Roman" w:cstheme="minorHAnsi"/>
                <w:snapToGrid w:val="0"/>
                <w:sz w:val="24"/>
                <w:szCs w:val="24"/>
              </w:rPr>
              <w:t xml:space="preserve"> и                                       </w:t>
            </w:r>
          </w:p>
          <w:p w14:paraId="79CC47CB" w14:textId="77777777" w:rsidR="00C764B5" w:rsidRDefault="00C764B5" w:rsidP="003204C2">
            <w:pPr>
              <w:spacing w:after="100" w:afterAutospacing="1" w:line="240" w:lineRule="auto"/>
              <w:jc w:val="both"/>
              <w:rPr>
                <w:rFonts w:eastAsia="Times New Roman" w:cstheme="minorHAnsi"/>
                <w:snapToGrid w:val="0"/>
                <w:sz w:val="24"/>
                <w:szCs w:val="24"/>
              </w:rPr>
            </w:pPr>
            <w:r w:rsidRPr="00C764B5">
              <w:rPr>
                <w:rFonts w:eastAsia="Times New Roman" w:cstheme="minorHAnsi"/>
                <w:snapToGrid w:val="0"/>
                <w:sz w:val="24"/>
                <w:szCs w:val="24"/>
              </w:rPr>
              <w:t>v) интелигентни мрежи, определени като всякакво оборудване, линии, кабели или инсталации, както на</w:t>
            </w:r>
            <w:r w:rsidRPr="00C764B5">
              <w:rPr>
                <w:rFonts w:eastAsia="Times New Roman" w:cstheme="minorHAnsi"/>
                <w:snapToGrid w:val="0"/>
                <w:sz w:val="24"/>
                <w:szCs w:val="24"/>
              </w:rPr>
              <w:br/>
              <w:t>равнище пренос, така и на равнище ниско и средно напрежение, чиято цел е двупосочна цифрова комуни</w:t>
            </w:r>
            <w:r w:rsidRPr="00C764B5">
              <w:rPr>
                <w:rFonts w:eastAsia="Times New Roman" w:cstheme="minorHAnsi"/>
                <w:snapToGrid w:val="0"/>
                <w:sz w:val="24"/>
                <w:szCs w:val="24"/>
              </w:rPr>
              <w:br/>
              <w:t>кация, реалновременна или близка до реалновременната, интерактивно и интелигентно следене и упра</w:t>
            </w:r>
            <w:r w:rsidRPr="00C764B5">
              <w:rPr>
                <w:rFonts w:eastAsia="Times New Roman" w:cstheme="minorHAnsi"/>
                <w:snapToGrid w:val="0"/>
                <w:sz w:val="24"/>
                <w:szCs w:val="24"/>
              </w:rPr>
              <w:br/>
              <w:t xml:space="preserve">вление на производството, преноса, разпределението и </w:t>
            </w:r>
            <w:r w:rsidRPr="00C764B5">
              <w:rPr>
                <w:rFonts w:eastAsia="Times New Roman" w:cstheme="minorHAnsi"/>
                <w:snapToGrid w:val="0"/>
                <w:sz w:val="24"/>
                <w:szCs w:val="24"/>
              </w:rPr>
              <w:lastRenderedPageBreak/>
              <w:t>потреблението на електроенергия в рамките на дадена</w:t>
            </w:r>
            <w:r w:rsidRPr="00C764B5">
              <w:rPr>
                <w:rFonts w:eastAsia="Times New Roman" w:cstheme="minorHAnsi"/>
                <w:snapToGrid w:val="0"/>
                <w:sz w:val="24"/>
                <w:szCs w:val="24"/>
              </w:rPr>
              <w:br/>
              <w:t>електроенергийна мрежа с оглед на разработването на мрежа, ефективно интегрираща поведението и</w:t>
            </w:r>
            <w:r w:rsidRPr="00C764B5">
              <w:rPr>
                <w:rFonts w:eastAsia="Times New Roman" w:cstheme="minorHAnsi"/>
                <w:snapToGrid w:val="0"/>
                <w:sz w:val="24"/>
                <w:szCs w:val="24"/>
              </w:rPr>
              <w:br/>
              <w:t>действията на всички свързани с нея потребители — производители, потребители и тези, които са едновре</w:t>
            </w:r>
            <w:r w:rsidRPr="00C764B5">
              <w:rPr>
                <w:rFonts w:eastAsia="Times New Roman" w:cstheme="minorHAnsi"/>
                <w:snapToGrid w:val="0"/>
                <w:sz w:val="24"/>
                <w:szCs w:val="24"/>
              </w:rPr>
              <w:br/>
              <w:t>менно производители и потребители, за да се гарантира икономически ефективна и устойчива електроенер</w:t>
            </w:r>
            <w:r w:rsidRPr="00C764B5">
              <w:rPr>
                <w:rFonts w:eastAsia="Times New Roman" w:cstheme="minorHAnsi"/>
                <w:snapToGrid w:val="0"/>
                <w:sz w:val="24"/>
                <w:szCs w:val="24"/>
              </w:rPr>
              <w:br/>
              <w:t>гийна система с ниски загуби и високо качество и сигурност на електроснабдяването и безопасността;</w:t>
            </w:r>
          </w:p>
          <w:p w14:paraId="2CEB356A" w14:textId="77777777" w:rsidR="00C764B5" w:rsidRPr="008E4D35" w:rsidRDefault="00C764B5" w:rsidP="00F14642">
            <w:pPr>
              <w:spacing w:before="100" w:beforeAutospacing="1" w:after="100" w:afterAutospacing="1" w:line="240" w:lineRule="auto"/>
              <w:jc w:val="both"/>
              <w:rPr>
                <w:rFonts w:eastAsia="Times New Roman" w:cstheme="minorHAnsi"/>
                <w:snapToGrid w:val="0"/>
                <w:sz w:val="24"/>
                <w:szCs w:val="24"/>
              </w:rPr>
            </w:pPr>
            <w:r w:rsidRPr="00C764B5">
              <w:rPr>
                <w:rFonts w:eastAsia="Times New Roman" w:cstheme="minorHAnsi"/>
                <w:snapToGrid w:val="0"/>
                <w:sz w:val="24"/>
                <w:szCs w:val="24"/>
              </w:rPr>
              <w:t>б) относно газа:</w:t>
            </w:r>
            <w:r w:rsidRPr="00C764B5">
              <w:rPr>
                <w:rFonts w:eastAsia="Times New Roman" w:cstheme="minorHAnsi"/>
                <w:snapToGrid w:val="0"/>
                <w:sz w:val="24"/>
                <w:szCs w:val="24"/>
              </w:rPr>
              <w:br/>
              <w:t>i) преносни и разпределителни газопроводи за транспортиране на природен газ и биогаз, които са част от</w:t>
            </w:r>
            <w:r w:rsidRPr="00C764B5">
              <w:rPr>
                <w:rFonts w:eastAsia="Times New Roman" w:cstheme="minorHAnsi"/>
                <w:snapToGrid w:val="0"/>
                <w:sz w:val="24"/>
                <w:szCs w:val="24"/>
              </w:rPr>
              <w:br/>
              <w:t>мрежа, с изключение на газопроводите с високо налягане, използвани за разпределение на природен газ в</w:t>
            </w:r>
            <w:r w:rsidRPr="00C764B5">
              <w:rPr>
                <w:rFonts w:eastAsia="Times New Roman" w:cstheme="minorHAnsi"/>
                <w:snapToGrid w:val="0"/>
                <w:sz w:val="24"/>
                <w:szCs w:val="24"/>
              </w:rPr>
              <w:br/>
              <w:t>предходна част от мрежата;</w:t>
            </w:r>
            <w:r w:rsidRPr="00C764B5">
              <w:rPr>
                <w:rFonts w:eastAsia="Times New Roman" w:cstheme="minorHAnsi"/>
                <w:snapToGrid w:val="0"/>
                <w:sz w:val="24"/>
                <w:szCs w:val="24"/>
              </w:rPr>
              <w:br/>
              <w:t>ii) подземни хранилища, свързани с посочените газопроводи за високо налягане, посочени в буква i);</w:t>
            </w:r>
            <w:r w:rsidRPr="00C764B5">
              <w:rPr>
                <w:rFonts w:eastAsia="Times New Roman" w:cstheme="minorHAnsi"/>
                <w:snapToGrid w:val="0"/>
                <w:sz w:val="24"/>
                <w:szCs w:val="24"/>
              </w:rPr>
              <w:br/>
              <w:t>iii) съоръжения за приемане, съхраняване и регазификация или понижаване на налягането на втечнен природен</w:t>
            </w:r>
            <w:r w:rsidRPr="00C764B5">
              <w:rPr>
                <w:rFonts w:eastAsia="Times New Roman" w:cstheme="minorHAnsi"/>
                <w:snapToGrid w:val="0"/>
                <w:sz w:val="24"/>
                <w:szCs w:val="24"/>
              </w:rPr>
              <w:br/>
              <w:t>газ (ВПГ) или сгъстен природен газ (СПГ); и</w:t>
            </w:r>
            <w:r w:rsidRPr="00C764B5">
              <w:rPr>
                <w:rFonts w:eastAsia="Times New Roman" w:cstheme="minorHAnsi"/>
                <w:snapToGrid w:val="0"/>
                <w:sz w:val="24"/>
                <w:szCs w:val="24"/>
              </w:rPr>
              <w:br/>
              <w:t>iv) всякакво оборудване или инсталации, които са от основно значение за безопасната, сигурна и ефективна</w:t>
            </w:r>
            <w:r w:rsidRPr="00C764B5">
              <w:rPr>
                <w:rFonts w:eastAsia="Times New Roman" w:cstheme="minorHAnsi"/>
                <w:snapToGrid w:val="0"/>
                <w:sz w:val="24"/>
                <w:szCs w:val="24"/>
              </w:rPr>
              <w:br/>
              <w:t>работа на системата или за осигуряване на възможност за двупосочен капацитет, включително компресорни</w:t>
            </w:r>
            <w:r w:rsidRPr="00C764B5">
              <w:rPr>
                <w:rFonts w:eastAsia="Times New Roman" w:cstheme="minorHAnsi"/>
                <w:snapToGrid w:val="0"/>
                <w:sz w:val="24"/>
                <w:szCs w:val="24"/>
              </w:rPr>
              <w:br/>
              <w:t>станции;</w:t>
            </w:r>
            <w:r w:rsidRPr="00C764B5">
              <w:rPr>
                <w:rFonts w:eastAsia="Times New Roman" w:cstheme="minorHAnsi"/>
                <w:snapToGrid w:val="0"/>
                <w:sz w:val="24"/>
                <w:szCs w:val="24"/>
              </w:rPr>
              <w:br/>
              <w:t>в) относно нефта:</w:t>
            </w:r>
            <w:r w:rsidRPr="00C764B5">
              <w:rPr>
                <w:rFonts w:eastAsia="Times New Roman" w:cstheme="minorHAnsi"/>
                <w:snapToGrid w:val="0"/>
                <w:sz w:val="24"/>
                <w:szCs w:val="24"/>
              </w:rPr>
              <w:br/>
              <w:t>i) нефтопроводи, използвани за транспортиране на суров нефт;</w:t>
            </w:r>
            <w:r w:rsidRPr="00C764B5">
              <w:rPr>
                <w:rFonts w:eastAsia="Times New Roman" w:cstheme="minorHAnsi"/>
                <w:snapToGrid w:val="0"/>
                <w:sz w:val="24"/>
                <w:szCs w:val="24"/>
              </w:rPr>
              <w:br/>
              <w:t>ii) помпени станции и нефтохранилища, необходими за експлоатацията на нефтопроводи за суров нефт; и</w:t>
            </w:r>
            <w:r w:rsidRPr="00C764B5">
              <w:rPr>
                <w:rFonts w:eastAsia="Times New Roman" w:cstheme="minorHAnsi"/>
                <w:snapToGrid w:val="0"/>
                <w:sz w:val="24"/>
                <w:szCs w:val="24"/>
              </w:rPr>
              <w:br/>
              <w:t>iii) всички съоръжения или инсталации, които са от основно значение за правилната, сигурна и ефективна</w:t>
            </w:r>
            <w:r w:rsidRPr="00C764B5">
              <w:rPr>
                <w:rFonts w:eastAsia="Times New Roman" w:cstheme="minorHAnsi"/>
                <w:snapToGrid w:val="0"/>
                <w:sz w:val="24"/>
                <w:szCs w:val="24"/>
              </w:rPr>
              <w:br/>
              <w:t>работа на системата, включително системите за защита, следене и контрол, и съоръженията за реверсивно</w:t>
            </w:r>
            <w:r w:rsidRPr="00C764B5">
              <w:rPr>
                <w:rFonts w:eastAsia="Times New Roman" w:cstheme="minorHAnsi"/>
                <w:snapToGrid w:val="0"/>
                <w:sz w:val="24"/>
                <w:szCs w:val="24"/>
              </w:rPr>
              <w:br/>
              <w:t>подаване</w:t>
            </w:r>
            <w:r w:rsidR="000C7701">
              <w:rPr>
                <w:rFonts w:eastAsia="Times New Roman" w:cstheme="minorHAnsi"/>
                <w:snapToGrid w:val="0"/>
                <w:sz w:val="24"/>
                <w:szCs w:val="24"/>
              </w:rPr>
              <w:t>.</w:t>
            </w:r>
          </w:p>
        </w:tc>
      </w:tr>
      <w:tr w:rsidR="000010DD" w:rsidRPr="008E4D35" w14:paraId="4C692953" w14:textId="77777777" w:rsidTr="00D54E1F">
        <w:tc>
          <w:tcPr>
            <w:tcW w:w="2633" w:type="dxa"/>
            <w:shd w:val="clear" w:color="auto" w:fill="E6E6E6"/>
          </w:tcPr>
          <w:p w14:paraId="2BC1EDB7" w14:textId="77777777" w:rsidR="000010DD" w:rsidRPr="00767968" w:rsidRDefault="006A66DF" w:rsidP="00F14642">
            <w:pPr>
              <w:spacing w:before="100" w:beforeAutospacing="1" w:after="100" w:afterAutospacing="1" w:line="240" w:lineRule="auto"/>
              <w:rPr>
                <w:rFonts w:eastAsia="Times New Roman" w:cstheme="minorHAnsi"/>
                <w:b/>
                <w:snapToGrid w:val="0"/>
                <w:sz w:val="24"/>
                <w:szCs w:val="24"/>
              </w:rPr>
            </w:pPr>
            <w:r w:rsidRPr="00767968">
              <w:rPr>
                <w:rFonts w:eastAsia="Times New Roman" w:cstheme="minorHAnsi"/>
                <w:b/>
                <w:snapToGrid w:val="0"/>
                <w:sz w:val="24"/>
                <w:szCs w:val="24"/>
              </w:rPr>
              <w:lastRenderedPageBreak/>
              <w:t>Единен инвестиционен проект</w:t>
            </w:r>
          </w:p>
        </w:tc>
        <w:tc>
          <w:tcPr>
            <w:tcW w:w="6429" w:type="dxa"/>
            <w:shd w:val="clear" w:color="auto" w:fill="F3F3F3"/>
          </w:tcPr>
          <w:p w14:paraId="49C95906" w14:textId="4BE42F92" w:rsidR="000010DD" w:rsidRPr="008E4D35" w:rsidRDefault="006A66DF" w:rsidP="0071256E">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В</w:t>
            </w:r>
            <w:r w:rsidR="000010DD" w:rsidRPr="000010DD">
              <w:rPr>
                <w:rFonts w:eastAsia="Times New Roman" w:cstheme="minorHAnsi"/>
                <w:snapToGrid w:val="0"/>
                <w:sz w:val="24"/>
                <w:szCs w:val="24"/>
              </w:rPr>
              <w:t>сяка първоначална инвестиция, започната от един и същ бенефициент (на равнище група) в срок от три години, считано от датата на започване на работите по друга подпомогната инвестиция в същия регион от ниво 3 по Общата класификация на териториалните единици за статистически цели</w:t>
            </w:r>
            <w:r w:rsidR="0071256E">
              <w:rPr>
                <w:rFonts w:eastAsia="Times New Roman" w:cstheme="minorHAnsi"/>
                <w:snapToGrid w:val="0"/>
                <w:sz w:val="24"/>
                <w:szCs w:val="24"/>
              </w:rPr>
              <w:t xml:space="preserve"> </w:t>
            </w:r>
            <w:r w:rsidR="0071256E">
              <w:rPr>
                <w:rFonts w:eastAsia="Times New Roman" w:cstheme="minorHAnsi"/>
                <w:snapToGrid w:val="0"/>
                <w:sz w:val="24"/>
                <w:szCs w:val="24"/>
                <w:lang w:val="en-US"/>
              </w:rPr>
              <w:t>(NUTS 3</w:t>
            </w:r>
            <w:r w:rsidR="002D39FC">
              <w:rPr>
                <w:rFonts w:eastAsia="Times New Roman" w:cstheme="minorHAnsi"/>
                <w:snapToGrid w:val="0"/>
                <w:sz w:val="24"/>
                <w:szCs w:val="24"/>
                <w:lang w:val="en-US"/>
              </w:rPr>
              <w:t>)</w:t>
            </w:r>
            <w:r w:rsidR="0071256E">
              <w:rPr>
                <w:rFonts w:eastAsia="Times New Roman" w:cstheme="minorHAnsi"/>
                <w:snapToGrid w:val="0"/>
                <w:sz w:val="24"/>
                <w:szCs w:val="24"/>
                <w:lang w:val="en-US"/>
              </w:rPr>
              <w:t xml:space="preserve"> - </w:t>
            </w:r>
            <w:r w:rsidR="0071256E" w:rsidRPr="0071256E">
              <w:rPr>
                <w:rFonts w:eastAsia="Times New Roman" w:cstheme="minorHAnsi"/>
                <w:snapToGrid w:val="0"/>
                <w:sz w:val="24"/>
                <w:szCs w:val="24"/>
                <w:lang w:val="en-US"/>
              </w:rPr>
              <w:t>Административна единица област</w:t>
            </w:r>
            <w:r w:rsidR="008C0322">
              <w:rPr>
                <w:rFonts w:eastAsia="Times New Roman" w:cstheme="minorHAnsi"/>
                <w:snapToGrid w:val="0"/>
                <w:sz w:val="24"/>
                <w:szCs w:val="24"/>
                <w:lang w:val="en-US"/>
              </w:rPr>
              <w:t>)</w:t>
            </w:r>
            <w:r w:rsidR="0071256E" w:rsidRPr="0071256E">
              <w:rPr>
                <w:rFonts w:eastAsia="Times New Roman" w:cstheme="minorHAnsi"/>
                <w:snapToGrid w:val="0"/>
                <w:sz w:val="24"/>
                <w:szCs w:val="24"/>
                <w:lang w:val="en-US"/>
              </w:rPr>
              <w:t>.</w:t>
            </w:r>
            <w:r w:rsidR="000010DD" w:rsidRPr="000010DD">
              <w:rPr>
                <w:rFonts w:eastAsia="Times New Roman" w:cstheme="minorHAnsi"/>
                <w:snapToGrid w:val="0"/>
                <w:sz w:val="24"/>
                <w:szCs w:val="24"/>
              </w:rPr>
              <w:t>.</w:t>
            </w:r>
          </w:p>
        </w:tc>
      </w:tr>
      <w:tr w:rsidR="00301649" w:rsidRPr="008E4D35" w14:paraId="63E45F17" w14:textId="77777777" w:rsidTr="00D54E1F">
        <w:tc>
          <w:tcPr>
            <w:tcW w:w="2633" w:type="dxa"/>
            <w:shd w:val="clear" w:color="auto" w:fill="E6E6E6"/>
          </w:tcPr>
          <w:p w14:paraId="79632F70" w14:textId="77777777" w:rsidR="00301649" w:rsidRPr="00C81AC3" w:rsidRDefault="00301649" w:rsidP="001172F3">
            <w:pPr>
              <w:spacing w:before="100" w:beforeAutospacing="1" w:after="100" w:afterAutospacing="1" w:line="240" w:lineRule="auto"/>
              <w:rPr>
                <w:rFonts w:eastAsia="Times New Roman" w:cstheme="minorHAnsi"/>
                <w:b/>
                <w:snapToGrid w:val="0"/>
                <w:sz w:val="24"/>
                <w:szCs w:val="24"/>
              </w:rPr>
            </w:pPr>
            <w:r w:rsidRPr="00C81AC3">
              <w:rPr>
                <w:rFonts w:eastAsia="Times New Roman" w:cstheme="minorHAnsi"/>
                <w:b/>
                <w:snapToGrid w:val="0"/>
                <w:sz w:val="24"/>
                <w:szCs w:val="24"/>
              </w:rPr>
              <w:t>Едно и също предприятие</w:t>
            </w:r>
          </w:p>
        </w:tc>
        <w:tc>
          <w:tcPr>
            <w:tcW w:w="6429" w:type="dxa"/>
            <w:shd w:val="clear" w:color="auto" w:fill="F3F3F3"/>
          </w:tcPr>
          <w:p w14:paraId="6D1FD72B"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ascii="Calibri" w:eastAsia="Calibri" w:hAnsi="Calibri" w:cs="Times New Roman"/>
                <w:bCs/>
                <w:sz w:val="24"/>
                <w:szCs w:val="24"/>
              </w:rPr>
              <w:t xml:space="preserve">Съгласно чл. 2, пар. 2 на Регламент (ЕС) № 1407/2013 </w:t>
            </w:r>
            <w:r w:rsidRPr="00C81AC3">
              <w:rPr>
                <w:rFonts w:eastAsia="Times New Roman" w:cstheme="minorHAnsi"/>
                <w:snapToGrid w:val="0"/>
                <w:sz w:val="24"/>
                <w:szCs w:val="24"/>
              </w:rPr>
              <w:t xml:space="preserve">„едно и също предприятие“ означава всички предприятия, които </w:t>
            </w:r>
            <w:r w:rsidRPr="00C81AC3">
              <w:rPr>
                <w:rFonts w:eastAsia="Times New Roman" w:cstheme="minorHAnsi"/>
                <w:snapToGrid w:val="0"/>
                <w:sz w:val="24"/>
                <w:szCs w:val="24"/>
              </w:rPr>
              <w:lastRenderedPageBreak/>
              <w:t xml:space="preserve">поддържат помежду си поне един вид от следните взаимоотношения: </w:t>
            </w:r>
          </w:p>
          <w:p w14:paraId="798E73A5"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68F777DA"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78BDCA39"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2403D95B"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42B63A38" w14:textId="77777777" w:rsidR="00301649" w:rsidRPr="00C81AC3" w:rsidRDefault="00301649" w:rsidP="001172F3">
            <w:pPr>
              <w:spacing w:before="60" w:after="60" w:line="240" w:lineRule="auto"/>
              <w:jc w:val="both"/>
              <w:rPr>
                <w:rFonts w:eastAsia="Times New Roman" w:cstheme="minorHAnsi"/>
                <w:snapToGrid w:val="0"/>
                <w:sz w:val="24"/>
                <w:szCs w:val="24"/>
              </w:rPr>
            </w:pPr>
            <w:r w:rsidRPr="00C81AC3">
              <w:rPr>
                <w:rFonts w:eastAsia="Times New Roman" w:cstheme="minorHAnsi"/>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502F9C" w:rsidRPr="008E4D35" w14:paraId="37D16B93" w14:textId="77777777" w:rsidTr="00D54E1F">
        <w:tc>
          <w:tcPr>
            <w:tcW w:w="2633" w:type="dxa"/>
            <w:shd w:val="clear" w:color="auto" w:fill="E6E6E6"/>
          </w:tcPr>
          <w:p w14:paraId="36641880"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Кандидати</w:t>
            </w:r>
          </w:p>
        </w:tc>
        <w:tc>
          <w:tcPr>
            <w:tcW w:w="6429" w:type="dxa"/>
            <w:shd w:val="clear" w:color="auto" w:fill="F3F3F3"/>
          </w:tcPr>
          <w:p w14:paraId="390CB6E6" w14:textId="77777777" w:rsidR="00502F9C" w:rsidRPr="008E4D35" w:rsidRDefault="00502F9C" w:rsidP="00F14642">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C671B3" w:rsidRPr="008E4D35" w14:paraId="70565661" w14:textId="77777777" w:rsidTr="00D54E1F">
        <w:tc>
          <w:tcPr>
            <w:tcW w:w="2633" w:type="dxa"/>
            <w:shd w:val="clear" w:color="auto" w:fill="E6E6E6"/>
          </w:tcPr>
          <w:p w14:paraId="7818ADF5" w14:textId="77777777" w:rsidR="00C671B3" w:rsidRPr="008E4D35" w:rsidRDefault="00C671B3" w:rsidP="00F14642">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Краен получател</w:t>
            </w:r>
          </w:p>
        </w:tc>
        <w:tc>
          <w:tcPr>
            <w:tcW w:w="6429" w:type="dxa"/>
            <w:shd w:val="clear" w:color="auto" w:fill="F3F3F3"/>
          </w:tcPr>
          <w:p w14:paraId="65D67BC0" w14:textId="77777777" w:rsidR="00C671B3" w:rsidRPr="008E4D35" w:rsidRDefault="00C671B3" w:rsidP="00C671B3">
            <w:pPr>
              <w:spacing w:before="100" w:beforeAutospacing="1" w:after="100" w:afterAutospacing="1" w:line="240" w:lineRule="auto"/>
              <w:jc w:val="both"/>
              <w:rPr>
                <w:rFonts w:eastAsia="Times New Roman" w:cstheme="minorHAnsi"/>
                <w:snapToGrid w:val="0"/>
                <w:sz w:val="24"/>
                <w:szCs w:val="24"/>
              </w:rPr>
            </w:pPr>
            <w:r w:rsidRPr="00C671B3">
              <w:rPr>
                <w:rFonts w:eastAsia="Times New Roman" w:cstheme="minorHAnsi"/>
                <w:snapToGrid w:val="0"/>
                <w:sz w:val="24"/>
                <w:szCs w:val="24"/>
              </w:rPr>
              <w:t xml:space="preserve">„Краен получател“ по смисъла на </w:t>
            </w:r>
            <w:r w:rsidR="00EF62C6" w:rsidRPr="00EF62C6">
              <w:rPr>
                <w:rFonts w:eastAsia="Times New Roman" w:cstheme="minorHAnsi"/>
                <w:snapToGrid w:val="0"/>
                <w:sz w:val="24"/>
                <w:szCs w:val="24"/>
              </w:rPr>
              <w:t>ПМС №114/2022</w:t>
            </w:r>
            <w:r w:rsidR="00EF62C6">
              <w:rPr>
                <w:rFonts w:eastAsia="Times New Roman" w:cstheme="minorHAnsi"/>
                <w:snapToGrid w:val="0"/>
                <w:sz w:val="24"/>
                <w:szCs w:val="24"/>
              </w:rPr>
              <w:t xml:space="preserve"> </w:t>
            </w:r>
            <w:r w:rsidRPr="00C671B3">
              <w:rPr>
                <w:rFonts w:eastAsia="Times New Roman" w:cstheme="minorHAnsi"/>
                <w:snapToGrid w:val="0"/>
                <w:sz w:val="24"/>
                <w:szCs w:val="24"/>
              </w:rPr>
              <w:t>е кандидат за средства от Механизма за възстановяване и устойчивост, чието предложение за изпълнение на инвестиция е одобрено с решение на ръководителя на структурата за наблюдение и докладване в резултат на извършена процедура чрез подбор или чрез директно предоставяне на средства по това постановление и с когото е сключен договор или е издадена заповед за предоставяне на средства от Механизма.</w:t>
            </w:r>
          </w:p>
        </w:tc>
      </w:tr>
      <w:tr w:rsidR="00502F9C" w:rsidRPr="008E4D35" w14:paraId="64AD8B21" w14:textId="77777777" w:rsidTr="00D54E1F">
        <w:tc>
          <w:tcPr>
            <w:tcW w:w="2633" w:type="dxa"/>
            <w:shd w:val="clear" w:color="auto" w:fill="E6E6E6"/>
          </w:tcPr>
          <w:p w14:paraId="3B3CBB14" w14:textId="77777777" w:rsidR="00502F9C" w:rsidRPr="008E4D35" w:rsidRDefault="00502F9C" w:rsidP="00F1464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Материални активи</w:t>
            </w:r>
          </w:p>
        </w:tc>
        <w:tc>
          <w:tcPr>
            <w:tcW w:w="6429" w:type="dxa"/>
            <w:shd w:val="clear" w:color="auto" w:fill="F3F3F3"/>
          </w:tcPr>
          <w:p w14:paraId="23E1C137" w14:textId="77777777" w:rsidR="00E83EEB" w:rsidRDefault="00502F9C" w:rsidP="00315E8A">
            <w:pPr>
              <w:spacing w:after="0" w:line="240" w:lineRule="auto"/>
              <w:jc w:val="both"/>
              <w:rPr>
                <w:rFonts w:eastAsia="Times New Roman" w:cstheme="minorHAnsi"/>
                <w:snapToGrid w:val="0"/>
                <w:sz w:val="24"/>
                <w:szCs w:val="24"/>
              </w:rPr>
            </w:pPr>
            <w:r w:rsidRPr="008E4D35">
              <w:rPr>
                <w:rFonts w:eastAsia="Times New Roman" w:cstheme="minorHAnsi"/>
                <w:snapToGrid w:val="0"/>
                <w:sz w:val="24"/>
                <w:szCs w:val="24"/>
              </w:rPr>
              <w:t>П</w:t>
            </w:r>
            <w:r w:rsidR="00D73B92">
              <w:rPr>
                <w:rFonts w:eastAsia="Times New Roman" w:cstheme="minorHAnsi"/>
                <w:snapToGrid w:val="0"/>
                <w:sz w:val="24"/>
                <w:szCs w:val="24"/>
              </w:rPr>
              <w:t xml:space="preserve">о смисъла на </w:t>
            </w:r>
            <w:r w:rsidR="00884591">
              <w:rPr>
                <w:rFonts w:eastAsia="Times New Roman" w:cstheme="minorHAnsi"/>
                <w:snapToGrid w:val="0"/>
                <w:sz w:val="24"/>
                <w:szCs w:val="24"/>
              </w:rPr>
              <w:t xml:space="preserve">чл. 2, пар. 29 от </w:t>
            </w:r>
            <w:r w:rsidR="00D73B92">
              <w:rPr>
                <w:rFonts w:eastAsia="Times New Roman" w:cstheme="minorHAnsi"/>
                <w:snapToGrid w:val="0"/>
                <w:sz w:val="24"/>
                <w:szCs w:val="24"/>
              </w:rPr>
              <w:t>Регламент (ЕО) № 651/20</w:t>
            </w:r>
            <w:r w:rsidR="0062729B">
              <w:rPr>
                <w:rFonts w:eastAsia="Times New Roman" w:cstheme="minorHAnsi"/>
                <w:snapToGrid w:val="0"/>
                <w:sz w:val="24"/>
                <w:szCs w:val="24"/>
              </w:rPr>
              <w:t>14</w:t>
            </w:r>
            <w:r w:rsidR="00311D57">
              <w:rPr>
                <w:rFonts w:eastAsia="Times New Roman" w:cstheme="minorHAnsi"/>
                <w:snapToGrid w:val="0"/>
                <w:sz w:val="24"/>
                <w:szCs w:val="24"/>
              </w:rPr>
              <w:t xml:space="preserve"> </w:t>
            </w:r>
            <w:r w:rsidR="00311D57" w:rsidRPr="00311D57">
              <w:rPr>
                <w:rFonts w:eastAsia="Times New Roman" w:cstheme="minorHAnsi"/>
                <w:snapToGrid w:val="0"/>
                <w:sz w:val="24"/>
                <w:szCs w:val="24"/>
              </w:rPr>
              <w:t xml:space="preserve">„материални активи" означава активи, състоящи се от земя, сгради, </w:t>
            </w:r>
            <w:r w:rsidR="00311D57">
              <w:rPr>
                <w:rFonts w:eastAsia="Times New Roman" w:cstheme="minorHAnsi"/>
                <w:snapToGrid w:val="0"/>
                <w:sz w:val="24"/>
                <w:szCs w:val="24"/>
              </w:rPr>
              <w:t>съоръжения, машини и оборудване.</w:t>
            </w:r>
            <w:r w:rsidR="00E83EEB">
              <w:rPr>
                <w:rFonts w:eastAsia="Times New Roman" w:cstheme="minorHAnsi"/>
                <w:snapToGrid w:val="0"/>
                <w:sz w:val="24"/>
                <w:szCs w:val="24"/>
              </w:rPr>
              <w:t xml:space="preserve"> </w:t>
            </w:r>
          </w:p>
          <w:p w14:paraId="26BE1161" w14:textId="77777777" w:rsidR="00E83EEB" w:rsidRPr="008E4D35" w:rsidRDefault="00E83EEB" w:rsidP="00315E8A">
            <w:pPr>
              <w:spacing w:after="0"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допустими са само разходи за </w:t>
            </w:r>
            <w:r w:rsidRPr="00E83EEB">
              <w:rPr>
                <w:rFonts w:eastAsia="Times New Roman" w:cstheme="minorHAnsi"/>
                <w:snapToGrid w:val="0"/>
                <w:sz w:val="24"/>
                <w:szCs w:val="24"/>
              </w:rPr>
              <w:t>съоръжения, машини и оборудване</w:t>
            </w:r>
          </w:p>
        </w:tc>
      </w:tr>
      <w:tr w:rsidR="00DA77B9" w:rsidRPr="008E4D35" w14:paraId="5E0A549E" w14:textId="77777777" w:rsidTr="00D54E1F">
        <w:tc>
          <w:tcPr>
            <w:tcW w:w="2633" w:type="dxa"/>
            <w:shd w:val="clear" w:color="auto" w:fill="E6E6E6"/>
          </w:tcPr>
          <w:p w14:paraId="70BF6978"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Нематериални активи</w:t>
            </w:r>
          </w:p>
        </w:tc>
        <w:tc>
          <w:tcPr>
            <w:tcW w:w="6429" w:type="dxa"/>
            <w:shd w:val="clear" w:color="auto" w:fill="F3F3F3"/>
          </w:tcPr>
          <w:p w14:paraId="7A3E23CA"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lang w:val="bg"/>
              </w:rPr>
            </w:pPr>
            <w:r w:rsidRPr="008E4D35">
              <w:rPr>
                <w:rFonts w:eastAsia="Times New Roman" w:cstheme="minorHAnsi"/>
                <w:snapToGrid w:val="0"/>
                <w:sz w:val="24"/>
                <w:szCs w:val="24"/>
              </w:rPr>
              <w:t xml:space="preserve">По смисъла на </w:t>
            </w:r>
            <w:r>
              <w:rPr>
                <w:rFonts w:eastAsia="Times New Roman" w:cstheme="minorHAnsi"/>
                <w:snapToGrid w:val="0"/>
                <w:sz w:val="24"/>
                <w:szCs w:val="24"/>
              </w:rPr>
              <w:t xml:space="preserve">чл. 2, пар. 30 от </w:t>
            </w:r>
            <w:r w:rsidRPr="008E4D35">
              <w:rPr>
                <w:rFonts w:eastAsia="Times New Roman" w:cstheme="minorHAnsi"/>
                <w:snapToGrid w:val="0"/>
                <w:sz w:val="24"/>
                <w:szCs w:val="24"/>
              </w:rPr>
              <w:t>Регламент (ЕО) №</w:t>
            </w:r>
            <w:r>
              <w:rPr>
                <w:rFonts w:eastAsia="Times New Roman" w:cstheme="minorHAnsi"/>
                <w:snapToGrid w:val="0"/>
                <w:sz w:val="24"/>
                <w:szCs w:val="24"/>
              </w:rPr>
              <w:t xml:space="preserve"> 651/2014</w:t>
            </w:r>
            <w:r w:rsidRPr="008E4D35">
              <w:rPr>
                <w:rFonts w:eastAsia="Times New Roman" w:cstheme="minorHAnsi"/>
                <w:snapToGrid w:val="0"/>
                <w:sz w:val="24"/>
                <w:szCs w:val="24"/>
              </w:rPr>
              <w:t xml:space="preserve"> „Нематериални активи“ </w:t>
            </w:r>
            <w:r w:rsidRPr="00831362">
              <w:rPr>
                <w:rFonts w:eastAsia="Times New Roman" w:cstheme="minorHAnsi"/>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r>
              <w:rPr>
                <w:rFonts w:eastAsia="Times New Roman" w:cstheme="minorHAnsi"/>
                <w:snapToGrid w:val="0"/>
                <w:sz w:val="24"/>
                <w:szCs w:val="24"/>
                <w:lang w:val="bg"/>
              </w:rPr>
              <w:t>.</w:t>
            </w:r>
          </w:p>
          <w:p w14:paraId="3CEFFEAF" w14:textId="0C01C351" w:rsidR="000169CC" w:rsidRPr="007F75CF" w:rsidRDefault="00506983" w:rsidP="007A6782">
            <w:pPr>
              <w:spacing w:before="100" w:beforeAutospacing="1" w:after="100" w:afterAutospacing="1" w:line="240" w:lineRule="auto"/>
              <w:jc w:val="both"/>
              <w:rPr>
                <w:rFonts w:eastAsia="Times New Roman" w:cstheme="minorHAnsi"/>
                <w:snapToGrid w:val="0"/>
                <w:sz w:val="24"/>
                <w:szCs w:val="24"/>
                <w:lang w:val="bg"/>
              </w:rPr>
            </w:pPr>
            <w:r w:rsidRPr="00506983">
              <w:rPr>
                <w:rFonts w:eastAsia="Times New Roman" w:cstheme="minorHAnsi"/>
                <w:snapToGrid w:val="0"/>
                <w:sz w:val="24"/>
                <w:szCs w:val="24"/>
              </w:rPr>
              <w:lastRenderedPageBreak/>
              <w:t>За целите на настоящата процедура допустими са само разходи за ДНА под формата на софтуер</w:t>
            </w:r>
            <w:r w:rsidR="007A6782">
              <w:rPr>
                <w:rFonts w:eastAsia="Times New Roman" w:cstheme="minorHAnsi"/>
                <w:snapToGrid w:val="0"/>
                <w:sz w:val="24"/>
                <w:szCs w:val="24"/>
              </w:rPr>
              <w:t>, съгласно т. 14.2 от Условията за кандидатстване</w:t>
            </w:r>
            <w:r w:rsidRPr="00506983">
              <w:rPr>
                <w:rFonts w:eastAsia="Times New Roman" w:cstheme="minorHAnsi"/>
                <w:snapToGrid w:val="0"/>
                <w:sz w:val="24"/>
                <w:szCs w:val="24"/>
              </w:rPr>
              <w:t>.</w:t>
            </w:r>
          </w:p>
        </w:tc>
      </w:tr>
      <w:tr w:rsidR="00DA77B9" w:rsidRPr="008E4D35" w14:paraId="1985BDB2" w14:textId="77777777" w:rsidTr="00D54E1F">
        <w:tc>
          <w:tcPr>
            <w:tcW w:w="2633" w:type="dxa"/>
            <w:shd w:val="clear" w:color="auto" w:fill="E6E6E6"/>
          </w:tcPr>
          <w:p w14:paraId="4D5D1175" w14:textId="77777777" w:rsidR="00DA77B9" w:rsidRDefault="00DA77B9"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 xml:space="preserve">Място на изпълнение на проекта </w:t>
            </w:r>
          </w:p>
        </w:tc>
        <w:tc>
          <w:tcPr>
            <w:tcW w:w="6429" w:type="dxa"/>
            <w:shd w:val="clear" w:color="auto" w:fill="F3F3F3"/>
          </w:tcPr>
          <w:p w14:paraId="06738A1A" w14:textId="77777777" w:rsidR="00DA77B9"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Мястото на физическото осъществяване на инвестицията.</w:t>
            </w:r>
          </w:p>
        </w:tc>
      </w:tr>
      <w:tr w:rsidR="00315E8A" w:rsidRPr="008E4D35" w14:paraId="55A7BAB0" w14:textId="77777777" w:rsidTr="00D54E1F">
        <w:tc>
          <w:tcPr>
            <w:tcW w:w="2633" w:type="dxa"/>
            <w:shd w:val="clear" w:color="auto" w:fill="E6E6E6"/>
          </w:tcPr>
          <w:p w14:paraId="7764DEE5" w14:textId="7286A3E2" w:rsidR="00315E8A" w:rsidRPr="008E4D35" w:rsidRDefault="00315E8A" w:rsidP="00315E8A">
            <w:pPr>
              <w:spacing w:before="100" w:beforeAutospacing="1" w:after="100" w:afterAutospacing="1" w:line="240" w:lineRule="auto"/>
              <w:rPr>
                <w:rFonts w:eastAsia="Times New Roman" w:cstheme="minorHAnsi"/>
                <w:b/>
                <w:snapToGrid w:val="0"/>
                <w:sz w:val="24"/>
                <w:szCs w:val="24"/>
              </w:rPr>
            </w:pPr>
            <w:r w:rsidRPr="00315E8A">
              <w:rPr>
                <w:rFonts w:eastAsia="Times New Roman" w:cstheme="minorHAnsi"/>
                <w:b/>
                <w:snapToGrid w:val="0"/>
                <w:sz w:val="24"/>
                <w:szCs w:val="24"/>
              </w:rPr>
              <w:t>Ненанасяне</w:t>
            </w:r>
            <w:r>
              <w:rPr>
                <w:rFonts w:eastAsia="Times New Roman" w:cstheme="minorHAnsi"/>
                <w:b/>
                <w:snapToGrid w:val="0"/>
                <w:sz w:val="24"/>
                <w:szCs w:val="24"/>
              </w:rPr>
              <w:t xml:space="preserve"> </w:t>
            </w:r>
            <w:r w:rsidRPr="00315E8A">
              <w:rPr>
                <w:rFonts w:eastAsia="Times New Roman" w:cstheme="minorHAnsi"/>
                <w:b/>
                <w:snapToGrid w:val="0"/>
                <w:sz w:val="24"/>
                <w:szCs w:val="24"/>
              </w:rPr>
              <w:t>на значителни вреди</w:t>
            </w:r>
          </w:p>
        </w:tc>
        <w:tc>
          <w:tcPr>
            <w:tcW w:w="6429" w:type="dxa"/>
            <w:shd w:val="clear" w:color="auto" w:fill="F3F3F3"/>
          </w:tcPr>
          <w:p w14:paraId="73C7DE4A" w14:textId="5C6AD851" w:rsidR="00315E8A" w:rsidRDefault="00315E8A" w:rsidP="00315E8A">
            <w:pPr>
              <w:spacing w:before="100" w:beforeAutospacing="1" w:after="100" w:afterAutospacing="1" w:line="240" w:lineRule="auto"/>
              <w:jc w:val="both"/>
              <w:rPr>
                <w:rFonts w:eastAsia="Times New Roman" w:cstheme="minorHAnsi"/>
                <w:snapToGrid w:val="0"/>
                <w:sz w:val="24"/>
                <w:szCs w:val="24"/>
              </w:rPr>
            </w:pPr>
            <w:r w:rsidRPr="00315E8A">
              <w:rPr>
                <w:rFonts w:eastAsia="Times New Roman" w:cstheme="minorHAnsi"/>
                <w:snapToGrid w:val="0"/>
                <w:sz w:val="24"/>
                <w:szCs w:val="24"/>
              </w:rPr>
              <w:t>„</w:t>
            </w:r>
            <w:r>
              <w:rPr>
                <w:rFonts w:eastAsia="Times New Roman" w:cstheme="minorHAnsi"/>
                <w:snapToGrid w:val="0"/>
                <w:sz w:val="24"/>
                <w:szCs w:val="24"/>
              </w:rPr>
              <w:t>Н</w:t>
            </w:r>
            <w:r w:rsidRPr="00315E8A">
              <w:rPr>
                <w:rFonts w:eastAsia="Times New Roman" w:cstheme="minorHAnsi"/>
                <w:snapToGrid w:val="0"/>
                <w:sz w:val="24"/>
                <w:szCs w:val="24"/>
              </w:rPr>
              <w:t>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DA77B9" w:rsidRPr="008E4D35" w14:paraId="7F4F477F" w14:textId="77777777" w:rsidTr="00D54E1F">
        <w:tc>
          <w:tcPr>
            <w:tcW w:w="2633" w:type="dxa"/>
            <w:shd w:val="clear" w:color="auto" w:fill="E6E6E6"/>
          </w:tcPr>
          <w:p w14:paraId="51DB54EB"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 xml:space="preserve">Нередност </w:t>
            </w:r>
          </w:p>
        </w:tc>
        <w:tc>
          <w:tcPr>
            <w:tcW w:w="6429" w:type="dxa"/>
            <w:shd w:val="clear" w:color="auto" w:fill="F3F3F3"/>
          </w:tcPr>
          <w:p w14:paraId="6655A95D" w14:textId="45AC4B5C" w:rsidR="00DA77B9" w:rsidRPr="008E4D35" w:rsidRDefault="002C72C6" w:rsidP="00DA77B9">
            <w:pPr>
              <w:spacing w:before="100" w:beforeAutospacing="1" w:after="100" w:afterAutospacing="1" w:line="240" w:lineRule="auto"/>
              <w:jc w:val="both"/>
              <w:rPr>
                <w:rFonts w:eastAsia="Times New Roman" w:cstheme="minorHAnsi"/>
                <w:snapToGrid w:val="0"/>
                <w:sz w:val="24"/>
                <w:szCs w:val="24"/>
              </w:rPr>
            </w:pPr>
            <w:r w:rsidRPr="002C72C6">
              <w:rPr>
                <w:rFonts w:eastAsia="Times New Roman" w:cstheme="minorHAnsi"/>
                <w:snapToGrid w:val="0"/>
                <w:sz w:val="24"/>
                <w:szCs w:val="24"/>
              </w:rPr>
              <w:t>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w:t>
            </w:r>
          </w:p>
        </w:tc>
      </w:tr>
      <w:tr w:rsidR="00935650" w:rsidRPr="008E4D35" w14:paraId="6403E7C8" w14:textId="77777777" w:rsidTr="00D54E1F">
        <w:tc>
          <w:tcPr>
            <w:tcW w:w="2633" w:type="dxa"/>
            <w:shd w:val="clear" w:color="auto" w:fill="E6E6E6"/>
          </w:tcPr>
          <w:p w14:paraId="1F76D6DD" w14:textId="77777777" w:rsidR="00935650" w:rsidRPr="005155E4" w:rsidRDefault="00935650" w:rsidP="00935650">
            <w:pPr>
              <w:spacing w:before="100" w:beforeAutospacing="1" w:after="100" w:afterAutospacing="1" w:line="240" w:lineRule="auto"/>
              <w:rPr>
                <w:rFonts w:eastAsia="Times New Roman" w:cstheme="minorHAnsi"/>
                <w:b/>
                <w:snapToGrid w:val="0"/>
                <w:sz w:val="24"/>
                <w:szCs w:val="24"/>
              </w:rPr>
            </w:pPr>
            <w:r w:rsidRPr="001123F2">
              <w:rPr>
                <w:rFonts w:eastAsia="Times New Roman" w:cstheme="minorHAnsi"/>
                <w:b/>
                <w:snapToGrid w:val="0"/>
                <w:sz w:val="24"/>
                <w:szCs w:val="24"/>
              </w:rPr>
              <w:t>Оценка на административното съответствие и допустимостта</w:t>
            </w:r>
          </w:p>
        </w:tc>
        <w:tc>
          <w:tcPr>
            <w:tcW w:w="6429" w:type="dxa"/>
            <w:shd w:val="clear" w:color="auto" w:fill="F3F3F3"/>
          </w:tcPr>
          <w:p w14:paraId="2D1D9C5A" w14:textId="77777777" w:rsidR="00935650" w:rsidRDefault="00935650" w:rsidP="00935650">
            <w:pPr>
              <w:spacing w:after="60" w:line="240" w:lineRule="auto"/>
              <w:jc w:val="both"/>
              <w:rPr>
                <w:rFonts w:eastAsia="Times New Roman" w:cstheme="minorHAnsi"/>
                <w:snapToGrid w:val="0"/>
                <w:sz w:val="24"/>
                <w:szCs w:val="24"/>
              </w:rPr>
            </w:pPr>
            <w:r>
              <w:rPr>
                <w:rFonts w:eastAsia="Times New Roman" w:cstheme="minorHAnsi"/>
                <w:snapToGrid w:val="0"/>
                <w:sz w:val="24"/>
                <w:szCs w:val="24"/>
              </w:rPr>
              <w:t>Е</w:t>
            </w:r>
            <w:r w:rsidRPr="001123F2">
              <w:rPr>
                <w:rFonts w:eastAsia="Times New Roman" w:cstheme="minorHAnsi"/>
                <w:snapToGrid w:val="0"/>
                <w:sz w:val="24"/>
                <w:szCs w:val="24"/>
              </w:rPr>
              <w:t>тап от оценяването на предложението за изпълнение на инвестиция, при който се извършва проверка относно формалното съответствие на предложението и на допустимостта на кандидатите и заявените дейности.</w:t>
            </w:r>
          </w:p>
        </w:tc>
      </w:tr>
      <w:tr w:rsidR="00DA77B9" w:rsidRPr="008E4D35" w14:paraId="55BB77E3" w14:textId="77777777" w:rsidTr="00D54E1F">
        <w:tc>
          <w:tcPr>
            <w:tcW w:w="2633" w:type="dxa"/>
            <w:shd w:val="clear" w:color="auto" w:fill="E6E6E6"/>
          </w:tcPr>
          <w:p w14:paraId="04DFE19D"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3601E3">
              <w:rPr>
                <w:rFonts w:eastAsia="Times New Roman" w:cstheme="minorHAnsi"/>
                <w:b/>
                <w:snapToGrid w:val="0"/>
                <w:sz w:val="24"/>
                <w:szCs w:val="24"/>
              </w:rPr>
              <w:t>Партньори</w:t>
            </w:r>
          </w:p>
        </w:tc>
        <w:tc>
          <w:tcPr>
            <w:tcW w:w="6429" w:type="dxa"/>
            <w:shd w:val="clear" w:color="auto" w:fill="F3F3F3"/>
          </w:tcPr>
          <w:p w14:paraId="1BDF047A"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A704B4">
              <w:rPr>
                <w:rFonts w:eastAsia="Times New Roman" w:cstheme="minorHAnsi"/>
                <w:snapToGrid w:val="0"/>
                <w:sz w:val="24"/>
                <w:szCs w:val="24"/>
              </w:rPr>
              <w:t>"Партньори на кандидатите за безвъзмездна финансова помощ" са всички юридически лица и техни обединения, които участват съвместно с кандидата в подготовката и/или техническото изпълнение на проекта или на предварително заявени във формуляра за кандидатстване дейности от проекта и разходват средства от безвъзмездната финансова помощ.</w:t>
            </w:r>
          </w:p>
        </w:tc>
      </w:tr>
      <w:tr w:rsidR="00DA77B9" w:rsidRPr="008E4D35" w14:paraId="0B83A07D" w14:textId="77777777" w:rsidTr="00D54E1F">
        <w:tc>
          <w:tcPr>
            <w:tcW w:w="2633" w:type="dxa"/>
            <w:shd w:val="clear" w:color="auto" w:fill="E6E6E6"/>
          </w:tcPr>
          <w:p w14:paraId="13F328D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Предприятие</w:t>
            </w:r>
          </w:p>
        </w:tc>
        <w:tc>
          <w:tcPr>
            <w:tcW w:w="6429" w:type="dxa"/>
            <w:shd w:val="clear" w:color="auto" w:fill="F3F3F3"/>
          </w:tcPr>
          <w:p w14:paraId="72719C3C"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DA77B9" w:rsidRPr="008E4D35" w14:paraId="357917FE" w14:textId="77777777" w:rsidTr="00D54E1F">
        <w:tc>
          <w:tcPr>
            <w:tcW w:w="2633" w:type="dxa"/>
            <w:shd w:val="clear" w:color="auto" w:fill="E6E6E6"/>
          </w:tcPr>
          <w:p w14:paraId="53B08418"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098E">
              <w:rPr>
                <w:rFonts w:eastAsia="Times New Roman" w:cstheme="minorHAnsi"/>
                <w:b/>
                <w:snapToGrid w:val="0"/>
                <w:sz w:val="24"/>
                <w:szCs w:val="24"/>
              </w:rPr>
              <w:t>Предприятие в затруднено положение</w:t>
            </w:r>
          </w:p>
        </w:tc>
        <w:tc>
          <w:tcPr>
            <w:tcW w:w="6429" w:type="dxa"/>
            <w:shd w:val="clear" w:color="auto" w:fill="F3F3F3"/>
          </w:tcPr>
          <w:p w14:paraId="35C87EC3" w14:textId="77777777" w:rsidR="00DA77B9" w:rsidRPr="00CB0C05"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18 от Регламент (ЕО) № 651/2014</w:t>
            </w:r>
            <w:r>
              <w:t xml:space="preserve"> </w:t>
            </w:r>
            <w:r>
              <w:rPr>
                <w:rFonts w:eastAsia="Times New Roman" w:cstheme="minorHAnsi"/>
                <w:snapToGrid w:val="0"/>
                <w:sz w:val="24"/>
                <w:szCs w:val="24"/>
              </w:rPr>
              <w:t>п</w:t>
            </w:r>
            <w:r w:rsidRPr="00884591">
              <w:rPr>
                <w:rFonts w:eastAsia="Times New Roman" w:cstheme="minorHAnsi"/>
                <w:snapToGrid w:val="0"/>
                <w:sz w:val="24"/>
                <w:szCs w:val="24"/>
              </w:rPr>
              <w:t xml:space="preserve">редприятие в затруднено положение </w:t>
            </w:r>
            <w:r>
              <w:rPr>
                <w:rFonts w:eastAsia="Times New Roman" w:cstheme="minorHAnsi"/>
                <w:snapToGrid w:val="0"/>
                <w:sz w:val="24"/>
                <w:szCs w:val="24"/>
              </w:rPr>
              <w:t>е п</w:t>
            </w:r>
            <w:r w:rsidRPr="00CB0C05">
              <w:rPr>
                <w:rFonts w:eastAsia="Times New Roman" w:cstheme="minorHAnsi"/>
                <w:snapToGrid w:val="0"/>
                <w:sz w:val="24"/>
                <w:szCs w:val="24"/>
              </w:rPr>
              <w:t>редприятие, по отношение на което е изпълнено поне едно от следните обстоятелства:</w:t>
            </w:r>
          </w:p>
          <w:p w14:paraId="67B3C3D9" w14:textId="77777777"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когато неговият записан акционерен капитал е намалял с повече от половината </w:t>
            </w:r>
            <w:r w:rsidRPr="00CB0C05">
              <w:rPr>
                <w:rFonts w:eastAsia="Times New Roman" w:cstheme="minorHAnsi"/>
                <w:snapToGrid w:val="0"/>
                <w:sz w:val="24"/>
                <w:szCs w:val="24"/>
              </w:rPr>
              <w:lastRenderedPageBreak/>
              <w:t>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766D40D5" w14:textId="77777777" w:rsidR="00DA77B9"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w:t>
            </w:r>
            <w:r>
              <w:rPr>
                <w:rFonts w:eastAsia="Times New Roman" w:cstheme="minorHAnsi"/>
                <w:snapToGrid w:val="0"/>
                <w:sz w:val="24"/>
                <w:szCs w:val="24"/>
              </w:rPr>
              <w:t>орност за задълженията на друже</w:t>
            </w:r>
            <w:r w:rsidRPr="00CB0C05">
              <w:rPr>
                <w:rFonts w:eastAsia="Times New Roman" w:cstheme="minorHAnsi"/>
                <w:snapToGrid w:val="0"/>
                <w:sz w:val="24"/>
                <w:szCs w:val="24"/>
              </w:rPr>
              <w:t>ството", се разбира по-специално типовете дружества, посочени в приложение II към Директива 2013/34/ЕС;</w:t>
            </w:r>
          </w:p>
          <w:p w14:paraId="585D25E3" w14:textId="77777777" w:rsidR="00DA77B9" w:rsidRPr="00CB0C05" w:rsidRDefault="00DA77B9" w:rsidP="00DA77B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w:t>
            </w:r>
            <w:r>
              <w:rPr>
                <w:rFonts w:eastAsia="Times New Roman" w:cstheme="minorHAnsi"/>
                <w:snapToGrid w:val="0"/>
                <w:sz w:val="24"/>
                <w:szCs w:val="24"/>
              </w:rPr>
              <w:t>ост по искане на неговите креди</w:t>
            </w:r>
            <w:r w:rsidRPr="00CB0C05">
              <w:rPr>
                <w:rFonts w:eastAsia="Times New Roman" w:cstheme="minorHAnsi"/>
                <w:snapToGrid w:val="0"/>
                <w:sz w:val="24"/>
                <w:szCs w:val="24"/>
              </w:rPr>
              <w:t>тори;</w:t>
            </w:r>
          </w:p>
          <w:p w14:paraId="306F360B" w14:textId="584126B1" w:rsidR="00DA77B9" w:rsidRPr="008E4D35" w:rsidRDefault="00DA77B9" w:rsidP="00821649">
            <w:pPr>
              <w:spacing w:after="60" w:line="240" w:lineRule="auto"/>
              <w:jc w:val="both"/>
              <w:rPr>
                <w:rFonts w:eastAsia="Times New Roman" w:cstheme="minorHAnsi"/>
                <w:snapToGrid w:val="0"/>
                <w:sz w:val="24"/>
                <w:szCs w:val="24"/>
              </w:rPr>
            </w:pPr>
            <w:r w:rsidRPr="00CB0C05">
              <w:rPr>
                <w:rFonts w:eastAsia="Times New Roman" w:cstheme="minorHAnsi"/>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tc>
      </w:tr>
      <w:tr w:rsidR="00F001FE" w:rsidRPr="008E4D35" w14:paraId="1EFB90F8" w14:textId="77777777" w:rsidTr="00D54E1F">
        <w:tc>
          <w:tcPr>
            <w:tcW w:w="2633" w:type="dxa"/>
            <w:shd w:val="clear" w:color="auto" w:fill="E6E6E6"/>
          </w:tcPr>
          <w:p w14:paraId="019A3681" w14:textId="77777777" w:rsidR="00F001FE" w:rsidRPr="0091098E" w:rsidRDefault="00F001FE"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lastRenderedPageBreak/>
              <w:t>Преместване</w:t>
            </w:r>
          </w:p>
        </w:tc>
        <w:tc>
          <w:tcPr>
            <w:tcW w:w="6429" w:type="dxa"/>
            <w:shd w:val="clear" w:color="auto" w:fill="F3F3F3"/>
          </w:tcPr>
          <w:p w14:paraId="1429B46E" w14:textId="77777777" w:rsidR="00F001FE" w:rsidRDefault="00F001FE" w:rsidP="00DA77B9">
            <w:pPr>
              <w:spacing w:after="60" w:line="240" w:lineRule="auto"/>
              <w:jc w:val="both"/>
              <w:rPr>
                <w:rFonts w:eastAsia="Times New Roman" w:cstheme="minorHAnsi"/>
                <w:snapToGrid w:val="0"/>
                <w:sz w:val="24"/>
                <w:szCs w:val="24"/>
              </w:rPr>
            </w:pPr>
            <w:r w:rsidRPr="00F001FE">
              <w:rPr>
                <w:rFonts w:eastAsia="Times New Roman" w:cstheme="minorHAnsi"/>
                <w:snapToGrid w:val="0"/>
                <w:sz w:val="24"/>
                <w:szCs w:val="24"/>
              </w:rPr>
              <w:t xml:space="preserve">Съгласно чл. 2, пар. 61а от Регламент на Комисията (ЕК) № 651/2014, изменен с Регламент 2017/1084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w:t>
            </w:r>
            <w:r w:rsidRPr="00F001FE">
              <w:rPr>
                <w:rFonts w:eastAsia="Times New Roman" w:cstheme="minorHAnsi"/>
                <w:snapToGrid w:val="0"/>
                <w:sz w:val="24"/>
                <w:szCs w:val="24"/>
              </w:rPr>
              <w:lastRenderedPageBreak/>
              <w:t>и същи клиенти и води до загуба на работни места в същата или подобна дейност в едно от първоначалните предприятия на бенефициента в Европейското икономическо пространство</w:t>
            </w:r>
          </w:p>
        </w:tc>
      </w:tr>
      <w:tr w:rsidR="00DA77B9" w:rsidRPr="008E4D35" w14:paraId="73F8C44F" w14:textId="77777777" w:rsidTr="00D54E1F">
        <w:tc>
          <w:tcPr>
            <w:tcW w:w="2633" w:type="dxa"/>
            <w:shd w:val="clear" w:color="auto" w:fill="E6E6E6"/>
          </w:tcPr>
          <w:p w14:paraId="33F53121"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D45B42">
              <w:rPr>
                <w:rFonts w:eastAsia="Times New Roman" w:cstheme="minorHAnsi"/>
                <w:b/>
                <w:snapToGrid w:val="0"/>
                <w:sz w:val="24"/>
                <w:szCs w:val="24"/>
              </w:rPr>
              <w:lastRenderedPageBreak/>
              <w:t>Преработка на селскостопански продукти</w:t>
            </w:r>
          </w:p>
        </w:tc>
        <w:tc>
          <w:tcPr>
            <w:tcW w:w="6429" w:type="dxa"/>
            <w:shd w:val="clear" w:color="auto" w:fill="F3F3F3"/>
          </w:tcPr>
          <w:p w14:paraId="606A9591"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11 от Регламент (ЕО) № 651/2014</w:t>
            </w:r>
            <w:r>
              <w:t xml:space="preserve"> </w:t>
            </w:r>
            <w:r w:rsidRPr="00960116">
              <w:rPr>
                <w:rFonts w:eastAsia="Times New Roman" w:cstheme="minorHAnsi"/>
                <w:snapToGrid w:val="0"/>
                <w:sz w:val="24"/>
                <w:szCs w:val="24"/>
              </w:rPr>
              <w:t>това е</w:t>
            </w:r>
            <w:r>
              <w:t xml:space="preserve"> </w:t>
            </w:r>
            <w:r>
              <w:rPr>
                <w:rFonts w:eastAsia="Times New Roman" w:cstheme="minorHAnsi"/>
                <w:snapToGrid w:val="0"/>
                <w:sz w:val="24"/>
                <w:szCs w:val="24"/>
              </w:rPr>
              <w:t>в</w:t>
            </w:r>
            <w:r w:rsidRPr="00D45B42">
              <w:rPr>
                <w:rFonts w:eastAsia="Times New Roman" w:cstheme="minorHAnsi"/>
                <w:snapToGrid w:val="0"/>
                <w:sz w:val="24"/>
                <w:szCs w:val="24"/>
              </w:rPr>
              <w:t>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w:t>
            </w:r>
            <w:r>
              <w:rPr>
                <w:rFonts w:eastAsia="Times New Roman" w:cstheme="minorHAnsi"/>
                <w:snapToGrid w:val="0"/>
                <w:sz w:val="24"/>
                <w:szCs w:val="24"/>
              </w:rPr>
              <w:t xml:space="preserve"> продукт за първата му продажба.</w:t>
            </w:r>
          </w:p>
        </w:tc>
      </w:tr>
      <w:tr w:rsidR="00DA77B9" w:rsidRPr="008E4D35" w14:paraId="362CBBEA" w14:textId="77777777" w:rsidTr="00D54E1F">
        <w:tc>
          <w:tcPr>
            <w:tcW w:w="2633" w:type="dxa"/>
            <w:shd w:val="clear" w:color="auto" w:fill="E6E6E6"/>
          </w:tcPr>
          <w:p w14:paraId="2990111F"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t>Проект</w:t>
            </w:r>
          </w:p>
        </w:tc>
        <w:tc>
          <w:tcPr>
            <w:tcW w:w="6429" w:type="dxa"/>
            <w:shd w:val="clear" w:color="auto" w:fill="F3F3F3"/>
          </w:tcPr>
          <w:p w14:paraId="16EDA702" w14:textId="77777777" w:rsidR="00DA77B9" w:rsidRPr="008E4D35" w:rsidRDefault="00DA77B9" w:rsidP="00DA77B9">
            <w:pPr>
              <w:spacing w:before="100" w:beforeAutospacing="1" w:after="100" w:afterAutospacing="1" w:line="240" w:lineRule="auto"/>
              <w:jc w:val="both"/>
              <w:rPr>
                <w:rFonts w:eastAsia="Times New Roman" w:cstheme="minorHAnsi"/>
                <w:snapToGrid w:val="0"/>
                <w:sz w:val="24"/>
                <w:szCs w:val="24"/>
              </w:rPr>
            </w:pPr>
            <w:r w:rsidRPr="008E4D35">
              <w:rPr>
                <w:rFonts w:eastAsia="Times New Roman" w:cstheme="minorHAnsi"/>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594DF4" w:rsidRPr="008E4D35" w14:paraId="1FF3D23B" w14:textId="77777777" w:rsidTr="00D54E1F">
        <w:tc>
          <w:tcPr>
            <w:tcW w:w="2633" w:type="dxa"/>
            <w:shd w:val="clear" w:color="auto" w:fill="E6E6E6"/>
          </w:tcPr>
          <w:p w14:paraId="4676D245" w14:textId="7BCC04AD" w:rsidR="00594DF4" w:rsidRPr="008E4D35" w:rsidRDefault="00594DF4" w:rsidP="00DA77B9">
            <w:pPr>
              <w:spacing w:before="100" w:beforeAutospacing="1" w:after="100" w:afterAutospacing="1" w:line="240" w:lineRule="auto"/>
              <w:rPr>
                <w:rFonts w:eastAsia="Times New Roman" w:cstheme="minorHAnsi"/>
                <w:b/>
                <w:snapToGrid w:val="0"/>
                <w:sz w:val="24"/>
                <w:szCs w:val="24"/>
              </w:rPr>
            </w:pPr>
            <w:r w:rsidRPr="00594DF4">
              <w:rPr>
                <w:rFonts w:eastAsia="Times New Roman" w:cstheme="minorHAnsi"/>
                <w:b/>
                <w:snapToGrid w:val="0"/>
                <w:sz w:val="24"/>
                <w:szCs w:val="24"/>
              </w:rPr>
              <w:t>Процедура за избор на изпълнител</w:t>
            </w:r>
          </w:p>
        </w:tc>
        <w:tc>
          <w:tcPr>
            <w:tcW w:w="6429" w:type="dxa"/>
            <w:shd w:val="clear" w:color="auto" w:fill="F3F3F3"/>
          </w:tcPr>
          <w:p w14:paraId="576D877E" w14:textId="0C4494DE" w:rsidR="00594DF4" w:rsidRPr="008E4D35" w:rsidRDefault="00594DF4"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w:t>
            </w:r>
            <w:r w:rsidRPr="00594DF4">
              <w:rPr>
                <w:rFonts w:eastAsia="Times New Roman" w:cstheme="minorHAnsi"/>
                <w:snapToGrid w:val="0"/>
                <w:sz w:val="24"/>
                <w:szCs w:val="24"/>
              </w:rPr>
              <w:t>истема от свързани правила, при спазването на които крайният получател се стреми да избере изпълнител, с когото да сключи договор, финансиран от Механизма за възстановяване и устойчивост.</w:t>
            </w:r>
          </w:p>
        </w:tc>
      </w:tr>
      <w:tr w:rsidR="006D0801" w:rsidRPr="008E4D35" w14:paraId="28DFC6CE" w14:textId="77777777" w:rsidTr="00D54E1F">
        <w:tc>
          <w:tcPr>
            <w:tcW w:w="2633" w:type="dxa"/>
            <w:shd w:val="clear" w:color="auto" w:fill="E6E6E6"/>
          </w:tcPr>
          <w:p w14:paraId="7A499B6F" w14:textId="77777777" w:rsidR="006D0801" w:rsidRPr="00F15327" w:rsidRDefault="006D0801" w:rsidP="006D0801">
            <w:pPr>
              <w:spacing w:before="100" w:beforeAutospacing="1" w:after="100" w:afterAutospacing="1" w:line="240" w:lineRule="auto"/>
              <w:rPr>
                <w:rFonts w:eastAsia="Times New Roman" w:cstheme="minorHAnsi"/>
                <w:b/>
                <w:snapToGrid w:val="0"/>
                <w:sz w:val="24"/>
                <w:szCs w:val="24"/>
              </w:rPr>
            </w:pPr>
            <w:r w:rsidRPr="00B43106">
              <w:rPr>
                <w:rFonts w:eastAsia="Times New Roman" w:cstheme="minorHAnsi"/>
                <w:b/>
                <w:snapToGrid w:val="0"/>
                <w:sz w:val="24"/>
                <w:szCs w:val="24"/>
              </w:rPr>
              <w:t>Производство и дистрибуция на електроенергия и енергийните инфраструктури</w:t>
            </w:r>
          </w:p>
        </w:tc>
        <w:tc>
          <w:tcPr>
            <w:tcW w:w="6429" w:type="dxa"/>
            <w:shd w:val="clear" w:color="auto" w:fill="F3F3F3"/>
          </w:tcPr>
          <w:p w14:paraId="74DCEC47" w14:textId="77777777" w:rsidR="006D0801" w:rsidRPr="00B43106" w:rsidRDefault="006D0801" w:rsidP="006D0801">
            <w:pPr>
              <w:pStyle w:val="FootnoteText"/>
              <w:spacing w:after="60"/>
              <w:jc w:val="both"/>
              <w:rPr>
                <w:sz w:val="24"/>
                <w:szCs w:val="24"/>
              </w:rPr>
            </w:pPr>
            <w:r w:rsidRPr="00B43106">
              <w:rPr>
                <w:sz w:val="24"/>
                <w:szCs w:val="24"/>
              </w:rPr>
              <w:t>За целите на процедурата под производство и дистрибуция на електроенергия и енергийните инфраструктури следва да се разбира:</w:t>
            </w:r>
          </w:p>
          <w:p w14:paraId="5A6162D7" w14:textId="77777777" w:rsidR="006D0801" w:rsidRPr="00B43106" w:rsidRDefault="006D0801" w:rsidP="006D0801">
            <w:pPr>
              <w:pStyle w:val="FootnoteText"/>
              <w:spacing w:after="60"/>
              <w:jc w:val="both"/>
              <w:rPr>
                <w:sz w:val="24"/>
                <w:szCs w:val="24"/>
              </w:rPr>
            </w:pPr>
            <w:r w:rsidRPr="00B43106">
              <w:rPr>
                <w:sz w:val="24"/>
                <w:szCs w:val="24"/>
              </w:rPr>
              <w:t>-инвестиции, насочени към сектор D “Производство и разпределение на електрическа и топлинна енергия и на газообразни горива“ съгласно КИД-2008;</w:t>
            </w:r>
          </w:p>
          <w:p w14:paraId="6519C678" w14:textId="77777777" w:rsidR="006D0801" w:rsidRPr="00F15327" w:rsidRDefault="006D0801" w:rsidP="006D0801">
            <w:pPr>
              <w:pStyle w:val="FootnoteText"/>
              <w:spacing w:after="60"/>
              <w:jc w:val="both"/>
              <w:rPr>
                <w:sz w:val="24"/>
                <w:szCs w:val="24"/>
              </w:rPr>
            </w:pPr>
            <w:r w:rsidRPr="00B43106">
              <w:rPr>
                <w:sz w:val="24"/>
                <w:szCs w:val="24"/>
              </w:rPr>
              <w:t>- Инвестиции в системи, които произвеждат енергия, вкл. и за собствено потребление</w:t>
            </w:r>
          </w:p>
        </w:tc>
      </w:tr>
      <w:tr w:rsidR="00DA77B9" w:rsidRPr="008E4D35" w14:paraId="5021DDE4" w14:textId="77777777" w:rsidTr="00D54E1F">
        <w:tc>
          <w:tcPr>
            <w:tcW w:w="2633" w:type="dxa"/>
            <w:shd w:val="clear" w:color="auto" w:fill="E6E6E6"/>
          </w:tcPr>
          <w:p w14:paraId="2BDAA52E"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294A6E">
              <w:rPr>
                <w:rFonts w:eastAsia="Times New Roman" w:cstheme="minorHAnsi"/>
                <w:b/>
                <w:snapToGrid w:val="0"/>
                <w:sz w:val="24"/>
                <w:szCs w:val="24"/>
              </w:rPr>
              <w:t>Първично селскостопанско производство</w:t>
            </w:r>
          </w:p>
        </w:tc>
        <w:tc>
          <w:tcPr>
            <w:tcW w:w="6429" w:type="dxa"/>
            <w:shd w:val="clear" w:color="auto" w:fill="F3F3F3"/>
          </w:tcPr>
          <w:p w14:paraId="7DFF8F1A" w14:textId="067C41B6" w:rsidR="00DA77B9" w:rsidRPr="008E4D35" w:rsidRDefault="00DA77B9" w:rsidP="00C84D8B">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Съгласно чл. 2, пар. 9 от Регламент (ЕО) № 651/2014  това е </w:t>
            </w:r>
            <w:r>
              <w:rPr>
                <w:rFonts w:eastAsia="Times New Roman" w:cstheme="minorHAnsi"/>
                <w:snapToGrid w:val="0"/>
                <w:sz w:val="24"/>
                <w:szCs w:val="24"/>
                <w:lang w:val="bg"/>
              </w:rPr>
              <w:t>п</w:t>
            </w:r>
            <w:r w:rsidRPr="00294A6E">
              <w:rPr>
                <w:rFonts w:eastAsia="Times New Roman" w:cstheme="minorHAnsi"/>
                <w:snapToGrid w:val="0"/>
                <w:sz w:val="24"/>
                <w:szCs w:val="24"/>
                <w:lang w:val="bg"/>
              </w:rPr>
              <w:t xml:space="preserve">роизводство на продукти на почвата и на животновъдството, изброени в </w:t>
            </w:r>
            <w:r w:rsidRPr="00D55A28">
              <w:rPr>
                <w:rFonts w:eastAsia="Times New Roman" w:cstheme="minorHAnsi"/>
                <w:snapToGrid w:val="0"/>
                <w:sz w:val="24"/>
                <w:szCs w:val="24"/>
                <w:lang w:val="bg"/>
              </w:rPr>
              <w:t xml:space="preserve">Приложение </w:t>
            </w:r>
            <w:r w:rsidRPr="00D55A28">
              <w:rPr>
                <w:rFonts w:eastAsia="Times New Roman" w:cstheme="minorHAnsi"/>
                <w:snapToGrid w:val="0"/>
                <w:sz w:val="24"/>
                <w:szCs w:val="24"/>
                <w:lang w:val="en-US"/>
              </w:rPr>
              <w:t xml:space="preserve">I </w:t>
            </w:r>
            <w:r w:rsidRPr="00D55A28">
              <w:rPr>
                <w:rFonts w:eastAsia="Times New Roman" w:cstheme="minorHAnsi"/>
                <w:snapToGrid w:val="0"/>
                <w:sz w:val="24"/>
                <w:szCs w:val="24"/>
                <w:lang w:val="bg"/>
              </w:rPr>
              <w:t>към Договора</w:t>
            </w:r>
            <w:r w:rsidRPr="00D55A28">
              <w:rPr>
                <w:sz w:val="24"/>
                <w:szCs w:val="24"/>
              </w:rPr>
              <w:t xml:space="preserve"> </w:t>
            </w:r>
            <w:r w:rsidRPr="00D55A28">
              <w:rPr>
                <w:rFonts w:eastAsia="Times New Roman" w:cstheme="minorHAnsi"/>
                <w:snapToGrid w:val="0"/>
                <w:sz w:val="24"/>
                <w:szCs w:val="24"/>
              </w:rPr>
              <w:t>за създаване на европейската</w:t>
            </w:r>
            <w:r w:rsidR="00C84D8B">
              <w:rPr>
                <w:rFonts w:eastAsia="Times New Roman" w:cstheme="minorHAnsi"/>
                <w:snapToGrid w:val="0"/>
                <w:sz w:val="24"/>
                <w:szCs w:val="24"/>
                <w:lang w:val="bg"/>
              </w:rPr>
              <w:t xml:space="preserve"> общност </w:t>
            </w:r>
            <w:r w:rsidRPr="00D55A28">
              <w:rPr>
                <w:rFonts w:eastAsia="Times New Roman" w:cstheme="minorHAnsi"/>
                <w:snapToGrid w:val="0"/>
                <w:sz w:val="24"/>
                <w:szCs w:val="24"/>
                <w:lang w:val="bg"/>
              </w:rPr>
              <w:t>без</w:t>
            </w:r>
            <w:r w:rsidRPr="00294A6E">
              <w:rPr>
                <w:rFonts w:eastAsia="Times New Roman" w:cstheme="minorHAnsi"/>
                <w:snapToGrid w:val="0"/>
                <w:sz w:val="24"/>
                <w:szCs w:val="24"/>
                <w:lang w:val="bg"/>
              </w:rPr>
              <w:t xml:space="preserve"> да се извършват никакви по-нататъшни операции, с които се променя естеството на тези продукти.</w:t>
            </w:r>
          </w:p>
        </w:tc>
      </w:tr>
      <w:tr w:rsidR="008E2E2B" w:rsidRPr="008E4D35" w14:paraId="77D3A37A" w14:textId="77777777" w:rsidTr="00D54E1F">
        <w:tc>
          <w:tcPr>
            <w:tcW w:w="2633" w:type="dxa"/>
            <w:shd w:val="clear" w:color="auto" w:fill="E6E6E6"/>
          </w:tcPr>
          <w:p w14:paraId="4817A4A5" w14:textId="1381504C" w:rsidR="008E2E2B" w:rsidRPr="00294A6E" w:rsidRDefault="008E2E2B" w:rsidP="008E2E2B">
            <w:pPr>
              <w:spacing w:before="100" w:beforeAutospacing="1" w:after="100" w:afterAutospacing="1" w:line="240" w:lineRule="auto"/>
              <w:rPr>
                <w:rFonts w:eastAsia="Times New Roman" w:cstheme="minorHAnsi"/>
                <w:b/>
                <w:snapToGrid w:val="0"/>
                <w:sz w:val="24"/>
                <w:szCs w:val="24"/>
              </w:rPr>
            </w:pPr>
            <w:r w:rsidRPr="009944A0">
              <w:rPr>
                <w:rFonts w:eastAsia="Times New Roman" w:cstheme="minorHAnsi"/>
                <w:b/>
                <w:snapToGrid w:val="0"/>
                <w:sz w:val="24"/>
                <w:szCs w:val="24"/>
              </w:rPr>
              <w:t>Първоначална инвестиция</w:t>
            </w:r>
          </w:p>
        </w:tc>
        <w:tc>
          <w:tcPr>
            <w:tcW w:w="6429" w:type="dxa"/>
            <w:shd w:val="clear" w:color="auto" w:fill="F3F3F3"/>
          </w:tcPr>
          <w:p w14:paraId="62F23791" w14:textId="77777777" w:rsidR="008E2E2B" w:rsidRPr="009944A0" w:rsidRDefault="008E2E2B" w:rsidP="008E2E2B">
            <w:pPr>
              <w:spacing w:after="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49 от Регламент (ЕО) № 651/2014</w:t>
            </w:r>
            <w:r>
              <w:t>, п</w:t>
            </w:r>
            <w:r w:rsidRPr="009944A0">
              <w:rPr>
                <w:rFonts w:eastAsia="Times New Roman" w:cstheme="minorHAnsi"/>
                <w:snapToGrid w:val="0"/>
                <w:sz w:val="24"/>
                <w:szCs w:val="24"/>
              </w:rPr>
              <w:t>ървоначална инвестиция означава:</w:t>
            </w:r>
          </w:p>
          <w:p w14:paraId="014AAC37" w14:textId="77777777" w:rsidR="008E2E2B" w:rsidRDefault="008E2E2B" w:rsidP="008E2E2B">
            <w:pPr>
              <w:spacing w:after="0" w:line="240" w:lineRule="auto"/>
              <w:jc w:val="both"/>
              <w:rPr>
                <w:rFonts w:eastAsia="Times New Roman" w:cstheme="minorHAnsi"/>
                <w:snapToGrid w:val="0"/>
                <w:sz w:val="24"/>
                <w:szCs w:val="24"/>
              </w:rPr>
            </w:pPr>
            <w:r w:rsidRPr="009944A0">
              <w:rPr>
                <w:rFonts w:eastAsia="Times New Roman" w:cstheme="minorHAnsi"/>
                <w:snapToGrid w:val="0"/>
                <w:sz w:val="24"/>
                <w:szCs w:val="24"/>
              </w:rPr>
              <w:t xml:space="preserve">а) инвестиция в материални и нематериални активи, свързани със създаването на нов стопански обект, разширяването на капацитета на съществуващ стопански обект, диверсификацията на продукцията на стопански обект с продукти, които не са били произвеждани до момента в стопанския обект, или основна промяна в целия производствен процес на съществуващ стопански обект; или </w:t>
            </w:r>
          </w:p>
          <w:p w14:paraId="28BD7B18" w14:textId="77777777" w:rsidR="008E2E2B" w:rsidRDefault="008E2E2B" w:rsidP="008E2E2B">
            <w:pPr>
              <w:spacing w:before="100" w:beforeAutospacing="1" w:after="100" w:afterAutospacing="1" w:line="240" w:lineRule="auto"/>
              <w:jc w:val="both"/>
              <w:rPr>
                <w:rFonts w:eastAsia="Times New Roman" w:cstheme="minorHAnsi"/>
                <w:snapToGrid w:val="0"/>
                <w:sz w:val="24"/>
                <w:szCs w:val="24"/>
              </w:rPr>
            </w:pPr>
            <w:r w:rsidRPr="009944A0">
              <w:rPr>
                <w:rFonts w:eastAsia="Times New Roman" w:cstheme="minorHAnsi"/>
                <w:snapToGrid w:val="0"/>
                <w:sz w:val="24"/>
                <w:szCs w:val="24"/>
              </w:rPr>
              <w:lastRenderedPageBreak/>
              <w:t>б) придобиване на активи, принадлежащи на стопански обект, който е закрит или е щял да бъде закрит, ако не е бил закупен, и е закупен от инвеститор, който не е свързан с продавача, и изключва простото изкупуване на акциите или</w:t>
            </w:r>
            <w:r>
              <w:rPr>
                <w:rFonts w:eastAsia="Times New Roman" w:cstheme="minorHAnsi"/>
                <w:snapToGrid w:val="0"/>
                <w:sz w:val="24"/>
                <w:szCs w:val="24"/>
              </w:rPr>
              <w:t xml:space="preserve"> дяловете на дадено предприятие.</w:t>
            </w:r>
          </w:p>
          <w:p w14:paraId="4E14321F" w14:textId="08281BA5" w:rsidR="008E2E2B" w:rsidRDefault="008E2E2B" w:rsidP="008E2E2B">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допустимите първоначални инвестиции са: </w:t>
            </w:r>
            <w:r w:rsidRPr="00B27834">
              <w:rPr>
                <w:rFonts w:eastAsia="Times New Roman" w:cstheme="minorHAnsi"/>
                <w:b/>
                <w:snapToGrid w:val="0"/>
                <w:sz w:val="24"/>
                <w:szCs w:val="24"/>
              </w:rPr>
              <w:t>създаване на нов стопански обект</w:t>
            </w:r>
            <w:r>
              <w:rPr>
                <w:rFonts w:eastAsia="Times New Roman" w:cstheme="minorHAnsi"/>
                <w:snapToGrid w:val="0"/>
                <w:sz w:val="24"/>
                <w:szCs w:val="24"/>
              </w:rPr>
              <w:t xml:space="preserve">; </w:t>
            </w:r>
            <w:r w:rsidRPr="00B27834">
              <w:rPr>
                <w:rFonts w:eastAsia="Times New Roman" w:cstheme="minorHAnsi"/>
                <w:b/>
                <w:snapToGrid w:val="0"/>
                <w:sz w:val="24"/>
                <w:szCs w:val="24"/>
              </w:rPr>
              <w:t>разширяване на капацитета на съществуващ стопански обект</w:t>
            </w:r>
            <w:r>
              <w:rPr>
                <w:rFonts w:eastAsia="Times New Roman" w:cstheme="minorHAnsi"/>
                <w:b/>
                <w:snapToGrid w:val="0"/>
                <w:sz w:val="24"/>
                <w:szCs w:val="24"/>
              </w:rPr>
              <w:t xml:space="preserve">; </w:t>
            </w:r>
            <w:r w:rsidRPr="00424C2D">
              <w:rPr>
                <w:rFonts w:eastAsia="Times New Roman" w:cstheme="minorHAnsi"/>
                <w:b/>
                <w:snapToGrid w:val="0"/>
                <w:sz w:val="24"/>
                <w:szCs w:val="24"/>
              </w:rPr>
              <w:t>диверсификацията на продукцията на стопански обект с продукти, които не са били произвеждани до момента в стопанския обект</w:t>
            </w:r>
            <w:r>
              <w:rPr>
                <w:rFonts w:eastAsia="Times New Roman" w:cstheme="minorHAnsi"/>
                <w:snapToGrid w:val="0"/>
                <w:sz w:val="24"/>
                <w:szCs w:val="24"/>
              </w:rPr>
              <w:t xml:space="preserve"> и</w:t>
            </w:r>
            <w:r w:rsidRPr="00B27834">
              <w:rPr>
                <w:rFonts w:eastAsia="Times New Roman" w:cstheme="minorHAnsi"/>
                <w:snapToGrid w:val="0"/>
                <w:sz w:val="24"/>
                <w:szCs w:val="24"/>
              </w:rPr>
              <w:t>ли</w:t>
            </w:r>
            <w:r>
              <w:rPr>
                <w:rFonts w:eastAsia="Times New Roman" w:cstheme="minorHAnsi"/>
                <w:snapToGrid w:val="0"/>
                <w:sz w:val="24"/>
                <w:szCs w:val="24"/>
              </w:rPr>
              <w:t xml:space="preserve"> </w:t>
            </w:r>
            <w:r w:rsidRPr="00B27834">
              <w:rPr>
                <w:rFonts w:eastAsia="Times New Roman" w:cstheme="minorHAnsi"/>
                <w:b/>
                <w:snapToGrid w:val="0"/>
                <w:sz w:val="24"/>
                <w:szCs w:val="24"/>
              </w:rPr>
              <w:t>основна промяна в целия производствен процес на съществуващ стопански обект</w:t>
            </w:r>
            <w:r>
              <w:rPr>
                <w:rFonts w:eastAsia="Times New Roman" w:cstheme="minorHAnsi"/>
                <w:b/>
                <w:snapToGrid w:val="0"/>
                <w:sz w:val="24"/>
                <w:szCs w:val="24"/>
              </w:rPr>
              <w:t>.</w:t>
            </w:r>
          </w:p>
        </w:tc>
      </w:tr>
      <w:tr w:rsidR="00DA77B9" w:rsidRPr="008E4D35" w14:paraId="060E7EEE" w14:textId="77777777" w:rsidTr="00D54E1F">
        <w:tc>
          <w:tcPr>
            <w:tcW w:w="2633" w:type="dxa"/>
            <w:shd w:val="clear" w:color="auto" w:fill="E6E6E6"/>
          </w:tcPr>
          <w:p w14:paraId="3E4A6100" w14:textId="77777777" w:rsidR="00DA77B9" w:rsidRPr="008E4D35" w:rsidRDefault="00DA77B9" w:rsidP="001472E2">
            <w:pPr>
              <w:spacing w:before="100" w:beforeAutospacing="1" w:after="100" w:afterAutospacing="1" w:line="240" w:lineRule="auto"/>
              <w:rPr>
                <w:rFonts w:eastAsia="Times New Roman" w:cstheme="minorHAnsi"/>
                <w:b/>
                <w:snapToGrid w:val="0"/>
                <w:sz w:val="24"/>
                <w:szCs w:val="24"/>
              </w:rPr>
            </w:pPr>
            <w:r w:rsidRPr="008E4D35">
              <w:rPr>
                <w:rFonts w:eastAsia="Times New Roman" w:cstheme="minorHAnsi"/>
                <w:b/>
                <w:snapToGrid w:val="0"/>
                <w:sz w:val="24"/>
                <w:szCs w:val="24"/>
              </w:rPr>
              <w:lastRenderedPageBreak/>
              <w:t xml:space="preserve">Ръководител на </w:t>
            </w:r>
            <w:r w:rsidR="00196D20" w:rsidRPr="00196D20">
              <w:rPr>
                <w:rFonts w:eastAsia="Times New Roman" w:cstheme="minorHAnsi"/>
                <w:b/>
                <w:snapToGrid w:val="0"/>
                <w:sz w:val="24"/>
                <w:szCs w:val="24"/>
              </w:rPr>
              <w:t>структура за наблюдение и докладване</w:t>
            </w:r>
          </w:p>
        </w:tc>
        <w:tc>
          <w:tcPr>
            <w:tcW w:w="6429" w:type="dxa"/>
            <w:shd w:val="clear" w:color="auto" w:fill="F3F3F3"/>
          </w:tcPr>
          <w:p w14:paraId="4678096D" w14:textId="20BD96EA" w:rsidR="00DA77B9" w:rsidRPr="00AB2A3A" w:rsidRDefault="00196D20" w:rsidP="00B42CB6">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Р</w:t>
            </w:r>
            <w:r w:rsidR="001472E2" w:rsidRPr="001472E2">
              <w:rPr>
                <w:rFonts w:eastAsia="Times New Roman" w:cstheme="minorHAnsi"/>
                <w:snapToGrid w:val="0"/>
                <w:sz w:val="24"/>
                <w:szCs w:val="24"/>
              </w:rPr>
              <w:t xml:space="preserve">ъководителят на </w:t>
            </w:r>
            <w:r w:rsidR="001472E2">
              <w:rPr>
                <w:rFonts w:eastAsia="Times New Roman" w:cstheme="minorHAnsi"/>
                <w:snapToGrid w:val="0"/>
                <w:sz w:val="24"/>
                <w:szCs w:val="24"/>
              </w:rPr>
              <w:t>съответната СНД</w:t>
            </w:r>
            <w:r w:rsidR="001472E2" w:rsidRPr="001472E2">
              <w:rPr>
                <w:rFonts w:eastAsia="Times New Roman" w:cstheme="minorHAnsi"/>
                <w:snapToGrid w:val="0"/>
                <w:sz w:val="24"/>
                <w:szCs w:val="24"/>
              </w:rPr>
              <w:t>. Правомощията на ръководител на структура за наблюдение и докладване може да се упражняват и от овластено от него лице.</w:t>
            </w:r>
          </w:p>
        </w:tc>
      </w:tr>
      <w:tr w:rsidR="00DA77B9" w:rsidRPr="008E4D35" w14:paraId="6775F5BF" w14:textId="77777777" w:rsidTr="00D54E1F">
        <w:tc>
          <w:tcPr>
            <w:tcW w:w="2633" w:type="dxa"/>
            <w:shd w:val="clear" w:color="auto" w:fill="E6E6E6"/>
          </w:tcPr>
          <w:p w14:paraId="75282C40" w14:textId="77777777" w:rsidR="00DA77B9" w:rsidRPr="008C5169" w:rsidRDefault="00DA77B9" w:rsidP="00DA77B9">
            <w:pPr>
              <w:spacing w:before="100" w:beforeAutospacing="1" w:after="100" w:afterAutospacing="1" w:line="240" w:lineRule="auto"/>
              <w:rPr>
                <w:rFonts w:eastAsia="Times New Roman" w:cstheme="minorHAnsi"/>
                <w:b/>
                <w:snapToGrid w:val="0"/>
                <w:sz w:val="24"/>
                <w:szCs w:val="24"/>
              </w:rPr>
            </w:pPr>
            <w:r w:rsidRPr="008C5169">
              <w:rPr>
                <w:rFonts w:eastAsia="Times New Roman" w:cstheme="minorHAnsi"/>
                <w:b/>
                <w:snapToGrid w:val="0"/>
                <w:sz w:val="24"/>
                <w:szCs w:val="24"/>
              </w:rPr>
              <w:t>Свързани лица</w:t>
            </w:r>
          </w:p>
        </w:tc>
        <w:tc>
          <w:tcPr>
            <w:tcW w:w="6429" w:type="dxa"/>
            <w:shd w:val="clear" w:color="auto" w:fill="F3F3F3"/>
          </w:tcPr>
          <w:p w14:paraId="21369182"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"Свързани лица" са:</w:t>
            </w:r>
          </w:p>
          <w:p w14:paraId="4578DE40"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48F315AA"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работодател и работник;</w:t>
            </w:r>
          </w:p>
          <w:p w14:paraId="3093017C"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3. лицата, едното от които участва в управлението на дружеството на другото;</w:t>
            </w:r>
          </w:p>
          <w:p w14:paraId="12ACCD03"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4. съдружниците;</w:t>
            </w:r>
          </w:p>
          <w:p w14:paraId="0A41B333"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5. дружество и лице, което притежава повече от 5 на сто от дяловете и акциите, издадени с право на глас в дружеството;</w:t>
            </w:r>
          </w:p>
          <w:p w14:paraId="15846D78"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6. лицата, чиято дейност се контролира пряко или косвено от трето лице;</w:t>
            </w:r>
          </w:p>
          <w:p w14:paraId="14684214"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7. лицата, които съвместно контролират пряко или косвено трето лице;</w:t>
            </w:r>
          </w:p>
          <w:p w14:paraId="7EBBB68E"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8. лицата, едното от които е търговски представител на другото;</w:t>
            </w:r>
          </w:p>
          <w:p w14:paraId="025755C2" w14:textId="77777777" w:rsidR="008C5169" w:rsidRPr="00AB2A3A" w:rsidRDefault="008C5169" w:rsidP="008C516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 xml:space="preserve">9. лицата, едното от които е направило дарение в полза на </w:t>
            </w:r>
            <w:r w:rsidRPr="00AB2A3A">
              <w:rPr>
                <w:rFonts w:eastAsia="Times New Roman" w:cstheme="minorHAnsi"/>
                <w:snapToGrid w:val="0"/>
                <w:sz w:val="24"/>
                <w:szCs w:val="24"/>
                <w:lang w:val="en-US"/>
              </w:rPr>
              <w:lastRenderedPageBreak/>
              <w:t>другото.</w:t>
            </w:r>
          </w:p>
          <w:p w14:paraId="6B81A3CE" w14:textId="77777777" w:rsidR="00DA77B9" w:rsidRPr="00AB2A3A" w:rsidRDefault="008C5169" w:rsidP="00DA77B9">
            <w:pPr>
              <w:spacing w:before="100" w:beforeAutospacing="1" w:after="100" w:afterAutospacing="1" w:line="240" w:lineRule="auto"/>
              <w:jc w:val="both"/>
              <w:rPr>
                <w:rFonts w:eastAsia="Times New Roman" w:cstheme="minorHAnsi"/>
                <w:snapToGrid w:val="0"/>
                <w:sz w:val="24"/>
                <w:szCs w:val="24"/>
                <w:lang w:val="en-US"/>
              </w:rPr>
            </w:pPr>
            <w:r w:rsidRPr="00AB2A3A">
              <w:rPr>
                <w:rFonts w:eastAsia="Times New Roman" w:cstheme="minorHAnsi"/>
                <w:snapToGrid w:val="0"/>
                <w:sz w:val="24"/>
                <w:szCs w:val="24"/>
                <w:lang w:val="en-US"/>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DA77B9" w:rsidRPr="008E4D35" w14:paraId="5E2DD8BA" w14:textId="77777777" w:rsidTr="00D54E1F">
        <w:tc>
          <w:tcPr>
            <w:tcW w:w="2633" w:type="dxa"/>
            <w:shd w:val="clear" w:color="auto" w:fill="E6E6E6"/>
          </w:tcPr>
          <w:p w14:paraId="33617E20"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E304D8">
              <w:rPr>
                <w:rFonts w:eastAsia="Times New Roman" w:cstheme="minorHAnsi"/>
                <w:b/>
                <w:snapToGrid w:val="0"/>
                <w:sz w:val="24"/>
                <w:szCs w:val="24"/>
              </w:rPr>
              <w:lastRenderedPageBreak/>
              <w:t>Сделка между несвързани лица</w:t>
            </w:r>
          </w:p>
        </w:tc>
        <w:tc>
          <w:tcPr>
            <w:tcW w:w="6429" w:type="dxa"/>
            <w:shd w:val="clear" w:color="auto" w:fill="F3F3F3"/>
          </w:tcPr>
          <w:p w14:paraId="3E304E05"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Сделка между несвързани лица</w:t>
            </w:r>
            <w:r w:rsidRPr="00E304D8">
              <w:rPr>
                <w:rFonts w:eastAsia="Times New Roman" w:cstheme="minorHAnsi"/>
                <w:snapToGrid w:val="0"/>
                <w:sz w:val="24"/>
                <w:szCs w:val="24"/>
              </w:rPr>
              <w:t xml:space="preserve">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DA77B9" w:rsidRPr="008E4D35" w14:paraId="068E4BD7" w14:textId="77777777" w:rsidTr="00D54E1F">
        <w:tc>
          <w:tcPr>
            <w:tcW w:w="2633" w:type="dxa"/>
            <w:shd w:val="clear" w:color="auto" w:fill="E6E6E6"/>
          </w:tcPr>
          <w:p w14:paraId="1FE03947" w14:textId="77777777" w:rsidR="00DA77B9" w:rsidRPr="00A3057D" w:rsidRDefault="00DA77B9" w:rsidP="00DA77B9">
            <w:pPr>
              <w:spacing w:before="100" w:beforeAutospacing="1" w:after="100" w:afterAutospacing="1" w:line="240" w:lineRule="auto"/>
              <w:rPr>
                <w:rFonts w:eastAsia="Times New Roman" w:cstheme="minorHAnsi"/>
                <w:b/>
                <w:snapToGrid w:val="0"/>
                <w:sz w:val="24"/>
                <w:szCs w:val="24"/>
              </w:rPr>
            </w:pPr>
            <w:r w:rsidRPr="00A3057D">
              <w:rPr>
                <w:rFonts w:eastAsia="Times New Roman" w:cstheme="minorHAnsi"/>
                <w:b/>
                <w:snapToGrid w:val="0"/>
                <w:sz w:val="24"/>
                <w:szCs w:val="24"/>
              </w:rPr>
              <w:t>Селскостопански продукт</w:t>
            </w:r>
          </w:p>
        </w:tc>
        <w:tc>
          <w:tcPr>
            <w:tcW w:w="6429" w:type="dxa"/>
            <w:shd w:val="clear" w:color="auto" w:fill="F3F3F3"/>
          </w:tcPr>
          <w:p w14:paraId="78022D3C" w14:textId="77777777" w:rsidR="00DA77B9" w:rsidRDefault="00DA77B9" w:rsidP="00DA77B9">
            <w:pPr>
              <w:spacing w:before="100" w:beforeAutospacing="1" w:after="100" w:afterAutospacing="1" w:line="240" w:lineRule="auto"/>
              <w:jc w:val="both"/>
              <w:rPr>
                <w:rFonts w:eastAsia="Times New Roman" w:cstheme="minorHAnsi"/>
                <w:snapToGrid w:val="0"/>
                <w:sz w:val="24"/>
                <w:szCs w:val="24"/>
              </w:rPr>
            </w:pPr>
            <w:r w:rsidRPr="003D5F84">
              <w:rPr>
                <w:rFonts w:eastAsia="Times New Roman" w:cstheme="minorHAnsi"/>
                <w:snapToGrid w:val="0"/>
                <w:sz w:val="24"/>
                <w:szCs w:val="24"/>
              </w:rPr>
              <w:t xml:space="preserve">Съгласно чл. 2, пар. 11 от Регламент (ЕС) № 651/2014 </w:t>
            </w:r>
            <w:r>
              <w:rPr>
                <w:rFonts w:eastAsia="Times New Roman" w:cstheme="minorHAnsi"/>
                <w:snapToGrid w:val="0"/>
                <w:sz w:val="24"/>
                <w:szCs w:val="24"/>
              </w:rPr>
              <w:t>„селскостопански продукт“</w:t>
            </w:r>
            <w:r w:rsidRPr="003D5F84">
              <w:rPr>
                <w:rFonts w:eastAsia="Times New Roman" w:cstheme="minorHAnsi"/>
                <w:snapToGrid w:val="0"/>
                <w:sz w:val="24"/>
                <w:szCs w:val="24"/>
              </w:rPr>
              <w:t xml:space="preserve"> означава продукти, изброени в приложение I към Дог</w:t>
            </w:r>
            <w:r>
              <w:rPr>
                <w:rFonts w:eastAsia="Times New Roman" w:cstheme="minorHAnsi"/>
                <w:snapToGrid w:val="0"/>
                <w:sz w:val="24"/>
                <w:szCs w:val="24"/>
              </w:rPr>
              <w:t xml:space="preserve">овора, с изключение на продукти </w:t>
            </w:r>
            <w:r w:rsidRPr="003D5F84">
              <w:rPr>
                <w:rFonts w:eastAsia="Times New Roman" w:cstheme="minorHAnsi"/>
                <w:snapToGrid w:val="0"/>
                <w:sz w:val="24"/>
                <w:szCs w:val="24"/>
              </w:rPr>
              <w:t xml:space="preserve">на рибарството и аквакултурите, изброени в приложение I към Регламент </w:t>
            </w:r>
            <w:r>
              <w:rPr>
                <w:rFonts w:eastAsia="Times New Roman" w:cstheme="minorHAnsi"/>
                <w:snapToGrid w:val="0"/>
                <w:sz w:val="24"/>
                <w:szCs w:val="24"/>
              </w:rPr>
              <w:t xml:space="preserve">(ЕС) № 1379/2013 на Европейския </w:t>
            </w:r>
            <w:r w:rsidRPr="003D5F84">
              <w:rPr>
                <w:rFonts w:eastAsia="Times New Roman" w:cstheme="minorHAnsi"/>
                <w:snapToGrid w:val="0"/>
                <w:sz w:val="24"/>
                <w:szCs w:val="24"/>
              </w:rPr>
              <w:t>парламент и на Съвета от 11 декември 2013 г.;</w:t>
            </w:r>
          </w:p>
        </w:tc>
      </w:tr>
      <w:tr w:rsidR="001472E2" w:rsidRPr="008E4D35" w14:paraId="510F142B" w14:textId="77777777" w:rsidTr="00D54E1F">
        <w:tc>
          <w:tcPr>
            <w:tcW w:w="2633" w:type="dxa"/>
            <w:shd w:val="clear" w:color="auto" w:fill="E6E6E6"/>
          </w:tcPr>
          <w:p w14:paraId="1C002018" w14:textId="77777777" w:rsidR="001472E2" w:rsidRPr="00196D20" w:rsidRDefault="00196D20" w:rsidP="00DA77B9">
            <w:pPr>
              <w:spacing w:before="100" w:beforeAutospacing="1" w:after="100" w:afterAutospacing="1" w:line="240" w:lineRule="auto"/>
              <w:rPr>
                <w:rFonts w:eastAsia="Times New Roman" w:cstheme="minorHAnsi"/>
                <w:b/>
                <w:snapToGrid w:val="0"/>
                <w:sz w:val="24"/>
                <w:szCs w:val="24"/>
              </w:rPr>
            </w:pPr>
            <w:r w:rsidRPr="00196D20">
              <w:rPr>
                <w:rFonts w:eastAsia="Times New Roman" w:cstheme="minorHAnsi"/>
                <w:b/>
                <w:snapToGrid w:val="0"/>
                <w:sz w:val="24"/>
                <w:szCs w:val="24"/>
              </w:rPr>
              <w:t>Структура за наблюдение и докладване</w:t>
            </w:r>
          </w:p>
        </w:tc>
        <w:tc>
          <w:tcPr>
            <w:tcW w:w="6429" w:type="dxa"/>
            <w:shd w:val="clear" w:color="auto" w:fill="F3F3F3"/>
          </w:tcPr>
          <w:p w14:paraId="4BDBF9E8" w14:textId="77777777" w:rsidR="001472E2" w:rsidRPr="003D5F84" w:rsidRDefault="00562463" w:rsidP="00196D20">
            <w:pPr>
              <w:spacing w:before="100" w:beforeAutospacing="1" w:after="100" w:afterAutospacing="1" w:line="240" w:lineRule="auto"/>
              <w:jc w:val="both"/>
              <w:rPr>
                <w:rFonts w:eastAsia="Times New Roman" w:cstheme="minorHAnsi"/>
                <w:snapToGrid w:val="0"/>
                <w:sz w:val="24"/>
                <w:szCs w:val="24"/>
              </w:rPr>
            </w:pPr>
            <w:r>
              <w:rPr>
                <w:rFonts w:eastAsia="Times New Roman" w:cstheme="minorHAnsi"/>
                <w:snapToGrid w:val="0"/>
                <w:sz w:val="24"/>
                <w:szCs w:val="24"/>
              </w:rPr>
              <w:t>О</w:t>
            </w:r>
            <w:r w:rsidR="001472E2" w:rsidRPr="001472E2">
              <w:rPr>
                <w:rFonts w:eastAsia="Times New Roman" w:cstheme="minorHAnsi"/>
                <w:snapToGrid w:val="0"/>
                <w:sz w:val="24"/>
                <w:szCs w:val="24"/>
              </w:rPr>
              <w:t>пределено звено в министерство, друго ведомство от централната администрация на изпълнителната власт или определено негово звено, което отговаря за подбора, в случаите, в които е предвиден такъв, за договарянето на финансиране с крайни получатели, за обобщаването на финансовата и техническа информацията и за осъществяването на контрол върху финансовото и техническо изпълнение на инвестициите, реализирани в рамките на споразумение с Министерството на финансите.</w:t>
            </w:r>
          </w:p>
        </w:tc>
      </w:tr>
      <w:tr w:rsidR="00DA77B9" w:rsidRPr="008E4D35" w14:paraId="378510BC" w14:textId="77777777" w:rsidTr="00D54E1F">
        <w:tc>
          <w:tcPr>
            <w:tcW w:w="2633" w:type="dxa"/>
            <w:shd w:val="clear" w:color="auto" w:fill="E6E6E6"/>
          </w:tcPr>
          <w:p w14:paraId="4A859C1F"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C64722">
              <w:rPr>
                <w:rFonts w:eastAsia="Times New Roman" w:cstheme="minorHAnsi"/>
                <w:b/>
                <w:snapToGrid w:val="0"/>
                <w:sz w:val="24"/>
                <w:szCs w:val="24"/>
              </w:rPr>
              <w:t>Сектор за производство на синтетични влакна</w:t>
            </w:r>
          </w:p>
        </w:tc>
        <w:tc>
          <w:tcPr>
            <w:tcW w:w="6429" w:type="dxa"/>
            <w:shd w:val="clear" w:color="auto" w:fill="F3F3F3"/>
          </w:tcPr>
          <w:p w14:paraId="02C33DB0" w14:textId="77777777" w:rsidR="00DA77B9"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44 от Регламент (ЕО) № 651/2014</w:t>
            </w:r>
            <w:r>
              <w:t xml:space="preserve"> </w:t>
            </w:r>
            <w:r w:rsidRPr="009B112E">
              <w:rPr>
                <w:rFonts w:eastAsia="Times New Roman" w:cstheme="minorHAnsi"/>
                <w:snapToGrid w:val="0"/>
                <w:sz w:val="24"/>
                <w:szCs w:val="24"/>
              </w:rPr>
              <w:t>„сектор за производство на синтетични влакна“ означава:</w:t>
            </w:r>
          </w:p>
          <w:p w14:paraId="1722360C" w14:textId="77777777" w:rsidR="00DA77B9" w:rsidRPr="00C64722" w:rsidRDefault="00DA77B9" w:rsidP="00DA77B9">
            <w:pPr>
              <w:spacing w:after="60" w:line="240" w:lineRule="auto"/>
              <w:jc w:val="both"/>
              <w:rPr>
                <w:rFonts w:eastAsia="Times New Roman" w:cstheme="minorHAnsi"/>
                <w:snapToGrid w:val="0"/>
                <w:sz w:val="24"/>
                <w:szCs w:val="24"/>
              </w:rPr>
            </w:pPr>
            <w:r w:rsidRPr="00C64722">
              <w:rPr>
                <w:rFonts w:eastAsia="Times New Roman" w:cstheme="minorHAnsi"/>
                <w:snapToGrid w:val="0"/>
                <w:sz w:val="24"/>
                <w:szCs w:val="24"/>
              </w:rPr>
              <w:t>а) екструдиране/текстуриране на всички основни видове влакна и прежди на база полиестер, полиамид, акрил или пропилен, независимо от предназначението им; или</w:t>
            </w:r>
          </w:p>
          <w:p w14:paraId="16802B2D" w14:textId="77777777" w:rsidR="00DA77B9" w:rsidRPr="00C64722" w:rsidRDefault="00DA77B9" w:rsidP="00DA77B9">
            <w:pPr>
              <w:spacing w:after="60" w:line="240" w:lineRule="auto"/>
              <w:jc w:val="both"/>
              <w:rPr>
                <w:rFonts w:eastAsia="Times New Roman" w:cstheme="minorHAnsi"/>
                <w:snapToGrid w:val="0"/>
                <w:sz w:val="24"/>
                <w:szCs w:val="24"/>
              </w:rPr>
            </w:pPr>
            <w:r w:rsidRPr="00C64722">
              <w:rPr>
                <w:rFonts w:eastAsia="Times New Roman" w:cstheme="minorHAnsi"/>
                <w:snapToGrid w:val="0"/>
                <w:sz w:val="24"/>
                <w:szCs w:val="24"/>
              </w:rPr>
              <w:t>б) полимеризация (включително поликондензация), когато е интегрирана в процеса на екструдиране предвид използваното оборудване; или</w:t>
            </w:r>
          </w:p>
          <w:p w14:paraId="4E052C65" w14:textId="77777777" w:rsidR="00DA77B9" w:rsidRPr="008E4D35" w:rsidRDefault="00DA77B9" w:rsidP="00DA77B9">
            <w:pPr>
              <w:spacing w:after="60" w:line="240" w:lineRule="auto"/>
              <w:jc w:val="both"/>
              <w:rPr>
                <w:rFonts w:cstheme="minorHAnsi"/>
                <w:sz w:val="24"/>
                <w:szCs w:val="24"/>
              </w:rPr>
            </w:pPr>
            <w:r w:rsidRPr="00C64722">
              <w:rPr>
                <w:rFonts w:eastAsia="Times New Roman" w:cstheme="minorHAnsi"/>
                <w:snapToGrid w:val="0"/>
                <w:sz w:val="24"/>
                <w:szCs w:val="24"/>
              </w:rPr>
              <w:t xml:space="preserve">в) всички спомагателни процеси, които са свързани с едновременното инсталиране на мощности за екструдиране/ текстуриране от потенциалния бенефициер или от друго дружество, принадлежащо към същата група, и които при конкретния вид стопанска дейност обикновено са интегрирани в тези мощности </w:t>
            </w:r>
            <w:r>
              <w:rPr>
                <w:rFonts w:eastAsia="Times New Roman" w:cstheme="minorHAnsi"/>
                <w:snapToGrid w:val="0"/>
                <w:sz w:val="24"/>
                <w:szCs w:val="24"/>
              </w:rPr>
              <w:t>предвид използваното оборудване.</w:t>
            </w:r>
          </w:p>
        </w:tc>
      </w:tr>
      <w:tr w:rsidR="00DA77B9" w:rsidRPr="008E4D35" w14:paraId="26DBC2BB" w14:textId="77777777" w:rsidTr="00D54E1F">
        <w:tc>
          <w:tcPr>
            <w:tcW w:w="2633" w:type="dxa"/>
            <w:shd w:val="clear" w:color="auto" w:fill="E6E6E6"/>
          </w:tcPr>
          <w:p w14:paraId="06DFC14F" w14:textId="77777777" w:rsidR="00DA77B9" w:rsidRPr="008E4D35" w:rsidRDefault="00DA77B9" w:rsidP="00DA77B9">
            <w:pPr>
              <w:spacing w:before="100" w:beforeAutospacing="1" w:after="100" w:afterAutospacing="1" w:line="240" w:lineRule="auto"/>
              <w:rPr>
                <w:rFonts w:eastAsia="Times New Roman" w:cstheme="minorHAnsi"/>
                <w:b/>
                <w:snapToGrid w:val="0"/>
                <w:sz w:val="24"/>
                <w:szCs w:val="24"/>
              </w:rPr>
            </w:pPr>
            <w:r w:rsidRPr="00911F09">
              <w:rPr>
                <w:rFonts w:eastAsia="Times New Roman" w:cstheme="minorHAnsi"/>
                <w:b/>
                <w:snapToGrid w:val="0"/>
                <w:sz w:val="24"/>
                <w:szCs w:val="24"/>
              </w:rPr>
              <w:lastRenderedPageBreak/>
              <w:t>Стоманодобивен сектор</w:t>
            </w:r>
          </w:p>
        </w:tc>
        <w:tc>
          <w:tcPr>
            <w:tcW w:w="6429" w:type="dxa"/>
            <w:shd w:val="clear" w:color="auto" w:fill="F3F3F3"/>
          </w:tcPr>
          <w:p w14:paraId="5107B257" w14:textId="77777777" w:rsidR="00DA77B9" w:rsidRDefault="00DA77B9" w:rsidP="00DA77B9">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43 от Регламент (ЕО) № 651/2014</w:t>
            </w:r>
            <w:r>
              <w:t xml:space="preserve"> </w:t>
            </w:r>
            <w:r w:rsidRPr="003C0505">
              <w:rPr>
                <w:rFonts w:eastAsia="Times New Roman" w:cstheme="minorHAnsi"/>
                <w:snapToGrid w:val="0"/>
                <w:sz w:val="24"/>
                <w:szCs w:val="24"/>
              </w:rPr>
              <w:t>„стоманодобивен сектор“ означава всички дейности, свързани с производството на един или повече от следните</w:t>
            </w:r>
            <w:r>
              <w:rPr>
                <w:rFonts w:eastAsia="Times New Roman" w:cstheme="minorHAnsi"/>
                <w:snapToGrid w:val="0"/>
                <w:sz w:val="24"/>
                <w:szCs w:val="24"/>
              </w:rPr>
              <w:t xml:space="preserve"> </w:t>
            </w:r>
            <w:r w:rsidRPr="003C0505">
              <w:rPr>
                <w:rFonts w:eastAsia="Times New Roman" w:cstheme="minorHAnsi"/>
                <w:snapToGrid w:val="0"/>
                <w:sz w:val="24"/>
                <w:szCs w:val="24"/>
              </w:rPr>
              <w:t>продукти:</w:t>
            </w:r>
          </w:p>
          <w:p w14:paraId="2F5187C0" w14:textId="77777777" w:rsidR="00DA77B9" w:rsidRPr="009200B0" w:rsidRDefault="00DA77B9" w:rsidP="00DA77B9">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а) чугун на блокове и феросплави: чугун за производство на стомана, леярски чугун и друг чугун за производство на стомана, шпигелайзен (желязно-манганови сплави) и високовъглеродни желязно-манганови сплави, без да се включват други ферос- плави;</w:t>
            </w:r>
          </w:p>
          <w:p w14:paraId="65D1A9EA" w14:textId="77777777" w:rsidR="00DA77B9" w:rsidRPr="009200B0" w:rsidRDefault="00DA77B9" w:rsidP="00DA77B9">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пръти и сляби, листове и листове покалаена ламарина, горещо валцувани коилси, с изключение на производство на лята стомана за леене от малки и средни леярни;</w:t>
            </w:r>
          </w:p>
          <w:p w14:paraId="377055B1" w14:textId="77777777" w:rsidR="00DA77B9" w:rsidRPr="009200B0" w:rsidRDefault="00DA77B9" w:rsidP="00DA77B9">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 по- голяма, валцувани плоскости, профили и секции с дебелина по-малко от 80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 плоскости по-тънки от 150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 xml:space="preserve">или повече, плосковалцовани продукти с универсално предназначение с дебелина 150 </w:t>
            </w:r>
            <w:r w:rsidRPr="009200B0">
              <w:rPr>
                <w:rFonts w:eastAsia="Times New Roman" w:cstheme="minorHAnsi"/>
                <w:snapToGrid w:val="0"/>
                <w:sz w:val="24"/>
                <w:szCs w:val="24"/>
                <w:lang w:val="en-US"/>
              </w:rPr>
              <w:t xml:space="preserve">mm </w:t>
            </w:r>
            <w:r w:rsidRPr="009200B0">
              <w:rPr>
                <w:rFonts w:eastAsia="Times New Roman" w:cstheme="minorHAnsi"/>
                <w:snapToGrid w:val="0"/>
                <w:sz w:val="24"/>
                <w:szCs w:val="24"/>
                <w:lang w:val="bg"/>
              </w:rPr>
              <w:t>или повече, с изключение на тел и продукти от тел, полирани пръти и железни отливки;</w:t>
            </w:r>
          </w:p>
          <w:p w14:paraId="6B943F6A" w14:textId="77777777" w:rsidR="00DA77B9" w:rsidRPr="009200B0" w:rsidRDefault="00DA77B9" w:rsidP="00DA77B9">
            <w:pPr>
              <w:spacing w:after="60" w:line="240" w:lineRule="auto"/>
              <w:jc w:val="both"/>
              <w:rPr>
                <w:rFonts w:eastAsia="Times New Roman" w:cstheme="minorHAnsi"/>
                <w:snapToGrid w:val="0"/>
                <w:sz w:val="24"/>
                <w:szCs w:val="24"/>
                <w:lang w:val="bg"/>
              </w:rPr>
            </w:pPr>
            <w:r w:rsidRPr="009200B0">
              <w:rPr>
                <w:rFonts w:eastAsia="Times New Roman" w:cstheme="minorHAnsi"/>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14:paraId="3151B6BA" w14:textId="77777777" w:rsidR="00DA77B9" w:rsidRPr="008E4D35" w:rsidRDefault="00DA77B9" w:rsidP="00DA77B9">
            <w:pPr>
              <w:spacing w:after="60" w:line="240" w:lineRule="auto"/>
              <w:jc w:val="both"/>
              <w:rPr>
                <w:rFonts w:eastAsia="Times New Roman" w:cstheme="minorHAnsi"/>
                <w:snapToGrid w:val="0"/>
                <w:sz w:val="24"/>
                <w:szCs w:val="24"/>
              </w:rPr>
            </w:pPr>
            <w:r w:rsidRPr="009200B0">
              <w:rPr>
                <w:rFonts w:eastAsia="Times New Roman" w:cstheme="minorHAnsi"/>
                <w:snapToGrid w:val="0"/>
                <w:sz w:val="24"/>
                <w:szCs w:val="24"/>
                <w:lang w:val="bg"/>
              </w:rPr>
              <w:t xml:space="preserve">д) тръби: всички безшевни стоманени тръби, запоени стоманени тръби с диаметър, надхвърлящ 406,4 </w:t>
            </w:r>
            <w:r w:rsidRPr="009200B0">
              <w:rPr>
                <w:rFonts w:eastAsia="Times New Roman" w:cstheme="minorHAnsi"/>
                <w:snapToGrid w:val="0"/>
                <w:sz w:val="24"/>
                <w:szCs w:val="24"/>
                <w:lang w:val="en-US"/>
              </w:rPr>
              <w:t>mm;</w:t>
            </w:r>
          </w:p>
        </w:tc>
      </w:tr>
      <w:tr w:rsidR="00A87ED4" w:rsidRPr="008E4D35" w14:paraId="420700B0" w14:textId="77777777" w:rsidTr="00D54E1F">
        <w:tc>
          <w:tcPr>
            <w:tcW w:w="2633" w:type="dxa"/>
            <w:shd w:val="clear" w:color="auto" w:fill="E6E6E6"/>
          </w:tcPr>
          <w:p w14:paraId="57CA4C82" w14:textId="77777777" w:rsidR="00A87ED4" w:rsidRPr="00911F09" w:rsidRDefault="00A87ED4" w:rsidP="00DA77B9">
            <w:pPr>
              <w:spacing w:before="100" w:beforeAutospacing="1" w:after="100" w:afterAutospacing="1" w:line="240" w:lineRule="auto"/>
              <w:rPr>
                <w:rFonts w:eastAsia="Times New Roman" w:cstheme="minorHAnsi"/>
                <w:b/>
                <w:snapToGrid w:val="0"/>
                <w:sz w:val="24"/>
                <w:szCs w:val="24"/>
              </w:rPr>
            </w:pPr>
            <w:r w:rsidRPr="00A87ED4">
              <w:rPr>
                <w:rFonts w:eastAsia="Times New Roman" w:cstheme="minorHAnsi"/>
                <w:b/>
                <w:snapToGrid w:val="0"/>
                <w:sz w:val="24"/>
                <w:szCs w:val="24"/>
              </w:rPr>
              <w:t>Техническа и финансова оценка</w:t>
            </w:r>
          </w:p>
        </w:tc>
        <w:tc>
          <w:tcPr>
            <w:tcW w:w="6429" w:type="dxa"/>
            <w:shd w:val="clear" w:color="auto" w:fill="F3F3F3"/>
          </w:tcPr>
          <w:p w14:paraId="06E6097F" w14:textId="77777777" w:rsidR="00A87ED4" w:rsidRDefault="00A87ED4" w:rsidP="00A87ED4">
            <w:pPr>
              <w:spacing w:after="60" w:line="240" w:lineRule="auto"/>
              <w:jc w:val="both"/>
              <w:rPr>
                <w:rFonts w:eastAsia="Times New Roman" w:cstheme="minorHAnsi"/>
                <w:snapToGrid w:val="0"/>
                <w:sz w:val="24"/>
                <w:szCs w:val="24"/>
              </w:rPr>
            </w:pPr>
            <w:r>
              <w:rPr>
                <w:rFonts w:eastAsia="Times New Roman" w:cstheme="minorHAnsi"/>
                <w:snapToGrid w:val="0"/>
                <w:sz w:val="24"/>
                <w:szCs w:val="24"/>
              </w:rPr>
              <w:t>О</w:t>
            </w:r>
            <w:r w:rsidRPr="00A87ED4">
              <w:rPr>
                <w:rFonts w:eastAsia="Times New Roman" w:cstheme="minorHAnsi"/>
                <w:snapToGrid w:val="0"/>
                <w:sz w:val="24"/>
                <w:szCs w:val="24"/>
              </w:rPr>
              <w:t>ценка по същество на предложенията за изпълнение на инвестиции, която се извършва в съответствие с критериите за оценка на инвестициите</w:t>
            </w:r>
          </w:p>
        </w:tc>
      </w:tr>
      <w:tr w:rsidR="00935650" w:rsidRPr="008E4D35" w14:paraId="5782759B" w14:textId="77777777" w:rsidTr="00D54E1F">
        <w:tc>
          <w:tcPr>
            <w:tcW w:w="2633" w:type="dxa"/>
            <w:shd w:val="clear" w:color="auto" w:fill="E6E6E6"/>
          </w:tcPr>
          <w:p w14:paraId="21B23894" w14:textId="77777777" w:rsidR="00935650" w:rsidRPr="00F15327" w:rsidRDefault="00935650" w:rsidP="00935650">
            <w:pPr>
              <w:spacing w:before="100" w:beforeAutospacing="1" w:after="100" w:afterAutospacing="1" w:line="240" w:lineRule="auto"/>
              <w:rPr>
                <w:rFonts w:eastAsia="Times New Roman" w:cstheme="minorHAnsi"/>
                <w:b/>
                <w:snapToGrid w:val="0"/>
                <w:sz w:val="24"/>
                <w:szCs w:val="24"/>
              </w:rPr>
            </w:pPr>
            <w:r w:rsidRPr="00F15327">
              <w:rPr>
                <w:rFonts w:eastAsia="Times New Roman" w:cstheme="minorHAnsi"/>
                <w:b/>
                <w:snapToGrid w:val="0"/>
                <w:sz w:val="24"/>
                <w:szCs w:val="24"/>
              </w:rPr>
              <w:t>Транспортни средства</w:t>
            </w:r>
          </w:p>
        </w:tc>
        <w:tc>
          <w:tcPr>
            <w:tcW w:w="6429" w:type="dxa"/>
            <w:shd w:val="clear" w:color="auto" w:fill="F3F3F3"/>
          </w:tcPr>
          <w:p w14:paraId="4D315B09" w14:textId="77777777" w:rsidR="00935650" w:rsidRPr="00F15327" w:rsidRDefault="00935650" w:rsidP="00935650">
            <w:pPr>
              <w:pStyle w:val="FootnoteText"/>
              <w:spacing w:after="60"/>
              <w:jc w:val="both"/>
              <w:rPr>
                <w:sz w:val="24"/>
                <w:szCs w:val="24"/>
              </w:rPr>
            </w:pPr>
            <w:r w:rsidRPr="00F15327">
              <w:rPr>
                <w:sz w:val="24"/>
                <w:szCs w:val="24"/>
              </w:rPr>
              <w:t>Включва следните дефиниции:</w:t>
            </w:r>
          </w:p>
          <w:p w14:paraId="797E36DE" w14:textId="77777777" w:rsidR="00935650" w:rsidRPr="00F15327" w:rsidRDefault="00935650" w:rsidP="00935650">
            <w:pPr>
              <w:pStyle w:val="FootnoteText"/>
              <w:spacing w:after="60"/>
              <w:jc w:val="both"/>
              <w:rPr>
                <w:sz w:val="24"/>
                <w:szCs w:val="24"/>
              </w:rPr>
            </w:pPr>
            <w:r w:rsidRPr="00F15327">
              <w:rPr>
                <w:sz w:val="24"/>
                <w:szCs w:val="24"/>
              </w:rPr>
              <w:t xml:space="preserve"> - </w:t>
            </w:r>
            <w:r w:rsidRPr="00F15327">
              <w:rPr>
                <w:i/>
                <w:sz w:val="24"/>
                <w:szCs w:val="24"/>
              </w:rPr>
              <w:t>Съгласно Закона за движението по пътищата:</w:t>
            </w:r>
          </w:p>
          <w:p w14:paraId="7A0BD13D" w14:textId="77777777" w:rsidR="00935650" w:rsidRPr="00F15327" w:rsidRDefault="00935650" w:rsidP="00935650">
            <w:pPr>
              <w:pStyle w:val="FootnoteText"/>
              <w:spacing w:after="60"/>
              <w:jc w:val="both"/>
              <w:rPr>
                <w:sz w:val="24"/>
                <w:szCs w:val="24"/>
              </w:rPr>
            </w:pPr>
            <w:r w:rsidRPr="00F15327">
              <w:rPr>
                <w:sz w:val="24"/>
                <w:szCs w:val="24"/>
              </w:rPr>
              <w:t xml:space="preserve">1. "Пътно превозно средство" е съоръжение, придвижвано </w:t>
            </w:r>
            <w:r w:rsidRPr="00F15327">
              <w:rPr>
                <w:sz w:val="24"/>
                <w:szCs w:val="24"/>
              </w:rPr>
              <w:lastRenderedPageBreak/>
              <w:t>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32671543" w14:textId="77777777" w:rsidR="00935650" w:rsidRDefault="00935650" w:rsidP="00935650">
            <w:pPr>
              <w:pStyle w:val="FootnoteText"/>
              <w:spacing w:after="60"/>
              <w:jc w:val="both"/>
              <w:rPr>
                <w:sz w:val="24"/>
                <w:szCs w:val="24"/>
              </w:rPr>
            </w:pPr>
            <w:r w:rsidRPr="00F15327">
              <w:rPr>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37A767CF" w14:textId="77777777" w:rsidR="00935650" w:rsidRPr="002A6026" w:rsidRDefault="00935650" w:rsidP="00935650">
            <w:pPr>
              <w:pStyle w:val="FootnoteText"/>
              <w:spacing w:after="60"/>
              <w:jc w:val="both"/>
              <w:rPr>
                <w:b/>
                <w:sz w:val="24"/>
                <w:szCs w:val="24"/>
              </w:rPr>
            </w:pPr>
            <w:r w:rsidRPr="002A6026">
              <w:rPr>
                <w:b/>
                <w:sz w:val="24"/>
                <w:szCs w:val="24"/>
              </w:rPr>
              <w:t>За целите на настоящата процедура не представляват транспортни средства машини и съоръжения, които се придвижват само на територията на предприятието или се използват за вътрешно технологичен транспорт, при условие, че не се придвижват по пътищата.</w:t>
            </w:r>
          </w:p>
          <w:p w14:paraId="2C463A14" w14:textId="77777777" w:rsidR="00935650" w:rsidRPr="00F15327" w:rsidRDefault="00935650" w:rsidP="00935650">
            <w:pPr>
              <w:pStyle w:val="FootnoteText"/>
              <w:spacing w:after="60"/>
              <w:jc w:val="both"/>
              <w:rPr>
                <w:i/>
                <w:sz w:val="24"/>
                <w:szCs w:val="24"/>
              </w:rPr>
            </w:pPr>
            <w:r w:rsidRPr="00F15327">
              <w:rPr>
                <w:sz w:val="24"/>
                <w:szCs w:val="24"/>
              </w:rPr>
              <w:t xml:space="preserve">- </w:t>
            </w:r>
            <w:r w:rsidRPr="00F15327">
              <w:rPr>
                <w:i/>
                <w:sz w:val="24"/>
                <w:szCs w:val="24"/>
              </w:rPr>
              <w:t>Съгласно Закона за гражданското въздухоплаване:</w:t>
            </w:r>
          </w:p>
          <w:p w14:paraId="1D2EEEDA" w14:textId="77777777" w:rsidR="00935650" w:rsidRPr="00F15327" w:rsidRDefault="00935650" w:rsidP="00935650">
            <w:pPr>
              <w:pStyle w:val="FootnoteText"/>
              <w:spacing w:after="60"/>
              <w:jc w:val="both"/>
              <w:rPr>
                <w:sz w:val="24"/>
                <w:szCs w:val="24"/>
              </w:rPr>
            </w:pPr>
            <w:r w:rsidRPr="00F15327">
              <w:rPr>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2C8DF604" w14:textId="77777777" w:rsidR="00935650" w:rsidRPr="00F15327" w:rsidRDefault="00935650" w:rsidP="00935650">
            <w:pPr>
              <w:pStyle w:val="FootnoteText"/>
              <w:spacing w:after="60"/>
              <w:jc w:val="both"/>
              <w:rPr>
                <w:sz w:val="24"/>
                <w:szCs w:val="24"/>
              </w:rPr>
            </w:pPr>
            <w:r w:rsidRPr="00F15327">
              <w:rPr>
                <w:sz w:val="24"/>
                <w:szCs w:val="24"/>
              </w:rPr>
              <w:t xml:space="preserve"> - </w:t>
            </w:r>
            <w:r w:rsidRPr="00F15327">
              <w:rPr>
                <w:i/>
                <w:sz w:val="24"/>
                <w:szCs w:val="24"/>
              </w:rPr>
              <w:t>Съгласно Закона за железопътния транспорт:</w:t>
            </w:r>
          </w:p>
          <w:p w14:paraId="5D23C29B" w14:textId="77777777" w:rsidR="00935650" w:rsidRPr="00F15327" w:rsidRDefault="00935650" w:rsidP="00935650">
            <w:pPr>
              <w:pStyle w:val="FootnoteText"/>
              <w:spacing w:after="60"/>
              <w:jc w:val="both"/>
              <w:rPr>
                <w:sz w:val="24"/>
                <w:szCs w:val="24"/>
              </w:rPr>
            </w:pPr>
            <w:r w:rsidRPr="00F15327">
              <w:rPr>
                <w:sz w:val="24"/>
                <w:szCs w:val="24"/>
              </w:rPr>
              <w:t>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дрезини и други моторни возила, несваляеми от пътя, отправени на междугарие, се смятат за влакове.</w:t>
            </w:r>
          </w:p>
          <w:p w14:paraId="3FED9544" w14:textId="77777777" w:rsidR="00935650" w:rsidRPr="00F15327" w:rsidRDefault="00935650" w:rsidP="00935650">
            <w:pPr>
              <w:pStyle w:val="FootnoteText"/>
              <w:spacing w:after="60"/>
              <w:jc w:val="both"/>
              <w:rPr>
                <w:sz w:val="24"/>
                <w:szCs w:val="24"/>
              </w:rPr>
            </w:pPr>
            <w:r w:rsidRPr="00F15327">
              <w:rPr>
                <w:sz w:val="24"/>
                <w:szCs w:val="24"/>
              </w:rPr>
              <w:t xml:space="preserve"> - </w:t>
            </w:r>
            <w:r w:rsidRPr="00F15327">
              <w:rPr>
                <w:i/>
                <w:sz w:val="24"/>
                <w:szCs w:val="24"/>
              </w:rPr>
              <w:t>Съгласно Закона за морските пространства, вътрешните водни пътища и пристанищата на Република България:</w:t>
            </w:r>
          </w:p>
          <w:p w14:paraId="18842D31" w14:textId="77777777" w:rsidR="00935650" w:rsidRPr="00F15327" w:rsidRDefault="00935650" w:rsidP="00935650">
            <w:pPr>
              <w:pStyle w:val="FootnoteText"/>
              <w:spacing w:after="60"/>
              <w:jc w:val="both"/>
              <w:rPr>
                <w:sz w:val="24"/>
                <w:szCs w:val="24"/>
              </w:rPr>
            </w:pPr>
            <w:r w:rsidRPr="00F15327">
              <w:rPr>
                <w:sz w:val="24"/>
                <w:szCs w:val="24"/>
              </w:rPr>
              <w:t>1. „Яхта”  е кораб, използван за туризъм, спорт, спортен риболов или развлечение.</w:t>
            </w:r>
          </w:p>
          <w:p w14:paraId="21C68253" w14:textId="77777777" w:rsidR="00935650" w:rsidRPr="00A00FBE" w:rsidRDefault="00935650" w:rsidP="00935650">
            <w:pPr>
              <w:pStyle w:val="FootnoteText"/>
              <w:spacing w:after="60"/>
              <w:jc w:val="both"/>
              <w:rPr>
                <w:sz w:val="24"/>
                <w:szCs w:val="24"/>
              </w:rPr>
            </w:pPr>
            <w:r w:rsidRPr="00F15327">
              <w:rPr>
                <w:sz w:val="24"/>
                <w:szCs w:val="24"/>
              </w:rPr>
              <w:t>2. „Кораб</w:t>
            </w:r>
            <w:r w:rsidRPr="00F15327">
              <w:rPr>
                <w:bCs/>
                <w:sz w:val="24"/>
                <w:szCs w:val="24"/>
              </w:rPr>
              <w:t>”</w:t>
            </w:r>
            <w:r w:rsidRPr="00F15327">
              <w:rPr>
                <w:sz w:val="24"/>
                <w:szCs w:val="24"/>
              </w:rPr>
              <w:t xml:space="preserve">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935650" w:rsidRPr="008E4D35" w14:paraId="6E362E8B" w14:textId="77777777" w:rsidTr="00D54E1F">
        <w:tc>
          <w:tcPr>
            <w:tcW w:w="2633" w:type="dxa"/>
            <w:shd w:val="clear" w:color="auto" w:fill="E6E6E6"/>
          </w:tcPr>
          <w:p w14:paraId="42E691C7" w14:textId="77777777" w:rsidR="00935650" w:rsidRPr="008E4D35" w:rsidRDefault="00935650" w:rsidP="00935650">
            <w:pPr>
              <w:spacing w:before="100" w:beforeAutospacing="1" w:after="100" w:afterAutospacing="1" w:line="240" w:lineRule="auto"/>
              <w:rPr>
                <w:rFonts w:eastAsia="Times New Roman" w:cstheme="minorHAnsi"/>
                <w:b/>
                <w:snapToGrid w:val="0"/>
                <w:sz w:val="24"/>
                <w:szCs w:val="24"/>
              </w:rPr>
            </w:pPr>
            <w:r w:rsidRPr="005155E4">
              <w:rPr>
                <w:rFonts w:eastAsia="Times New Roman" w:cstheme="minorHAnsi"/>
                <w:b/>
                <w:snapToGrid w:val="0"/>
                <w:sz w:val="24"/>
                <w:szCs w:val="24"/>
              </w:rPr>
              <w:lastRenderedPageBreak/>
              <w:t>Транспортен сектор</w:t>
            </w:r>
          </w:p>
        </w:tc>
        <w:tc>
          <w:tcPr>
            <w:tcW w:w="6429" w:type="dxa"/>
            <w:shd w:val="clear" w:color="auto" w:fill="F3F3F3"/>
          </w:tcPr>
          <w:p w14:paraId="22734A4C" w14:textId="77777777" w:rsidR="00935650" w:rsidRPr="005155E4" w:rsidRDefault="00935650" w:rsidP="00935650">
            <w:pPr>
              <w:spacing w:after="60" w:line="240" w:lineRule="auto"/>
              <w:jc w:val="both"/>
              <w:rPr>
                <w:rFonts w:eastAsia="Times New Roman" w:cstheme="minorHAnsi"/>
                <w:snapToGrid w:val="0"/>
                <w:sz w:val="24"/>
                <w:szCs w:val="24"/>
              </w:rPr>
            </w:pPr>
            <w:r>
              <w:rPr>
                <w:rFonts w:eastAsia="Times New Roman" w:cstheme="minorHAnsi"/>
                <w:snapToGrid w:val="0"/>
                <w:sz w:val="24"/>
                <w:szCs w:val="24"/>
              </w:rPr>
              <w:t>Съгласно чл. 2, пар. 45 от Регламент (ЕО) № 651/2014</w:t>
            </w:r>
            <w:r>
              <w:t xml:space="preserve"> </w:t>
            </w:r>
            <w:r w:rsidRPr="00392471">
              <w:rPr>
                <w:rFonts w:eastAsia="Times New Roman" w:cstheme="minorHAnsi"/>
                <w:snapToGrid w:val="0"/>
                <w:sz w:val="24"/>
                <w:szCs w:val="24"/>
              </w:rPr>
              <w:t xml:space="preserve">„транспортен сектор“ означава </w:t>
            </w:r>
            <w:r>
              <w:rPr>
                <w:rFonts w:eastAsia="Times New Roman" w:cstheme="minorHAnsi"/>
                <w:snapToGrid w:val="0"/>
                <w:sz w:val="24"/>
                <w:szCs w:val="24"/>
              </w:rPr>
              <w:t>п</w:t>
            </w:r>
            <w:r w:rsidRPr="005155E4">
              <w:rPr>
                <w:rFonts w:eastAsia="Times New Roman" w:cstheme="minorHAnsi"/>
                <w:snapToGrid w:val="0"/>
                <w:sz w:val="24"/>
                <w:szCs w:val="24"/>
              </w:rPr>
              <w:t xml:space="preserve">ревоз на пътници с въздушен, морски, автомобилен или железопътен </w:t>
            </w:r>
            <w:r w:rsidRPr="005155E4">
              <w:rPr>
                <w:rFonts w:eastAsia="Times New Roman" w:cstheme="minorHAnsi"/>
                <w:snapToGrid w:val="0"/>
                <w:sz w:val="24"/>
                <w:szCs w:val="24"/>
              </w:rPr>
              <w:lastRenderedPageBreak/>
              <w:t xml:space="preserve">транспорт и транспорт по вътрешни водни пътища или услугите по товарен превоз за чужда </w:t>
            </w:r>
            <w:r>
              <w:rPr>
                <w:rFonts w:eastAsia="Times New Roman" w:cstheme="minorHAnsi"/>
                <w:snapToGrid w:val="0"/>
                <w:sz w:val="24"/>
                <w:szCs w:val="24"/>
              </w:rPr>
              <w:t>сметка или срещу възнаграждение. П</w:t>
            </w:r>
            <w:r w:rsidRPr="005155E4">
              <w:rPr>
                <w:rFonts w:eastAsia="Times New Roman" w:cstheme="minorHAnsi"/>
                <w:snapToGrid w:val="0"/>
                <w:sz w:val="24"/>
                <w:szCs w:val="24"/>
              </w:rPr>
              <w:t>о-конкретно „транспортен сектор" означава следните дейности по КИД-2008:</w:t>
            </w:r>
          </w:p>
          <w:p w14:paraId="3BF618A1" w14:textId="77777777" w:rsidR="00935650" w:rsidRPr="005155E4" w:rsidRDefault="00935650" w:rsidP="00935650">
            <w:pPr>
              <w:spacing w:after="60" w:line="240" w:lineRule="auto"/>
              <w:jc w:val="both"/>
              <w:rPr>
                <w:rFonts w:eastAsia="Times New Roman" w:cstheme="minorHAnsi"/>
                <w:snapToGrid w:val="0"/>
                <w:sz w:val="24"/>
                <w:szCs w:val="24"/>
              </w:rPr>
            </w:pPr>
            <w:r>
              <w:rPr>
                <w:rFonts w:eastAsia="Times New Roman" w:cstheme="minorHAnsi"/>
                <w:snapToGrid w:val="0"/>
                <w:sz w:val="24"/>
                <w:szCs w:val="24"/>
              </w:rPr>
              <w:t xml:space="preserve">а) </w:t>
            </w:r>
            <w:r w:rsidRPr="005155E4">
              <w:rPr>
                <w:rFonts w:eastAsia="Times New Roman" w:cstheme="minorHAnsi"/>
                <w:snapToGrid w:val="0"/>
                <w:sz w:val="24"/>
                <w:szCs w:val="24"/>
              </w:rPr>
              <w:t>Н49 „Сухопътен транспорт“, с изключение на Н49.32 „Пътнически таксиметров транспорт“, Н49.42 „Услуги по преместване“, Н49.5 „Тръбопроводен транспорт“;</w:t>
            </w:r>
          </w:p>
          <w:p w14:paraId="6B1BBC37" w14:textId="77777777" w:rsidR="00935650" w:rsidRPr="005155E4" w:rsidRDefault="00935650" w:rsidP="00935650">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б) Н50 „Воден транспорт“;</w:t>
            </w:r>
          </w:p>
          <w:p w14:paraId="2210811E" w14:textId="77777777" w:rsidR="00935650" w:rsidRPr="008E4D35" w:rsidRDefault="00935650" w:rsidP="00935650">
            <w:pPr>
              <w:spacing w:after="60" w:line="240" w:lineRule="auto"/>
              <w:jc w:val="both"/>
              <w:rPr>
                <w:rFonts w:eastAsia="Times New Roman" w:cstheme="minorHAnsi"/>
                <w:snapToGrid w:val="0"/>
                <w:sz w:val="24"/>
                <w:szCs w:val="24"/>
              </w:rPr>
            </w:pPr>
            <w:r w:rsidRPr="005155E4">
              <w:rPr>
                <w:rFonts w:eastAsia="Times New Roman" w:cstheme="minorHAnsi"/>
                <w:snapToGrid w:val="0"/>
                <w:sz w:val="24"/>
                <w:szCs w:val="24"/>
              </w:rPr>
              <w:t>в) Н51 „Въздушен транспорт“, с изключение на Н51.22 „Космически транспорт“.</w:t>
            </w:r>
          </w:p>
        </w:tc>
      </w:tr>
      <w:tr w:rsidR="00DA77B9" w:rsidRPr="008E4D35" w14:paraId="41669C91" w14:textId="77777777" w:rsidTr="00D54E1F">
        <w:tc>
          <w:tcPr>
            <w:tcW w:w="2633" w:type="dxa"/>
            <w:shd w:val="clear" w:color="auto" w:fill="E6E6E6"/>
          </w:tcPr>
          <w:p w14:paraId="2FA471C0" w14:textId="77777777" w:rsidR="00DA77B9" w:rsidRPr="008E4D35" w:rsidRDefault="00DA77B9" w:rsidP="00DA77B9">
            <w:pPr>
              <w:spacing w:before="100" w:beforeAutospacing="1" w:after="100" w:afterAutospacing="1" w:line="240" w:lineRule="auto"/>
              <w:rPr>
                <w:rFonts w:cstheme="minorHAnsi"/>
                <w:sz w:val="24"/>
                <w:szCs w:val="24"/>
              </w:rPr>
            </w:pPr>
            <w:r w:rsidRPr="009200B0">
              <w:rPr>
                <w:rFonts w:eastAsia="Times New Roman" w:cstheme="minorHAnsi"/>
                <w:b/>
                <w:snapToGrid w:val="0"/>
                <w:sz w:val="24"/>
                <w:szCs w:val="24"/>
              </w:rPr>
              <w:lastRenderedPageBreak/>
              <w:t>Търговия със селскостопански продукт</w:t>
            </w:r>
          </w:p>
        </w:tc>
        <w:tc>
          <w:tcPr>
            <w:tcW w:w="6429" w:type="dxa"/>
            <w:shd w:val="clear" w:color="auto" w:fill="F3F3F3"/>
          </w:tcPr>
          <w:p w14:paraId="52AC91EA" w14:textId="77777777" w:rsidR="00DA77B9" w:rsidRPr="008E4D35" w:rsidRDefault="00DA77B9"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Д</w:t>
            </w:r>
            <w:r w:rsidRPr="007B5FF0">
              <w:rPr>
                <w:rFonts w:eastAsia="Times New Roman" w:cstheme="minorHAnsi"/>
                <w:snapToGrid w:val="0"/>
                <w:sz w:val="24"/>
                <w:szCs w:val="24"/>
              </w:rPr>
              <w:t>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осъщестява в отделни по</w:t>
            </w:r>
            <w:r>
              <w:rPr>
                <w:rFonts w:eastAsia="Times New Roman" w:cstheme="minorHAnsi"/>
                <w:snapToGrid w:val="0"/>
                <w:sz w:val="24"/>
                <w:szCs w:val="24"/>
              </w:rPr>
              <w:t>мещения, предвидени за тази цел.</w:t>
            </w:r>
          </w:p>
        </w:tc>
      </w:tr>
      <w:tr w:rsidR="00F61DA5" w:rsidRPr="008E4D35" w14:paraId="331CD7B7" w14:textId="77777777" w:rsidTr="00D54E1F">
        <w:tc>
          <w:tcPr>
            <w:tcW w:w="2633" w:type="dxa"/>
            <w:shd w:val="clear" w:color="auto" w:fill="E6E6E6"/>
          </w:tcPr>
          <w:p w14:paraId="4538D881" w14:textId="706E6075" w:rsidR="00F61DA5" w:rsidRPr="009200B0" w:rsidRDefault="00F61DA5" w:rsidP="00DA77B9">
            <w:pPr>
              <w:spacing w:before="100" w:beforeAutospacing="1" w:after="100" w:afterAutospacing="1" w:line="240" w:lineRule="auto"/>
              <w:rPr>
                <w:rFonts w:eastAsia="Times New Roman" w:cstheme="minorHAnsi"/>
                <w:b/>
                <w:snapToGrid w:val="0"/>
                <w:sz w:val="24"/>
                <w:szCs w:val="24"/>
              </w:rPr>
            </w:pPr>
            <w:r>
              <w:rPr>
                <w:rFonts w:eastAsia="Times New Roman" w:cstheme="minorHAnsi"/>
                <w:b/>
                <w:snapToGrid w:val="0"/>
                <w:sz w:val="24"/>
                <w:szCs w:val="24"/>
              </w:rPr>
              <w:t>Ц</w:t>
            </w:r>
            <w:r w:rsidRPr="00F61DA5">
              <w:rPr>
                <w:rFonts w:eastAsia="Times New Roman" w:cstheme="minorHAnsi"/>
                <w:b/>
                <w:snapToGrid w:val="0"/>
                <w:sz w:val="24"/>
                <w:szCs w:val="24"/>
              </w:rPr>
              <w:t>ифровизацията на производствените процеси</w:t>
            </w:r>
          </w:p>
        </w:tc>
        <w:tc>
          <w:tcPr>
            <w:tcW w:w="6429" w:type="dxa"/>
            <w:shd w:val="clear" w:color="auto" w:fill="F3F3F3"/>
          </w:tcPr>
          <w:p w14:paraId="30D694F2" w14:textId="5422B9FB" w:rsidR="00F61DA5" w:rsidRDefault="00F61DA5" w:rsidP="00DA77B9">
            <w:pPr>
              <w:spacing w:line="240" w:lineRule="auto"/>
              <w:jc w:val="both"/>
              <w:rPr>
                <w:rFonts w:eastAsia="Times New Roman" w:cstheme="minorHAnsi"/>
                <w:snapToGrid w:val="0"/>
                <w:sz w:val="24"/>
                <w:szCs w:val="24"/>
              </w:rPr>
            </w:pPr>
            <w:r>
              <w:rPr>
                <w:rFonts w:eastAsia="Times New Roman" w:cstheme="minorHAnsi"/>
                <w:snapToGrid w:val="0"/>
                <w:sz w:val="24"/>
                <w:szCs w:val="24"/>
              </w:rPr>
              <w:t xml:space="preserve">За целите на настоящата процедура под цифровизация на производствените процеси следва да се разбира </w:t>
            </w:r>
            <w:r w:rsidR="00146219">
              <w:rPr>
                <w:rFonts w:eastAsia="Times New Roman" w:cstheme="minorHAnsi"/>
                <w:snapToGrid w:val="0"/>
                <w:sz w:val="24"/>
                <w:szCs w:val="24"/>
              </w:rPr>
              <w:t>прилагане на информационно-комуникационни технологии в производствените процеси</w:t>
            </w:r>
            <w:r w:rsidR="007433EA">
              <w:rPr>
                <w:rFonts w:eastAsia="Times New Roman" w:cstheme="minorHAnsi"/>
                <w:snapToGrid w:val="0"/>
                <w:sz w:val="24"/>
                <w:szCs w:val="24"/>
              </w:rPr>
              <w:t xml:space="preserve"> посредством придобитите чрез инвестицията активи</w:t>
            </w:r>
            <w:r w:rsidR="00B5094F">
              <w:rPr>
                <w:rFonts w:eastAsia="Times New Roman" w:cstheme="minorHAnsi"/>
                <w:snapToGrid w:val="0"/>
                <w:sz w:val="24"/>
                <w:szCs w:val="24"/>
              </w:rPr>
              <w:t>.</w:t>
            </w:r>
            <w:bookmarkStart w:id="0" w:name="_GoBack"/>
            <w:bookmarkEnd w:id="0"/>
          </w:p>
        </w:tc>
      </w:tr>
    </w:tbl>
    <w:p w14:paraId="701BAC80" w14:textId="77777777" w:rsidR="000C2624" w:rsidRDefault="000C2624"/>
    <w:p w14:paraId="70B595A5" w14:textId="77777777" w:rsidR="002D0B4D" w:rsidRDefault="002D0B4D"/>
    <w:p w14:paraId="013AD18F" w14:textId="77777777" w:rsidR="00811FBA" w:rsidRPr="002D0B4D" w:rsidRDefault="00811FBA"/>
    <w:sectPr w:rsidR="00811FBA" w:rsidRPr="002D0B4D">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A03A26" w14:textId="77777777" w:rsidR="007830DC" w:rsidRDefault="007830DC" w:rsidP="00364204">
      <w:pPr>
        <w:spacing w:after="0" w:line="240" w:lineRule="auto"/>
      </w:pPr>
      <w:r>
        <w:separator/>
      </w:r>
    </w:p>
  </w:endnote>
  <w:endnote w:type="continuationSeparator" w:id="0">
    <w:p w14:paraId="45E9EBB1" w14:textId="77777777" w:rsidR="007830DC" w:rsidRDefault="007830DC" w:rsidP="003642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7406275"/>
      <w:docPartObj>
        <w:docPartGallery w:val="Page Numbers (Bottom of Page)"/>
        <w:docPartUnique/>
      </w:docPartObj>
    </w:sdtPr>
    <w:sdtEndPr>
      <w:rPr>
        <w:noProof/>
      </w:rPr>
    </w:sdtEndPr>
    <w:sdtContent>
      <w:p w14:paraId="138EBE94" w14:textId="266F69CB" w:rsidR="00054EAC" w:rsidRDefault="00054EAC">
        <w:pPr>
          <w:pStyle w:val="Footer"/>
          <w:jc w:val="center"/>
        </w:pPr>
        <w:r>
          <w:fldChar w:fldCharType="begin"/>
        </w:r>
        <w:r>
          <w:instrText xml:space="preserve"> PAGE   \* MERGEFORMAT </w:instrText>
        </w:r>
        <w:r>
          <w:fldChar w:fldCharType="separate"/>
        </w:r>
        <w:r w:rsidR="00821649">
          <w:rPr>
            <w:noProof/>
          </w:rPr>
          <w:t>13</w:t>
        </w:r>
        <w:r>
          <w:rPr>
            <w:noProof/>
          </w:rPr>
          <w:fldChar w:fldCharType="end"/>
        </w:r>
      </w:p>
    </w:sdtContent>
  </w:sdt>
  <w:p w14:paraId="26DF3648" w14:textId="77777777" w:rsidR="001503F3" w:rsidRDefault="00150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E1194B" w14:textId="77777777" w:rsidR="007830DC" w:rsidRDefault="007830DC" w:rsidP="00364204">
      <w:pPr>
        <w:spacing w:after="0" w:line="240" w:lineRule="auto"/>
      </w:pPr>
      <w:r>
        <w:separator/>
      </w:r>
    </w:p>
  </w:footnote>
  <w:footnote w:type="continuationSeparator" w:id="0">
    <w:p w14:paraId="4D39358B" w14:textId="77777777" w:rsidR="007830DC" w:rsidRDefault="007830DC" w:rsidP="0036420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F9EEC9" w14:textId="40CC57FB" w:rsidR="005D5C12" w:rsidRPr="001503F3" w:rsidRDefault="001503F3" w:rsidP="001503F3">
    <w:pPr>
      <w:pStyle w:val="Header"/>
      <w:jc w:val="center"/>
    </w:pPr>
    <w:r>
      <w:rPr>
        <w:noProof/>
        <w:lang w:eastAsia="bg-BG"/>
      </w:rPr>
      <w:drawing>
        <wp:inline distT="0" distB="0" distL="0" distR="0" wp14:anchorId="7113EA9C" wp14:editId="00BD1E1B">
          <wp:extent cx="3312795" cy="836930"/>
          <wp:effectExtent l="0" t="0" r="0" b="0"/>
          <wp:docPr id="1" name="Picture 1"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E2928"/>
    <w:multiLevelType w:val="multilevel"/>
    <w:tmpl w:val="2DA6A6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1">
      <w:start w:val="19"/>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2">
      <w:start w:val="1"/>
      <w:numFmt w:val="low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3">
      <w:start w:val="1"/>
      <w:numFmt w:val="lowerRoman"/>
      <w:lvlText w:val="%4)"/>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4">
      <w:start w:val="1"/>
      <w:numFmt w:val="lowerRoman"/>
      <w:lvlText w:val="%5)"/>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5">
      <w:start w:val="2"/>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14"/>
        <w:szCs w:val="14"/>
        <w:u w:val="none"/>
        <w:lang w:val="bg"/>
      </w:rPr>
    </w:lvl>
    <w:lvl w:ilvl="6">
      <w:start w:val="134"/>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lvl w:ilvl="7">
      <w:start w:val="1"/>
      <w:numFmt w:val="lowerRoman"/>
      <w:lvlText w:val="%8)"/>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en-US"/>
      </w:rPr>
    </w:lvl>
    <w:lvl w:ilvl="8">
      <w:start w:val="1"/>
      <w:numFmt w:val="decimal"/>
      <w:lvlText w:val="%9."/>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
      </w:rPr>
    </w:lvl>
  </w:abstractNum>
  <w:abstractNum w:abstractNumId="1" w15:restartNumberingAfterBreak="0">
    <w:nsid w:val="2AB8221E"/>
    <w:multiLevelType w:val="hybridMultilevel"/>
    <w:tmpl w:val="F5F67F3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4C6626AA"/>
    <w:multiLevelType w:val="hybridMultilevel"/>
    <w:tmpl w:val="9F00509A"/>
    <w:lvl w:ilvl="0" w:tplc="05B430AC">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44B"/>
    <w:rsid w:val="000010DD"/>
    <w:rsid w:val="0000173C"/>
    <w:rsid w:val="00002456"/>
    <w:rsid w:val="00002D0D"/>
    <w:rsid w:val="0000386A"/>
    <w:rsid w:val="00003B43"/>
    <w:rsid w:val="00012502"/>
    <w:rsid w:val="0001482C"/>
    <w:rsid w:val="00015702"/>
    <w:rsid w:val="00016837"/>
    <w:rsid w:val="000169CC"/>
    <w:rsid w:val="00020868"/>
    <w:rsid w:val="00020E0B"/>
    <w:rsid w:val="00021DCF"/>
    <w:rsid w:val="00023FFA"/>
    <w:rsid w:val="000315B5"/>
    <w:rsid w:val="00034209"/>
    <w:rsid w:val="0003699C"/>
    <w:rsid w:val="0004005C"/>
    <w:rsid w:val="00044D0F"/>
    <w:rsid w:val="00045584"/>
    <w:rsid w:val="00054EAC"/>
    <w:rsid w:val="000568E4"/>
    <w:rsid w:val="00062143"/>
    <w:rsid w:val="000636EF"/>
    <w:rsid w:val="00067C3A"/>
    <w:rsid w:val="00070E3F"/>
    <w:rsid w:val="00071FD5"/>
    <w:rsid w:val="00082A66"/>
    <w:rsid w:val="000972C6"/>
    <w:rsid w:val="000A0132"/>
    <w:rsid w:val="000A3471"/>
    <w:rsid w:val="000A44E5"/>
    <w:rsid w:val="000A4E76"/>
    <w:rsid w:val="000B38AD"/>
    <w:rsid w:val="000B4A2D"/>
    <w:rsid w:val="000B6360"/>
    <w:rsid w:val="000C2624"/>
    <w:rsid w:val="000C2A46"/>
    <w:rsid w:val="000C6413"/>
    <w:rsid w:val="000C731A"/>
    <w:rsid w:val="000C7701"/>
    <w:rsid w:val="000D040C"/>
    <w:rsid w:val="000D418B"/>
    <w:rsid w:val="000D7F0D"/>
    <w:rsid w:val="000E43C4"/>
    <w:rsid w:val="000E4FFF"/>
    <w:rsid w:val="000E58F1"/>
    <w:rsid w:val="000F48C5"/>
    <w:rsid w:val="000F5A47"/>
    <w:rsid w:val="0011077A"/>
    <w:rsid w:val="001123F2"/>
    <w:rsid w:val="00112DD2"/>
    <w:rsid w:val="001172F3"/>
    <w:rsid w:val="00121FFF"/>
    <w:rsid w:val="0012614C"/>
    <w:rsid w:val="00133436"/>
    <w:rsid w:val="00135888"/>
    <w:rsid w:val="00135C9D"/>
    <w:rsid w:val="001375DA"/>
    <w:rsid w:val="0014131C"/>
    <w:rsid w:val="00141474"/>
    <w:rsid w:val="00146219"/>
    <w:rsid w:val="00146A12"/>
    <w:rsid w:val="001472E2"/>
    <w:rsid w:val="00147A80"/>
    <w:rsid w:val="001503F3"/>
    <w:rsid w:val="00151004"/>
    <w:rsid w:val="00151B68"/>
    <w:rsid w:val="001553A6"/>
    <w:rsid w:val="001566B9"/>
    <w:rsid w:val="00160AEC"/>
    <w:rsid w:val="0016138B"/>
    <w:rsid w:val="00163752"/>
    <w:rsid w:val="001637DA"/>
    <w:rsid w:val="00166B6A"/>
    <w:rsid w:val="001675DC"/>
    <w:rsid w:val="00176AD2"/>
    <w:rsid w:val="00177A75"/>
    <w:rsid w:val="00177AF4"/>
    <w:rsid w:val="001814C4"/>
    <w:rsid w:val="001826B1"/>
    <w:rsid w:val="00190190"/>
    <w:rsid w:val="0019069B"/>
    <w:rsid w:val="00194C58"/>
    <w:rsid w:val="00196D20"/>
    <w:rsid w:val="001A6C43"/>
    <w:rsid w:val="001B133A"/>
    <w:rsid w:val="001B13CE"/>
    <w:rsid w:val="001B21F3"/>
    <w:rsid w:val="001B3181"/>
    <w:rsid w:val="001B57E3"/>
    <w:rsid w:val="001B61A7"/>
    <w:rsid w:val="001B6CC2"/>
    <w:rsid w:val="001C2977"/>
    <w:rsid w:val="001C2D21"/>
    <w:rsid w:val="001D505E"/>
    <w:rsid w:val="001F0E0A"/>
    <w:rsid w:val="001F54E6"/>
    <w:rsid w:val="001F61B8"/>
    <w:rsid w:val="00207A2E"/>
    <w:rsid w:val="002101D1"/>
    <w:rsid w:val="0021679D"/>
    <w:rsid w:val="00226AD4"/>
    <w:rsid w:val="00235A35"/>
    <w:rsid w:val="002407B4"/>
    <w:rsid w:val="0024350C"/>
    <w:rsid w:val="0024419F"/>
    <w:rsid w:val="00244EF0"/>
    <w:rsid w:val="00255E88"/>
    <w:rsid w:val="00262C14"/>
    <w:rsid w:val="00270FA9"/>
    <w:rsid w:val="00275A2F"/>
    <w:rsid w:val="002779FF"/>
    <w:rsid w:val="0028583C"/>
    <w:rsid w:val="002938F6"/>
    <w:rsid w:val="00294A6E"/>
    <w:rsid w:val="002A3CEF"/>
    <w:rsid w:val="002A4747"/>
    <w:rsid w:val="002A512B"/>
    <w:rsid w:val="002A570D"/>
    <w:rsid w:val="002A6026"/>
    <w:rsid w:val="002A6221"/>
    <w:rsid w:val="002B03EC"/>
    <w:rsid w:val="002B20F2"/>
    <w:rsid w:val="002B31B0"/>
    <w:rsid w:val="002B3E57"/>
    <w:rsid w:val="002C72C6"/>
    <w:rsid w:val="002D0B4D"/>
    <w:rsid w:val="002D20A8"/>
    <w:rsid w:val="002D39FC"/>
    <w:rsid w:val="002E23A3"/>
    <w:rsid w:val="002F59B2"/>
    <w:rsid w:val="00301649"/>
    <w:rsid w:val="0030180E"/>
    <w:rsid w:val="00305BE5"/>
    <w:rsid w:val="00306628"/>
    <w:rsid w:val="00311B06"/>
    <w:rsid w:val="00311D57"/>
    <w:rsid w:val="00315E8A"/>
    <w:rsid w:val="0031775D"/>
    <w:rsid w:val="003204C2"/>
    <w:rsid w:val="003206A1"/>
    <w:rsid w:val="00322E2E"/>
    <w:rsid w:val="003234D8"/>
    <w:rsid w:val="00323B4A"/>
    <w:rsid w:val="00323E63"/>
    <w:rsid w:val="0032781F"/>
    <w:rsid w:val="00333512"/>
    <w:rsid w:val="00342683"/>
    <w:rsid w:val="00350080"/>
    <w:rsid w:val="00350A75"/>
    <w:rsid w:val="0035527E"/>
    <w:rsid w:val="003601E3"/>
    <w:rsid w:val="00363FB2"/>
    <w:rsid w:val="00364204"/>
    <w:rsid w:val="00364C8A"/>
    <w:rsid w:val="00372A83"/>
    <w:rsid w:val="00377AF7"/>
    <w:rsid w:val="0038024A"/>
    <w:rsid w:val="00380C77"/>
    <w:rsid w:val="003875EB"/>
    <w:rsid w:val="00392471"/>
    <w:rsid w:val="00392A15"/>
    <w:rsid w:val="0039519A"/>
    <w:rsid w:val="003C0135"/>
    <w:rsid w:val="003C0505"/>
    <w:rsid w:val="003C0A9A"/>
    <w:rsid w:val="003C0F45"/>
    <w:rsid w:val="003C29ED"/>
    <w:rsid w:val="003C370C"/>
    <w:rsid w:val="003D1460"/>
    <w:rsid w:val="003D47EC"/>
    <w:rsid w:val="003D5F84"/>
    <w:rsid w:val="003E2225"/>
    <w:rsid w:val="003E7DFA"/>
    <w:rsid w:val="003F42BA"/>
    <w:rsid w:val="003F63FF"/>
    <w:rsid w:val="003F74C3"/>
    <w:rsid w:val="00403D6C"/>
    <w:rsid w:val="00413F4A"/>
    <w:rsid w:val="0041624B"/>
    <w:rsid w:val="00424C2D"/>
    <w:rsid w:val="00425D7E"/>
    <w:rsid w:val="00434D2A"/>
    <w:rsid w:val="004376E5"/>
    <w:rsid w:val="00443FF4"/>
    <w:rsid w:val="00444395"/>
    <w:rsid w:val="00450719"/>
    <w:rsid w:val="00453858"/>
    <w:rsid w:val="00457584"/>
    <w:rsid w:val="00467B0D"/>
    <w:rsid w:val="004711FB"/>
    <w:rsid w:val="00477A53"/>
    <w:rsid w:val="00477F5F"/>
    <w:rsid w:val="004802B5"/>
    <w:rsid w:val="004811EE"/>
    <w:rsid w:val="0048153E"/>
    <w:rsid w:val="00482E5A"/>
    <w:rsid w:val="004843EE"/>
    <w:rsid w:val="0048471A"/>
    <w:rsid w:val="00486046"/>
    <w:rsid w:val="00487B87"/>
    <w:rsid w:val="00494CB1"/>
    <w:rsid w:val="004A15B3"/>
    <w:rsid w:val="004A2098"/>
    <w:rsid w:val="004B177E"/>
    <w:rsid w:val="004B3485"/>
    <w:rsid w:val="004B677A"/>
    <w:rsid w:val="004C6D46"/>
    <w:rsid w:val="004D5241"/>
    <w:rsid w:val="004D59DD"/>
    <w:rsid w:val="004E0B74"/>
    <w:rsid w:val="004E15B4"/>
    <w:rsid w:val="004E6D9F"/>
    <w:rsid w:val="00502F9C"/>
    <w:rsid w:val="00506983"/>
    <w:rsid w:val="00507AB6"/>
    <w:rsid w:val="005155E4"/>
    <w:rsid w:val="00521819"/>
    <w:rsid w:val="00527C13"/>
    <w:rsid w:val="00533EFA"/>
    <w:rsid w:val="005346FD"/>
    <w:rsid w:val="00544385"/>
    <w:rsid w:val="00562463"/>
    <w:rsid w:val="00562CDD"/>
    <w:rsid w:val="0057352F"/>
    <w:rsid w:val="00590097"/>
    <w:rsid w:val="0059354F"/>
    <w:rsid w:val="00594DF4"/>
    <w:rsid w:val="00597183"/>
    <w:rsid w:val="005B109C"/>
    <w:rsid w:val="005B1470"/>
    <w:rsid w:val="005B33FE"/>
    <w:rsid w:val="005B66E8"/>
    <w:rsid w:val="005B7691"/>
    <w:rsid w:val="005C3A6A"/>
    <w:rsid w:val="005C7631"/>
    <w:rsid w:val="005D31D2"/>
    <w:rsid w:val="005D5C12"/>
    <w:rsid w:val="005D5D2C"/>
    <w:rsid w:val="005D7DBC"/>
    <w:rsid w:val="005E04B9"/>
    <w:rsid w:val="005E0513"/>
    <w:rsid w:val="005E3ADC"/>
    <w:rsid w:val="005F3542"/>
    <w:rsid w:val="005F5A43"/>
    <w:rsid w:val="005F7830"/>
    <w:rsid w:val="006235CE"/>
    <w:rsid w:val="00624B99"/>
    <w:rsid w:val="0062729B"/>
    <w:rsid w:val="00642ED2"/>
    <w:rsid w:val="00647A60"/>
    <w:rsid w:val="00650331"/>
    <w:rsid w:val="00655140"/>
    <w:rsid w:val="00655AB9"/>
    <w:rsid w:val="00666480"/>
    <w:rsid w:val="00666644"/>
    <w:rsid w:val="006667AD"/>
    <w:rsid w:val="006675E7"/>
    <w:rsid w:val="00677E30"/>
    <w:rsid w:val="0068167D"/>
    <w:rsid w:val="00686332"/>
    <w:rsid w:val="00692AAC"/>
    <w:rsid w:val="006932EA"/>
    <w:rsid w:val="006A66DF"/>
    <w:rsid w:val="006B35B9"/>
    <w:rsid w:val="006B3EF3"/>
    <w:rsid w:val="006C0465"/>
    <w:rsid w:val="006C7B36"/>
    <w:rsid w:val="006D0801"/>
    <w:rsid w:val="006D243B"/>
    <w:rsid w:val="006D2D81"/>
    <w:rsid w:val="006D5204"/>
    <w:rsid w:val="006D56CD"/>
    <w:rsid w:val="006E266D"/>
    <w:rsid w:val="006E3606"/>
    <w:rsid w:val="006E55B8"/>
    <w:rsid w:val="006E74DD"/>
    <w:rsid w:val="006F5552"/>
    <w:rsid w:val="007110EB"/>
    <w:rsid w:val="0071256E"/>
    <w:rsid w:val="007228E6"/>
    <w:rsid w:val="0072643D"/>
    <w:rsid w:val="007268F0"/>
    <w:rsid w:val="00734B42"/>
    <w:rsid w:val="00741F45"/>
    <w:rsid w:val="007433EA"/>
    <w:rsid w:val="0074385D"/>
    <w:rsid w:val="0074665C"/>
    <w:rsid w:val="00750D4C"/>
    <w:rsid w:val="00756B45"/>
    <w:rsid w:val="00761D80"/>
    <w:rsid w:val="00764CC7"/>
    <w:rsid w:val="0076760F"/>
    <w:rsid w:val="00767968"/>
    <w:rsid w:val="007708C4"/>
    <w:rsid w:val="00775161"/>
    <w:rsid w:val="007759E7"/>
    <w:rsid w:val="0078029D"/>
    <w:rsid w:val="00781585"/>
    <w:rsid w:val="007830DC"/>
    <w:rsid w:val="00784610"/>
    <w:rsid w:val="00785637"/>
    <w:rsid w:val="00792531"/>
    <w:rsid w:val="007A349E"/>
    <w:rsid w:val="007A6782"/>
    <w:rsid w:val="007B2C0A"/>
    <w:rsid w:val="007B5FF0"/>
    <w:rsid w:val="007B60CB"/>
    <w:rsid w:val="007D00F2"/>
    <w:rsid w:val="007E18D5"/>
    <w:rsid w:val="007E2301"/>
    <w:rsid w:val="007E4C7D"/>
    <w:rsid w:val="007F047F"/>
    <w:rsid w:val="007F4874"/>
    <w:rsid w:val="007F4E6D"/>
    <w:rsid w:val="007F75CF"/>
    <w:rsid w:val="00800A99"/>
    <w:rsid w:val="00804F54"/>
    <w:rsid w:val="00805079"/>
    <w:rsid w:val="0080517F"/>
    <w:rsid w:val="00811FBA"/>
    <w:rsid w:val="00821649"/>
    <w:rsid w:val="0082616B"/>
    <w:rsid w:val="00830B4E"/>
    <w:rsid w:val="00831362"/>
    <w:rsid w:val="00835439"/>
    <w:rsid w:val="008423D6"/>
    <w:rsid w:val="00844602"/>
    <w:rsid w:val="00844A97"/>
    <w:rsid w:val="008541FA"/>
    <w:rsid w:val="00857CD1"/>
    <w:rsid w:val="00862EEE"/>
    <w:rsid w:val="00870D1D"/>
    <w:rsid w:val="00875315"/>
    <w:rsid w:val="00876B7B"/>
    <w:rsid w:val="00880021"/>
    <w:rsid w:val="00884591"/>
    <w:rsid w:val="008A3B65"/>
    <w:rsid w:val="008A7455"/>
    <w:rsid w:val="008B34EF"/>
    <w:rsid w:val="008B4517"/>
    <w:rsid w:val="008B59D6"/>
    <w:rsid w:val="008C0322"/>
    <w:rsid w:val="008C5169"/>
    <w:rsid w:val="008D22C2"/>
    <w:rsid w:val="008D51DE"/>
    <w:rsid w:val="008E2E2B"/>
    <w:rsid w:val="008E4C68"/>
    <w:rsid w:val="008E4D35"/>
    <w:rsid w:val="008E72B2"/>
    <w:rsid w:val="008F29AD"/>
    <w:rsid w:val="008F2DBC"/>
    <w:rsid w:val="00901DB9"/>
    <w:rsid w:val="00907DA1"/>
    <w:rsid w:val="0091098E"/>
    <w:rsid w:val="00911F09"/>
    <w:rsid w:val="009200B0"/>
    <w:rsid w:val="009228BD"/>
    <w:rsid w:val="00922D50"/>
    <w:rsid w:val="00924D9B"/>
    <w:rsid w:val="0093063E"/>
    <w:rsid w:val="00934B28"/>
    <w:rsid w:val="009350D8"/>
    <w:rsid w:val="00935650"/>
    <w:rsid w:val="00936946"/>
    <w:rsid w:val="00950DAB"/>
    <w:rsid w:val="0095447F"/>
    <w:rsid w:val="009578F7"/>
    <w:rsid w:val="00960116"/>
    <w:rsid w:val="00963992"/>
    <w:rsid w:val="0099371B"/>
    <w:rsid w:val="009944A0"/>
    <w:rsid w:val="00995611"/>
    <w:rsid w:val="009972D5"/>
    <w:rsid w:val="009A2721"/>
    <w:rsid w:val="009B0FAC"/>
    <w:rsid w:val="009B112E"/>
    <w:rsid w:val="009C6305"/>
    <w:rsid w:val="009D0973"/>
    <w:rsid w:val="009D632B"/>
    <w:rsid w:val="009F3B82"/>
    <w:rsid w:val="009F6C1F"/>
    <w:rsid w:val="009F7BB2"/>
    <w:rsid w:val="00A00FBE"/>
    <w:rsid w:val="00A0285B"/>
    <w:rsid w:val="00A07D6D"/>
    <w:rsid w:val="00A14845"/>
    <w:rsid w:val="00A16BE2"/>
    <w:rsid w:val="00A1789B"/>
    <w:rsid w:val="00A24C36"/>
    <w:rsid w:val="00A26995"/>
    <w:rsid w:val="00A3057D"/>
    <w:rsid w:val="00A32D97"/>
    <w:rsid w:val="00A33C33"/>
    <w:rsid w:val="00A455D5"/>
    <w:rsid w:val="00A50921"/>
    <w:rsid w:val="00A52C19"/>
    <w:rsid w:val="00A641AE"/>
    <w:rsid w:val="00A64487"/>
    <w:rsid w:val="00A704B4"/>
    <w:rsid w:val="00A8715F"/>
    <w:rsid w:val="00A87ED4"/>
    <w:rsid w:val="00A90EA8"/>
    <w:rsid w:val="00AA45A9"/>
    <w:rsid w:val="00AA5F85"/>
    <w:rsid w:val="00AB2A3A"/>
    <w:rsid w:val="00AB66B3"/>
    <w:rsid w:val="00AC0C92"/>
    <w:rsid w:val="00AC4184"/>
    <w:rsid w:val="00AC5A69"/>
    <w:rsid w:val="00AC6F3F"/>
    <w:rsid w:val="00AD10E6"/>
    <w:rsid w:val="00AD16F4"/>
    <w:rsid w:val="00AD2903"/>
    <w:rsid w:val="00AD39DA"/>
    <w:rsid w:val="00AE06FF"/>
    <w:rsid w:val="00AE2167"/>
    <w:rsid w:val="00AE3148"/>
    <w:rsid w:val="00B02319"/>
    <w:rsid w:val="00B03600"/>
    <w:rsid w:val="00B05D63"/>
    <w:rsid w:val="00B06BBD"/>
    <w:rsid w:val="00B11830"/>
    <w:rsid w:val="00B126A5"/>
    <w:rsid w:val="00B14E85"/>
    <w:rsid w:val="00B20E11"/>
    <w:rsid w:val="00B219EC"/>
    <w:rsid w:val="00B27834"/>
    <w:rsid w:val="00B30DF7"/>
    <w:rsid w:val="00B42CB6"/>
    <w:rsid w:val="00B43106"/>
    <w:rsid w:val="00B47A1F"/>
    <w:rsid w:val="00B5094F"/>
    <w:rsid w:val="00B50A28"/>
    <w:rsid w:val="00B54D6C"/>
    <w:rsid w:val="00B56182"/>
    <w:rsid w:val="00B570F3"/>
    <w:rsid w:val="00B57FEA"/>
    <w:rsid w:val="00B71DD6"/>
    <w:rsid w:val="00B72A66"/>
    <w:rsid w:val="00B96F15"/>
    <w:rsid w:val="00BA0725"/>
    <w:rsid w:val="00BA0C03"/>
    <w:rsid w:val="00BB50C6"/>
    <w:rsid w:val="00BC06E5"/>
    <w:rsid w:val="00BD6E52"/>
    <w:rsid w:val="00BE5E65"/>
    <w:rsid w:val="00BE64B4"/>
    <w:rsid w:val="00BF171D"/>
    <w:rsid w:val="00BF468E"/>
    <w:rsid w:val="00C1144B"/>
    <w:rsid w:val="00C1285C"/>
    <w:rsid w:val="00C1463B"/>
    <w:rsid w:val="00C21CC0"/>
    <w:rsid w:val="00C22321"/>
    <w:rsid w:val="00C227AA"/>
    <w:rsid w:val="00C2416F"/>
    <w:rsid w:val="00C31ADB"/>
    <w:rsid w:val="00C34E93"/>
    <w:rsid w:val="00C35B51"/>
    <w:rsid w:val="00C40790"/>
    <w:rsid w:val="00C43BA0"/>
    <w:rsid w:val="00C470C9"/>
    <w:rsid w:val="00C5289A"/>
    <w:rsid w:val="00C60101"/>
    <w:rsid w:val="00C6236D"/>
    <w:rsid w:val="00C628A4"/>
    <w:rsid w:val="00C64722"/>
    <w:rsid w:val="00C65323"/>
    <w:rsid w:val="00C66498"/>
    <w:rsid w:val="00C671B3"/>
    <w:rsid w:val="00C67B6D"/>
    <w:rsid w:val="00C73FF0"/>
    <w:rsid w:val="00C764B5"/>
    <w:rsid w:val="00C77AA5"/>
    <w:rsid w:val="00C81AC3"/>
    <w:rsid w:val="00C81C9D"/>
    <w:rsid w:val="00C83BE5"/>
    <w:rsid w:val="00C84D8B"/>
    <w:rsid w:val="00C86681"/>
    <w:rsid w:val="00C918D5"/>
    <w:rsid w:val="00C97263"/>
    <w:rsid w:val="00CA653D"/>
    <w:rsid w:val="00CB0C05"/>
    <w:rsid w:val="00CB12DF"/>
    <w:rsid w:val="00CB383A"/>
    <w:rsid w:val="00CD4E7B"/>
    <w:rsid w:val="00CE2EFD"/>
    <w:rsid w:val="00CF0900"/>
    <w:rsid w:val="00CF381D"/>
    <w:rsid w:val="00D012AB"/>
    <w:rsid w:val="00D013C8"/>
    <w:rsid w:val="00D077BE"/>
    <w:rsid w:val="00D135FE"/>
    <w:rsid w:val="00D307CA"/>
    <w:rsid w:val="00D31E18"/>
    <w:rsid w:val="00D34868"/>
    <w:rsid w:val="00D36727"/>
    <w:rsid w:val="00D37325"/>
    <w:rsid w:val="00D43BD4"/>
    <w:rsid w:val="00D43E3C"/>
    <w:rsid w:val="00D44314"/>
    <w:rsid w:val="00D45A1C"/>
    <w:rsid w:val="00D45B42"/>
    <w:rsid w:val="00D54E1F"/>
    <w:rsid w:val="00D55A28"/>
    <w:rsid w:val="00D55DC2"/>
    <w:rsid w:val="00D72655"/>
    <w:rsid w:val="00D73B92"/>
    <w:rsid w:val="00D772ED"/>
    <w:rsid w:val="00D8148C"/>
    <w:rsid w:val="00D84D4D"/>
    <w:rsid w:val="00D94C39"/>
    <w:rsid w:val="00D95B7A"/>
    <w:rsid w:val="00D97129"/>
    <w:rsid w:val="00DA3619"/>
    <w:rsid w:val="00DA77B9"/>
    <w:rsid w:val="00DA7AAF"/>
    <w:rsid w:val="00DB3608"/>
    <w:rsid w:val="00DC4693"/>
    <w:rsid w:val="00DD1DE4"/>
    <w:rsid w:val="00DD38D3"/>
    <w:rsid w:val="00DF094A"/>
    <w:rsid w:val="00DF2DF7"/>
    <w:rsid w:val="00DF5409"/>
    <w:rsid w:val="00DF71C8"/>
    <w:rsid w:val="00DF7E05"/>
    <w:rsid w:val="00E020D3"/>
    <w:rsid w:val="00E03C0C"/>
    <w:rsid w:val="00E0744A"/>
    <w:rsid w:val="00E12165"/>
    <w:rsid w:val="00E1337B"/>
    <w:rsid w:val="00E1594C"/>
    <w:rsid w:val="00E17783"/>
    <w:rsid w:val="00E20EE5"/>
    <w:rsid w:val="00E22F48"/>
    <w:rsid w:val="00E2578D"/>
    <w:rsid w:val="00E304D8"/>
    <w:rsid w:val="00E3259B"/>
    <w:rsid w:val="00E32E04"/>
    <w:rsid w:val="00E3682E"/>
    <w:rsid w:val="00E40454"/>
    <w:rsid w:val="00E42994"/>
    <w:rsid w:val="00E43262"/>
    <w:rsid w:val="00E435BF"/>
    <w:rsid w:val="00E61138"/>
    <w:rsid w:val="00E61A4F"/>
    <w:rsid w:val="00E6244E"/>
    <w:rsid w:val="00E6542B"/>
    <w:rsid w:val="00E721EF"/>
    <w:rsid w:val="00E80306"/>
    <w:rsid w:val="00E836C2"/>
    <w:rsid w:val="00E83EEB"/>
    <w:rsid w:val="00E86682"/>
    <w:rsid w:val="00E93050"/>
    <w:rsid w:val="00EA1E54"/>
    <w:rsid w:val="00EA4313"/>
    <w:rsid w:val="00EA4E4D"/>
    <w:rsid w:val="00EA64C2"/>
    <w:rsid w:val="00EB0D94"/>
    <w:rsid w:val="00EB6598"/>
    <w:rsid w:val="00EC2304"/>
    <w:rsid w:val="00EC6570"/>
    <w:rsid w:val="00EE101E"/>
    <w:rsid w:val="00EE1F5C"/>
    <w:rsid w:val="00EE7F6C"/>
    <w:rsid w:val="00EF2B15"/>
    <w:rsid w:val="00EF62C6"/>
    <w:rsid w:val="00F001FE"/>
    <w:rsid w:val="00F008CC"/>
    <w:rsid w:val="00F01208"/>
    <w:rsid w:val="00F05855"/>
    <w:rsid w:val="00F06A3C"/>
    <w:rsid w:val="00F14642"/>
    <w:rsid w:val="00F15327"/>
    <w:rsid w:val="00F15645"/>
    <w:rsid w:val="00F15A96"/>
    <w:rsid w:val="00F25879"/>
    <w:rsid w:val="00F27621"/>
    <w:rsid w:val="00F41D4C"/>
    <w:rsid w:val="00F46AA0"/>
    <w:rsid w:val="00F54E65"/>
    <w:rsid w:val="00F56BC0"/>
    <w:rsid w:val="00F6168F"/>
    <w:rsid w:val="00F61DA5"/>
    <w:rsid w:val="00F6569B"/>
    <w:rsid w:val="00F702F0"/>
    <w:rsid w:val="00F73D81"/>
    <w:rsid w:val="00F73ECF"/>
    <w:rsid w:val="00F74603"/>
    <w:rsid w:val="00F83726"/>
    <w:rsid w:val="00F85D95"/>
    <w:rsid w:val="00FD2BCA"/>
    <w:rsid w:val="00FE5D62"/>
    <w:rsid w:val="00FE60F7"/>
    <w:rsid w:val="00FF6B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DB44BC"/>
  <w15:docId w15:val="{FA0E0D9B-3DDF-42FC-A4A1-0938A2522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4204"/>
    <w:pPr>
      <w:tabs>
        <w:tab w:val="center" w:pos="4536"/>
        <w:tab w:val="right" w:pos="9072"/>
      </w:tabs>
      <w:spacing w:after="0" w:line="240" w:lineRule="auto"/>
    </w:pPr>
  </w:style>
  <w:style w:type="character" w:customStyle="1" w:styleId="HeaderChar">
    <w:name w:val="Header Char"/>
    <w:basedOn w:val="DefaultParagraphFont"/>
    <w:link w:val="Header"/>
    <w:uiPriority w:val="99"/>
    <w:rsid w:val="00364204"/>
  </w:style>
  <w:style w:type="paragraph" w:styleId="Footer">
    <w:name w:val="footer"/>
    <w:basedOn w:val="Normal"/>
    <w:link w:val="FooterChar"/>
    <w:uiPriority w:val="99"/>
    <w:unhideWhenUsed/>
    <w:rsid w:val="00364204"/>
    <w:pPr>
      <w:tabs>
        <w:tab w:val="center" w:pos="4536"/>
        <w:tab w:val="right" w:pos="9072"/>
      </w:tabs>
      <w:spacing w:after="0" w:line="240" w:lineRule="auto"/>
    </w:pPr>
  </w:style>
  <w:style w:type="character" w:customStyle="1" w:styleId="FooterChar">
    <w:name w:val="Footer Char"/>
    <w:basedOn w:val="DefaultParagraphFont"/>
    <w:link w:val="Footer"/>
    <w:uiPriority w:val="99"/>
    <w:rsid w:val="00364204"/>
  </w:style>
  <w:style w:type="paragraph" w:styleId="FootnoteText">
    <w:name w:val="footnote text"/>
    <w:basedOn w:val="Normal"/>
    <w:link w:val="FootnoteTextChar"/>
    <w:uiPriority w:val="99"/>
    <w:unhideWhenUsed/>
    <w:rsid w:val="0082616B"/>
    <w:pPr>
      <w:spacing w:after="0" w:line="240" w:lineRule="auto"/>
    </w:pPr>
    <w:rPr>
      <w:sz w:val="20"/>
      <w:szCs w:val="20"/>
    </w:rPr>
  </w:style>
  <w:style w:type="character" w:customStyle="1" w:styleId="FootnoteTextChar">
    <w:name w:val="Footnote Text Char"/>
    <w:basedOn w:val="DefaultParagraphFont"/>
    <w:link w:val="FootnoteText"/>
    <w:uiPriority w:val="99"/>
    <w:rsid w:val="0082616B"/>
    <w:rPr>
      <w:sz w:val="20"/>
      <w:szCs w:val="20"/>
    </w:rPr>
  </w:style>
  <w:style w:type="paragraph" w:styleId="BalloonText">
    <w:name w:val="Balloon Text"/>
    <w:basedOn w:val="Normal"/>
    <w:link w:val="BalloonTextChar"/>
    <w:uiPriority w:val="99"/>
    <w:semiHidden/>
    <w:unhideWhenUsed/>
    <w:rsid w:val="007F4E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4E6D"/>
    <w:rPr>
      <w:rFonts w:ascii="Tahoma" w:hAnsi="Tahoma" w:cs="Tahoma"/>
      <w:sz w:val="16"/>
      <w:szCs w:val="16"/>
    </w:rPr>
  </w:style>
  <w:style w:type="paragraph" w:styleId="ListParagraph">
    <w:name w:val="List Paragraph"/>
    <w:basedOn w:val="Normal"/>
    <w:uiPriority w:val="34"/>
    <w:qFormat/>
    <w:rsid w:val="007F4E6D"/>
    <w:pPr>
      <w:ind w:left="720"/>
      <w:contextualSpacing/>
    </w:p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0568E4"/>
    <w:rPr>
      <w:vertAlign w:val="superscript"/>
    </w:rPr>
  </w:style>
  <w:style w:type="character" w:styleId="CommentReference">
    <w:name w:val="annotation reference"/>
    <w:basedOn w:val="DefaultParagraphFont"/>
    <w:uiPriority w:val="99"/>
    <w:semiHidden/>
    <w:unhideWhenUsed/>
    <w:rsid w:val="006D243B"/>
    <w:rPr>
      <w:sz w:val="16"/>
      <w:szCs w:val="16"/>
    </w:rPr>
  </w:style>
  <w:style w:type="paragraph" w:styleId="CommentText">
    <w:name w:val="annotation text"/>
    <w:basedOn w:val="Normal"/>
    <w:link w:val="CommentTextChar"/>
    <w:uiPriority w:val="99"/>
    <w:semiHidden/>
    <w:unhideWhenUsed/>
    <w:rsid w:val="006D243B"/>
    <w:pPr>
      <w:spacing w:line="240" w:lineRule="auto"/>
    </w:pPr>
    <w:rPr>
      <w:sz w:val="20"/>
      <w:szCs w:val="20"/>
    </w:rPr>
  </w:style>
  <w:style w:type="character" w:customStyle="1" w:styleId="CommentTextChar">
    <w:name w:val="Comment Text Char"/>
    <w:basedOn w:val="DefaultParagraphFont"/>
    <w:link w:val="CommentText"/>
    <w:uiPriority w:val="99"/>
    <w:semiHidden/>
    <w:rsid w:val="006D243B"/>
    <w:rPr>
      <w:sz w:val="20"/>
      <w:szCs w:val="20"/>
    </w:rPr>
  </w:style>
  <w:style w:type="paragraph" w:styleId="CommentSubject">
    <w:name w:val="annotation subject"/>
    <w:basedOn w:val="CommentText"/>
    <w:next w:val="CommentText"/>
    <w:link w:val="CommentSubjectChar"/>
    <w:uiPriority w:val="99"/>
    <w:semiHidden/>
    <w:unhideWhenUsed/>
    <w:rsid w:val="006D243B"/>
    <w:rPr>
      <w:b/>
      <w:bCs/>
    </w:rPr>
  </w:style>
  <w:style w:type="character" w:customStyle="1" w:styleId="CommentSubjectChar">
    <w:name w:val="Comment Subject Char"/>
    <w:basedOn w:val="CommentTextChar"/>
    <w:link w:val="CommentSubject"/>
    <w:uiPriority w:val="99"/>
    <w:semiHidden/>
    <w:rsid w:val="006D243B"/>
    <w:rPr>
      <w:b/>
      <w:bCs/>
      <w:sz w:val="20"/>
      <w:szCs w:val="20"/>
    </w:rPr>
  </w:style>
  <w:style w:type="paragraph" w:styleId="Revision">
    <w:name w:val="Revision"/>
    <w:hidden/>
    <w:uiPriority w:val="99"/>
    <w:semiHidden/>
    <w:rsid w:val="003951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642678">
      <w:bodyDiv w:val="1"/>
      <w:marLeft w:val="0"/>
      <w:marRight w:val="0"/>
      <w:marTop w:val="0"/>
      <w:marBottom w:val="0"/>
      <w:divBdr>
        <w:top w:val="none" w:sz="0" w:space="0" w:color="auto"/>
        <w:left w:val="none" w:sz="0" w:space="0" w:color="auto"/>
        <w:bottom w:val="none" w:sz="0" w:space="0" w:color="auto"/>
        <w:right w:val="none" w:sz="0" w:space="0" w:color="auto"/>
      </w:divBdr>
      <w:divsChild>
        <w:div w:id="1903515285">
          <w:marLeft w:val="0"/>
          <w:marRight w:val="0"/>
          <w:marTop w:val="0"/>
          <w:marBottom w:val="0"/>
          <w:divBdr>
            <w:top w:val="none" w:sz="0" w:space="0" w:color="auto"/>
            <w:left w:val="none" w:sz="0" w:space="0" w:color="auto"/>
            <w:bottom w:val="none" w:sz="0" w:space="0" w:color="auto"/>
            <w:right w:val="none" w:sz="0" w:space="0" w:color="auto"/>
          </w:divBdr>
        </w:div>
        <w:div w:id="937908240">
          <w:marLeft w:val="0"/>
          <w:marRight w:val="0"/>
          <w:marTop w:val="0"/>
          <w:marBottom w:val="0"/>
          <w:divBdr>
            <w:top w:val="none" w:sz="0" w:space="0" w:color="auto"/>
            <w:left w:val="none" w:sz="0" w:space="0" w:color="auto"/>
            <w:bottom w:val="none" w:sz="0" w:space="0" w:color="auto"/>
            <w:right w:val="none" w:sz="0" w:space="0" w:color="auto"/>
          </w:divBdr>
        </w:div>
        <w:div w:id="286857325">
          <w:marLeft w:val="0"/>
          <w:marRight w:val="0"/>
          <w:marTop w:val="0"/>
          <w:marBottom w:val="0"/>
          <w:divBdr>
            <w:top w:val="none" w:sz="0" w:space="0" w:color="auto"/>
            <w:left w:val="none" w:sz="0" w:space="0" w:color="auto"/>
            <w:bottom w:val="none" w:sz="0" w:space="0" w:color="auto"/>
            <w:right w:val="none" w:sz="0" w:space="0" w:color="auto"/>
          </w:divBdr>
        </w:div>
        <w:div w:id="688332640">
          <w:marLeft w:val="0"/>
          <w:marRight w:val="0"/>
          <w:marTop w:val="0"/>
          <w:marBottom w:val="0"/>
          <w:divBdr>
            <w:top w:val="none" w:sz="0" w:space="0" w:color="auto"/>
            <w:left w:val="none" w:sz="0" w:space="0" w:color="auto"/>
            <w:bottom w:val="none" w:sz="0" w:space="0" w:color="auto"/>
            <w:right w:val="none" w:sz="0" w:space="0" w:color="auto"/>
          </w:divBdr>
        </w:div>
        <w:div w:id="668602160">
          <w:marLeft w:val="0"/>
          <w:marRight w:val="0"/>
          <w:marTop w:val="0"/>
          <w:marBottom w:val="0"/>
          <w:divBdr>
            <w:top w:val="none" w:sz="0" w:space="0" w:color="auto"/>
            <w:left w:val="none" w:sz="0" w:space="0" w:color="auto"/>
            <w:bottom w:val="none" w:sz="0" w:space="0" w:color="auto"/>
            <w:right w:val="none" w:sz="0" w:space="0" w:color="auto"/>
          </w:divBdr>
        </w:div>
        <w:div w:id="537279012">
          <w:marLeft w:val="0"/>
          <w:marRight w:val="0"/>
          <w:marTop w:val="0"/>
          <w:marBottom w:val="0"/>
          <w:divBdr>
            <w:top w:val="none" w:sz="0" w:space="0" w:color="auto"/>
            <w:left w:val="none" w:sz="0" w:space="0" w:color="auto"/>
            <w:bottom w:val="none" w:sz="0" w:space="0" w:color="auto"/>
            <w:right w:val="none" w:sz="0" w:space="0" w:color="auto"/>
          </w:divBdr>
        </w:div>
        <w:div w:id="229772004">
          <w:marLeft w:val="0"/>
          <w:marRight w:val="0"/>
          <w:marTop w:val="0"/>
          <w:marBottom w:val="0"/>
          <w:divBdr>
            <w:top w:val="none" w:sz="0" w:space="0" w:color="auto"/>
            <w:left w:val="none" w:sz="0" w:space="0" w:color="auto"/>
            <w:bottom w:val="none" w:sz="0" w:space="0" w:color="auto"/>
            <w:right w:val="none" w:sz="0" w:space="0" w:color="auto"/>
          </w:divBdr>
        </w:div>
        <w:div w:id="1362900809">
          <w:marLeft w:val="0"/>
          <w:marRight w:val="0"/>
          <w:marTop w:val="0"/>
          <w:marBottom w:val="0"/>
          <w:divBdr>
            <w:top w:val="none" w:sz="0" w:space="0" w:color="auto"/>
            <w:left w:val="none" w:sz="0" w:space="0" w:color="auto"/>
            <w:bottom w:val="none" w:sz="0" w:space="0" w:color="auto"/>
            <w:right w:val="none" w:sz="0" w:space="0" w:color="auto"/>
          </w:divBdr>
        </w:div>
        <w:div w:id="99640809">
          <w:marLeft w:val="0"/>
          <w:marRight w:val="0"/>
          <w:marTop w:val="0"/>
          <w:marBottom w:val="0"/>
          <w:divBdr>
            <w:top w:val="none" w:sz="0" w:space="0" w:color="auto"/>
            <w:left w:val="none" w:sz="0" w:space="0" w:color="auto"/>
            <w:bottom w:val="none" w:sz="0" w:space="0" w:color="auto"/>
            <w:right w:val="none" w:sz="0" w:space="0" w:color="auto"/>
          </w:divBdr>
        </w:div>
        <w:div w:id="823620529">
          <w:marLeft w:val="0"/>
          <w:marRight w:val="0"/>
          <w:marTop w:val="0"/>
          <w:marBottom w:val="0"/>
          <w:divBdr>
            <w:top w:val="none" w:sz="0" w:space="0" w:color="auto"/>
            <w:left w:val="none" w:sz="0" w:space="0" w:color="auto"/>
            <w:bottom w:val="none" w:sz="0" w:space="0" w:color="auto"/>
            <w:right w:val="none" w:sz="0" w:space="0" w:color="auto"/>
          </w:divBdr>
        </w:div>
        <w:div w:id="104204302">
          <w:marLeft w:val="0"/>
          <w:marRight w:val="0"/>
          <w:marTop w:val="0"/>
          <w:marBottom w:val="0"/>
          <w:divBdr>
            <w:top w:val="none" w:sz="0" w:space="0" w:color="auto"/>
            <w:left w:val="none" w:sz="0" w:space="0" w:color="auto"/>
            <w:bottom w:val="none" w:sz="0" w:space="0" w:color="auto"/>
            <w:right w:val="none" w:sz="0" w:space="0" w:color="auto"/>
          </w:divBdr>
        </w:div>
      </w:divsChild>
    </w:div>
    <w:div w:id="1174419907">
      <w:bodyDiv w:val="1"/>
      <w:marLeft w:val="0"/>
      <w:marRight w:val="0"/>
      <w:marTop w:val="0"/>
      <w:marBottom w:val="0"/>
      <w:divBdr>
        <w:top w:val="none" w:sz="0" w:space="0" w:color="auto"/>
        <w:left w:val="none" w:sz="0" w:space="0" w:color="auto"/>
        <w:bottom w:val="none" w:sz="0" w:space="0" w:color="auto"/>
        <w:right w:val="none" w:sz="0" w:space="0" w:color="auto"/>
      </w:divBdr>
      <w:divsChild>
        <w:div w:id="20314427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50257999">
      <w:bodyDiv w:val="1"/>
      <w:marLeft w:val="0"/>
      <w:marRight w:val="0"/>
      <w:marTop w:val="0"/>
      <w:marBottom w:val="0"/>
      <w:divBdr>
        <w:top w:val="none" w:sz="0" w:space="0" w:color="auto"/>
        <w:left w:val="none" w:sz="0" w:space="0" w:color="auto"/>
        <w:bottom w:val="none" w:sz="0" w:space="0" w:color="auto"/>
        <w:right w:val="none" w:sz="0" w:space="0" w:color="auto"/>
      </w:divBdr>
    </w:div>
    <w:div w:id="1437825411">
      <w:bodyDiv w:val="1"/>
      <w:marLeft w:val="0"/>
      <w:marRight w:val="0"/>
      <w:marTop w:val="0"/>
      <w:marBottom w:val="0"/>
      <w:divBdr>
        <w:top w:val="none" w:sz="0" w:space="0" w:color="auto"/>
        <w:left w:val="none" w:sz="0" w:space="0" w:color="auto"/>
        <w:bottom w:val="none" w:sz="0" w:space="0" w:color="auto"/>
        <w:right w:val="none" w:sz="0" w:space="0" w:color="auto"/>
      </w:divBdr>
    </w:div>
    <w:div w:id="1617516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7307D3-7A8F-461A-A6E9-CC64944132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Pages>
  <Words>3844</Words>
  <Characters>21915</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Стела</dc:creator>
  <cp:lastModifiedBy>Administrator</cp:lastModifiedBy>
  <cp:revision>25</cp:revision>
  <cp:lastPrinted>2022-07-12T14:57:00Z</cp:lastPrinted>
  <dcterms:created xsi:type="dcterms:W3CDTF">2022-06-27T13:46:00Z</dcterms:created>
  <dcterms:modified xsi:type="dcterms:W3CDTF">2022-07-22T12:49:00Z</dcterms:modified>
</cp:coreProperties>
</file>